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E7" w:rsidRPr="00786EEB" w:rsidRDefault="00AB0FE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3590/17</w:t>
      </w:r>
    </w:p>
    <w:p w:rsidR="00AB0FE7" w:rsidRDefault="00AB0FE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B0FE7" w:rsidRPr="00762B34" w:rsidRDefault="00AB0FE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B0FE7" w:rsidRPr="00762B34" w:rsidRDefault="00AB0FE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B0FE7" w:rsidRPr="00762B34" w:rsidRDefault="00AB0FE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B0FE7" w:rsidRPr="00762B34" w:rsidRDefault="00AB0FE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B0FE7" w:rsidRPr="00762B34" w:rsidRDefault="00AB0FE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 DE NOVIEMBRE </w:t>
      </w:r>
      <w:r>
        <w:rPr>
          <w:rFonts w:ascii="Helvetica" w:hAnsi="Helvetica"/>
          <w:b/>
          <w:lang w:val="es-ES_tradnl"/>
        </w:rPr>
        <w:t>DE 2017</w:t>
      </w:r>
    </w:p>
    <w:p w:rsidR="00AB0FE7" w:rsidRPr="00AB0FE7" w:rsidRDefault="00AB0FE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B0FE7" w:rsidRPr="00AB0FE7" w:rsidRDefault="00AB0FE7">
      <w:pPr>
        <w:tabs>
          <w:tab w:val="center" w:pos="4253"/>
        </w:tabs>
        <w:suppressAutoHyphens/>
        <w:jc w:val="center"/>
        <w:rPr>
          <w:rFonts w:cs="Arial"/>
          <w:b/>
        </w:rPr>
      </w:pPr>
      <w:r w:rsidRPr="00AB0FE7">
        <w:rPr>
          <w:rFonts w:cs="Arial"/>
          <w:b/>
        </w:rPr>
        <w:t>(E. E. Nº</w:t>
      </w:r>
      <w:r w:rsidRPr="00AB0FE7">
        <w:rPr>
          <w:rFonts w:cs="Arial"/>
          <w:b/>
          <w:bCs/>
          <w:lang w:val="es-MX"/>
        </w:rPr>
        <w:t>2015-17-1-0005963</w:t>
      </w:r>
      <w:bookmarkStart w:id="0" w:name="_GoBack"/>
      <w:bookmarkEnd w:id="0"/>
      <w:r w:rsidRPr="00AB0FE7">
        <w:rPr>
          <w:rFonts w:cs="Arial"/>
          <w:b/>
        </w:rPr>
        <w:t xml:space="preserve">, </w:t>
      </w:r>
      <w:proofErr w:type="spellStart"/>
      <w:r w:rsidRPr="00AB0FE7">
        <w:rPr>
          <w:rFonts w:cs="Arial"/>
          <w:b/>
        </w:rPr>
        <w:t>Ent</w:t>
      </w:r>
      <w:proofErr w:type="spellEnd"/>
      <w:r w:rsidRPr="00AB0FE7">
        <w:rPr>
          <w:rFonts w:cs="Arial"/>
          <w:b/>
        </w:rPr>
        <w:t>. N°</w:t>
      </w:r>
      <w:r w:rsidRPr="00AB0FE7">
        <w:rPr>
          <w:rFonts w:cs="Arial"/>
          <w:b/>
          <w:bCs/>
          <w:lang w:val="es-MX"/>
        </w:rPr>
        <w:t>5273/</w:t>
      </w:r>
      <w:r w:rsidRPr="00AB0FE7">
        <w:rPr>
          <w:rFonts w:cs="Arial"/>
          <w:b/>
          <w:bCs/>
          <w:lang w:val="es-MX"/>
        </w:rPr>
        <w:t>17</w:t>
      </w:r>
      <w:r w:rsidRPr="00AB0FE7">
        <w:rPr>
          <w:rFonts w:cs="Arial"/>
          <w:b/>
        </w:rPr>
        <w:t>)</w:t>
      </w:r>
    </w:p>
    <w:p w:rsidR="00AB0FE7" w:rsidRPr="00AB0FE7" w:rsidRDefault="00AB0FE7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023806" w:rsidRDefault="00023806" w:rsidP="00AB0FE7">
      <w:pPr>
        <w:spacing w:line="360" w:lineRule="auto"/>
        <w:rPr>
          <w:rFonts w:cs="Arial"/>
          <w:b/>
          <w:bCs/>
          <w:lang w:val="es-MX"/>
        </w:rPr>
      </w:pPr>
    </w:p>
    <w:p w:rsidR="00023806" w:rsidRDefault="00023806" w:rsidP="00AB0FE7">
      <w:pPr>
        <w:spacing w:line="360" w:lineRule="auto"/>
        <w:ind w:firstLine="851"/>
        <w:jc w:val="both"/>
      </w:pPr>
      <w:r>
        <w:rPr>
          <w:rFonts w:cs="Arial"/>
          <w:b/>
          <w:bCs/>
          <w:lang w:val="es-MX"/>
        </w:rPr>
        <w:t xml:space="preserve">VISTO: </w:t>
      </w:r>
      <w:r>
        <w:rPr>
          <w:rFonts w:cs="Arial"/>
          <w:bCs/>
          <w:lang w:val="es-MX"/>
        </w:rPr>
        <w:t xml:space="preserve">las nuevas actuaciones remitidas por la </w:t>
      </w:r>
      <w:r>
        <w:t xml:space="preserve">Administración Nacional de Combustible, Alcohol y Portland, relacionadas con  la Licitación Pública </w:t>
      </w:r>
      <w:r w:rsidR="00AB0FE7">
        <w:t xml:space="preserve"> </w:t>
      </w:r>
      <w:r>
        <w:t>N° 1600153900, para la contratación de trabajos de limpieza, arenado, granallado y pintura de tanques de almacenamiento en la Refinería de La Teja;</w:t>
      </w:r>
    </w:p>
    <w:p w:rsidR="00023806" w:rsidRDefault="00981C42" w:rsidP="00AB0FE7">
      <w:pPr>
        <w:spacing w:line="360" w:lineRule="auto"/>
        <w:ind w:firstLine="851"/>
        <w:jc w:val="both"/>
      </w:pPr>
      <w:r>
        <w:rPr>
          <w:b/>
        </w:rPr>
        <w:t>RESULTANDO</w:t>
      </w:r>
      <w:r w:rsidR="00023806" w:rsidRPr="00023806">
        <w:rPr>
          <w:b/>
        </w:rPr>
        <w:t>:</w:t>
      </w:r>
      <w:r w:rsidR="00023806" w:rsidRPr="00023806">
        <w:rPr>
          <w:b/>
        </w:rPr>
        <w:tab/>
        <w:t>1)</w:t>
      </w:r>
      <w:r w:rsidR="00023806">
        <w:rPr>
          <w:b/>
        </w:rPr>
        <w:t xml:space="preserve"> </w:t>
      </w:r>
      <w:r w:rsidR="00023806">
        <w:t>que</w:t>
      </w:r>
      <w:r w:rsidR="001C5D77">
        <w:t>,</w:t>
      </w:r>
      <w:r w:rsidR="00023806">
        <w:t xml:space="preserve"> por Resolución N° 947/9/2015 de fecha 03.09.15, el Directorio adjudicó la licitación de referencia a </w:t>
      </w:r>
      <w:proofErr w:type="spellStart"/>
      <w:r w:rsidR="00023806">
        <w:t>Metalizadora</w:t>
      </w:r>
      <w:proofErr w:type="spellEnd"/>
      <w:r w:rsidR="00023806">
        <w:t xml:space="preserve"> Uruguaya S.A, por un monto de $70:000.000 más IVA por $15:400.000, con opción por parte de A</w:t>
      </w:r>
      <w:r w:rsidR="00AB0FE7">
        <w:t>NCAP</w:t>
      </w:r>
      <w:r w:rsidR="00023806">
        <w:t xml:space="preserve"> a la renovación de dicho contrato</w:t>
      </w:r>
      <w:r w:rsidR="001C5D77">
        <w:t>,</w:t>
      </w:r>
      <w:r w:rsidR="00AB0FE7">
        <w:t xml:space="preserve"> </w:t>
      </w:r>
      <w:r w:rsidR="001C5D77">
        <w:t>p</w:t>
      </w:r>
      <w:r w:rsidR="00023806">
        <w:t>or hasta igual monto y en las mismas condiciones;</w:t>
      </w:r>
    </w:p>
    <w:p w:rsidR="00023806" w:rsidRDefault="00023806" w:rsidP="00AB0FE7">
      <w:pPr>
        <w:spacing w:line="360" w:lineRule="auto"/>
        <w:ind w:firstLine="2835"/>
        <w:jc w:val="both"/>
      </w:pPr>
      <w:r w:rsidRPr="00B06871">
        <w:rPr>
          <w:b/>
        </w:rPr>
        <w:t>2)</w:t>
      </w:r>
      <w:r>
        <w:t xml:space="preserve"> que mediante Resolución adoptada en Sesión de fecha 23.12.15, este Tribunal acordó observar el gasto, en </w:t>
      </w:r>
      <w:r w:rsidR="00AB0FE7">
        <w:t>razón de que</w:t>
      </w:r>
      <w:r>
        <w:t>:</w:t>
      </w:r>
    </w:p>
    <w:p w:rsidR="00023806" w:rsidRDefault="00023806" w:rsidP="00023806">
      <w:pPr>
        <w:spacing w:line="360" w:lineRule="auto"/>
        <w:jc w:val="both"/>
        <w:rPr>
          <w:rFonts w:cs="Arial"/>
        </w:rPr>
      </w:pPr>
      <w:r w:rsidRPr="00B06871">
        <w:rPr>
          <w:b/>
        </w:rPr>
        <w:t>2.1)</w:t>
      </w:r>
      <w:r>
        <w:t xml:space="preserve"> e</w:t>
      </w:r>
      <w:r>
        <w:rPr>
          <w:rFonts w:cs="Arial"/>
        </w:rPr>
        <w:t xml:space="preserve">l artículo </w:t>
      </w:r>
      <w:r w:rsidRPr="00162ACA">
        <w:rPr>
          <w:rFonts w:cs="Arial"/>
        </w:rPr>
        <w:t>V.7 del Pli</w:t>
      </w:r>
      <w:r>
        <w:rPr>
          <w:rFonts w:cs="Arial"/>
        </w:rPr>
        <w:t>ego de Condiciones Particulares</w:t>
      </w:r>
      <w:r w:rsidRPr="00162ACA">
        <w:rPr>
          <w:rFonts w:cs="Arial"/>
        </w:rPr>
        <w:t xml:space="preserve"> solicit</w:t>
      </w:r>
      <w:r>
        <w:rPr>
          <w:rFonts w:cs="Arial"/>
        </w:rPr>
        <w:t>ó</w:t>
      </w:r>
      <w:r w:rsidRPr="00162ACA">
        <w:rPr>
          <w:rFonts w:cs="Arial"/>
        </w:rPr>
        <w:t xml:space="preserve"> a los o</w:t>
      </w:r>
      <w:r>
        <w:rPr>
          <w:rFonts w:cs="Arial"/>
        </w:rPr>
        <w:t xml:space="preserve">ferentes </w:t>
      </w:r>
      <w:r w:rsidRPr="00162ACA">
        <w:rPr>
          <w:rFonts w:cs="Arial"/>
        </w:rPr>
        <w:t>la presentación</w:t>
      </w:r>
      <w:r>
        <w:rPr>
          <w:rFonts w:cs="Arial"/>
        </w:rPr>
        <w:t>,</w:t>
      </w:r>
      <w:r w:rsidRPr="00162ACA">
        <w:rPr>
          <w:rFonts w:cs="Arial"/>
        </w:rPr>
        <w:t xml:space="preserve"> </w:t>
      </w:r>
      <w:r>
        <w:rPr>
          <w:rFonts w:cs="Arial"/>
        </w:rPr>
        <w:t xml:space="preserve">en el acto de apertura, </w:t>
      </w:r>
      <w:r w:rsidRPr="00162ACA">
        <w:rPr>
          <w:rFonts w:cs="Arial"/>
        </w:rPr>
        <w:t xml:space="preserve">del certificado que acredite </w:t>
      </w:r>
      <w:r>
        <w:rPr>
          <w:rFonts w:cs="Arial"/>
        </w:rPr>
        <w:t>la contratación</w:t>
      </w:r>
      <w:r w:rsidRPr="00162ACA">
        <w:rPr>
          <w:rFonts w:cs="Arial"/>
        </w:rPr>
        <w:t xml:space="preserve"> </w:t>
      </w:r>
      <w:r>
        <w:rPr>
          <w:rFonts w:cs="Arial"/>
        </w:rPr>
        <w:t xml:space="preserve">de </w:t>
      </w:r>
      <w:r w:rsidRPr="00162ACA">
        <w:rPr>
          <w:rFonts w:cs="Arial"/>
        </w:rPr>
        <w:t>la p</w:t>
      </w:r>
      <w:r>
        <w:rPr>
          <w:rFonts w:cs="Arial"/>
        </w:rPr>
        <w:t>óliza</w:t>
      </w:r>
      <w:r w:rsidRPr="00162ACA">
        <w:rPr>
          <w:rFonts w:cs="Arial"/>
        </w:rPr>
        <w:t xml:space="preserve"> del Seguro sobre Accidentes de Trabaj</w:t>
      </w:r>
      <w:r>
        <w:rPr>
          <w:rFonts w:cs="Arial"/>
        </w:rPr>
        <w:t>o y Enfermedades Profesionales,</w:t>
      </w:r>
      <w:r w:rsidR="00B06871">
        <w:rPr>
          <w:rFonts w:cs="Arial"/>
        </w:rPr>
        <w:t xml:space="preserve"> en contravención de lo dispuesto en el artículo 48 del TOCAF, en tanto </w:t>
      </w:r>
      <w:r w:rsidRPr="00162ACA">
        <w:rPr>
          <w:rFonts w:cs="Arial"/>
        </w:rPr>
        <w:t xml:space="preserve">la demostración </w:t>
      </w:r>
      <w:r>
        <w:rPr>
          <w:rFonts w:cs="Arial"/>
        </w:rPr>
        <w:t xml:space="preserve">de estar en </w:t>
      </w:r>
      <w:r w:rsidRPr="00162ACA">
        <w:rPr>
          <w:rFonts w:cs="Arial"/>
        </w:rPr>
        <w:t>condiciones formales de contra</w:t>
      </w:r>
      <w:r>
        <w:rPr>
          <w:rFonts w:cs="Arial"/>
        </w:rPr>
        <w:t>tar</w:t>
      </w:r>
      <w:r w:rsidRPr="00162ACA">
        <w:rPr>
          <w:rFonts w:cs="Arial"/>
        </w:rPr>
        <w:t xml:space="preserve"> </w:t>
      </w:r>
      <w:r>
        <w:rPr>
          <w:rFonts w:cs="Arial"/>
        </w:rPr>
        <w:t>corresponde únicamente al</w:t>
      </w:r>
      <w:r w:rsidRPr="00162ACA">
        <w:rPr>
          <w:rFonts w:cs="Arial"/>
        </w:rPr>
        <w:t xml:space="preserve"> ofe</w:t>
      </w:r>
      <w:r>
        <w:rPr>
          <w:rFonts w:cs="Arial"/>
        </w:rPr>
        <w:t>rente que resulte adjudicatario</w:t>
      </w:r>
      <w:r w:rsidR="00B06871">
        <w:rPr>
          <w:rFonts w:cs="Arial"/>
        </w:rPr>
        <w:t>;</w:t>
      </w:r>
    </w:p>
    <w:p w:rsidR="00023806" w:rsidRDefault="00B06871" w:rsidP="00B06871">
      <w:pPr>
        <w:spacing w:line="360" w:lineRule="auto"/>
        <w:jc w:val="both"/>
        <w:rPr>
          <w:rFonts w:cs="Arial"/>
        </w:rPr>
      </w:pPr>
      <w:r w:rsidRPr="00B06871">
        <w:rPr>
          <w:rFonts w:cs="Arial"/>
          <w:b/>
        </w:rPr>
        <w:t>2.2)</w:t>
      </w:r>
      <w:r>
        <w:rPr>
          <w:rFonts w:cs="Arial"/>
          <w:b/>
        </w:rPr>
        <w:t xml:space="preserve"> </w:t>
      </w:r>
      <w:r w:rsidR="00023806">
        <w:rPr>
          <w:rFonts w:cs="Arial"/>
        </w:rPr>
        <w:t>el A</w:t>
      </w:r>
      <w:r w:rsidR="00023806" w:rsidRPr="006F6577">
        <w:rPr>
          <w:rFonts w:cs="Arial"/>
        </w:rPr>
        <w:t>rtículo II.5.3 del Pliego</w:t>
      </w:r>
      <w:r w:rsidR="00023806">
        <w:rPr>
          <w:rFonts w:cs="Arial"/>
        </w:rPr>
        <w:t xml:space="preserve"> de Condiciones Particulares solicitó la presentación de</w:t>
      </w:r>
      <w:r w:rsidR="00023806" w:rsidRPr="006F6577">
        <w:rPr>
          <w:rFonts w:cs="Arial"/>
        </w:rPr>
        <w:t xml:space="preserve"> antecedentes en trabajos similares al licitado en los últimos 5 años, como un requisito de admisibilidad para considerar la propuest</w:t>
      </w:r>
      <w:r>
        <w:rPr>
          <w:rFonts w:cs="Arial"/>
        </w:rPr>
        <w:t>a y, no obstante</w:t>
      </w:r>
      <w:r w:rsidR="001F655C">
        <w:rPr>
          <w:rFonts w:cs="Arial"/>
        </w:rPr>
        <w:t xml:space="preserve"> ello</w:t>
      </w:r>
      <w:r>
        <w:rPr>
          <w:rFonts w:cs="Arial"/>
        </w:rPr>
        <w:t xml:space="preserve">, </w:t>
      </w:r>
      <w:r w:rsidR="001F655C">
        <w:rPr>
          <w:rFonts w:cs="Arial"/>
        </w:rPr>
        <w:t xml:space="preserve">la </w:t>
      </w:r>
      <w:r w:rsidR="001C5D77">
        <w:rPr>
          <w:rFonts w:cs="Arial"/>
        </w:rPr>
        <w:t>A</w:t>
      </w:r>
      <w:r w:rsidR="001F655C">
        <w:rPr>
          <w:rFonts w:cs="Arial"/>
        </w:rPr>
        <w:t xml:space="preserve">dministración </w:t>
      </w:r>
      <w:r>
        <w:rPr>
          <w:rFonts w:cs="Arial"/>
        </w:rPr>
        <w:t xml:space="preserve"> </w:t>
      </w:r>
      <w:r w:rsidR="00023806">
        <w:rPr>
          <w:rFonts w:cs="Arial"/>
        </w:rPr>
        <w:t>solicit</w:t>
      </w:r>
      <w:r w:rsidR="001F655C">
        <w:rPr>
          <w:rFonts w:cs="Arial"/>
        </w:rPr>
        <w:t xml:space="preserve">ó dicha </w:t>
      </w:r>
      <w:r w:rsidR="00023806">
        <w:rPr>
          <w:rFonts w:cs="Arial"/>
        </w:rPr>
        <w:t xml:space="preserve"> </w:t>
      </w:r>
      <w:r w:rsidR="00023806" w:rsidRPr="006F6577">
        <w:rPr>
          <w:rFonts w:cs="Arial"/>
        </w:rPr>
        <w:t xml:space="preserve">información </w:t>
      </w:r>
      <w:r w:rsidR="001F655C">
        <w:rPr>
          <w:rFonts w:cs="Arial"/>
        </w:rPr>
        <w:t xml:space="preserve">como </w:t>
      </w:r>
      <w:r w:rsidR="00023806" w:rsidRPr="006F6577">
        <w:rPr>
          <w:rFonts w:cs="Arial"/>
        </w:rPr>
        <w:t xml:space="preserve">complementaria a </w:t>
      </w:r>
      <w:proofErr w:type="spellStart"/>
      <w:r w:rsidR="00023806">
        <w:rPr>
          <w:rFonts w:cs="Arial"/>
        </w:rPr>
        <w:t>Metalizadora</w:t>
      </w:r>
      <w:proofErr w:type="spellEnd"/>
      <w:r w:rsidR="00023806">
        <w:rPr>
          <w:rFonts w:cs="Arial"/>
        </w:rPr>
        <w:t xml:space="preserve"> Uruguaya S.A</w:t>
      </w:r>
      <w:proofErr w:type="gramStart"/>
      <w:r w:rsidR="00023806">
        <w:rPr>
          <w:rFonts w:cs="Arial"/>
        </w:rPr>
        <w:t xml:space="preserve">. </w:t>
      </w:r>
      <w:r w:rsidR="001C5D77">
        <w:rPr>
          <w:rFonts w:cs="Arial"/>
        </w:rPr>
        <w:t>,</w:t>
      </w:r>
      <w:proofErr w:type="gramEnd"/>
      <w:r w:rsidR="001C5D77">
        <w:rPr>
          <w:rFonts w:cs="Arial"/>
        </w:rPr>
        <w:t xml:space="preserve"> </w:t>
      </w:r>
      <w:r w:rsidR="001F655C">
        <w:rPr>
          <w:rFonts w:cs="Arial"/>
        </w:rPr>
        <w:t xml:space="preserve">siendo que debió </w:t>
      </w:r>
      <w:r w:rsidR="00023806" w:rsidRPr="006F6577">
        <w:rPr>
          <w:rFonts w:cs="Arial"/>
        </w:rPr>
        <w:t xml:space="preserve"> </w:t>
      </w:r>
      <w:r>
        <w:rPr>
          <w:rFonts w:cs="Arial"/>
        </w:rPr>
        <w:t>rechazar</w:t>
      </w:r>
      <w:r w:rsidR="00023806">
        <w:rPr>
          <w:rFonts w:cs="Arial"/>
        </w:rPr>
        <w:t xml:space="preserve"> </w:t>
      </w:r>
      <w:r>
        <w:rPr>
          <w:rFonts w:cs="Arial"/>
        </w:rPr>
        <w:t xml:space="preserve">las </w:t>
      </w:r>
      <w:r w:rsidR="00023806" w:rsidRPr="006F6577">
        <w:rPr>
          <w:rFonts w:cs="Arial"/>
        </w:rPr>
        <w:t xml:space="preserve"> </w:t>
      </w:r>
      <w:r w:rsidR="00023806" w:rsidRPr="006F6577">
        <w:rPr>
          <w:rFonts w:cs="Arial"/>
        </w:rPr>
        <w:lastRenderedPageBreak/>
        <w:t xml:space="preserve">ofertas </w:t>
      </w:r>
      <w:r w:rsidR="00023806">
        <w:rPr>
          <w:rFonts w:cs="Arial"/>
        </w:rPr>
        <w:t>que incumplieron</w:t>
      </w:r>
      <w:r w:rsidR="00023806" w:rsidRPr="006F6577">
        <w:rPr>
          <w:rFonts w:cs="Arial"/>
        </w:rPr>
        <w:t xml:space="preserve"> </w:t>
      </w:r>
      <w:r w:rsidR="00023806">
        <w:rPr>
          <w:rFonts w:cs="Arial"/>
        </w:rPr>
        <w:t xml:space="preserve">el requisito establecido, </w:t>
      </w:r>
      <w:r w:rsidR="001F655C">
        <w:rPr>
          <w:rFonts w:cs="Arial"/>
        </w:rPr>
        <w:t>al contravenir</w:t>
      </w:r>
      <w:r w:rsidR="001C5D77">
        <w:rPr>
          <w:rFonts w:cs="Arial"/>
        </w:rPr>
        <w:t>se</w:t>
      </w:r>
      <w:r w:rsidR="001F655C">
        <w:rPr>
          <w:rFonts w:cs="Arial"/>
        </w:rPr>
        <w:t xml:space="preserve"> </w:t>
      </w:r>
      <w:r w:rsidR="00023806">
        <w:rPr>
          <w:rFonts w:cs="Arial"/>
        </w:rPr>
        <w:t xml:space="preserve"> lo preceptuado por el </w:t>
      </w:r>
      <w:r w:rsidR="001C5D77">
        <w:rPr>
          <w:rFonts w:cs="Arial"/>
        </w:rPr>
        <w:t>a</w:t>
      </w:r>
      <w:r w:rsidR="00023806">
        <w:rPr>
          <w:rFonts w:cs="Arial"/>
        </w:rPr>
        <w:t>rt.</w:t>
      </w:r>
      <w:r w:rsidR="00023806" w:rsidRPr="006F6577">
        <w:rPr>
          <w:rFonts w:cs="Arial"/>
        </w:rPr>
        <w:t xml:space="preserve"> 65 del T</w:t>
      </w:r>
      <w:r w:rsidR="00023806">
        <w:rPr>
          <w:rFonts w:cs="Arial"/>
        </w:rPr>
        <w:t>.</w:t>
      </w:r>
      <w:r w:rsidR="00023806" w:rsidRPr="006F6577">
        <w:rPr>
          <w:rFonts w:cs="Arial"/>
        </w:rPr>
        <w:t>O</w:t>
      </w:r>
      <w:r w:rsidR="00023806">
        <w:rPr>
          <w:rFonts w:cs="Arial"/>
        </w:rPr>
        <w:t>.</w:t>
      </w:r>
      <w:r w:rsidR="00023806" w:rsidRPr="006F6577">
        <w:rPr>
          <w:rFonts w:cs="Arial"/>
        </w:rPr>
        <w:t>C</w:t>
      </w:r>
      <w:r w:rsidR="00023806">
        <w:rPr>
          <w:rFonts w:cs="Arial"/>
        </w:rPr>
        <w:t>.</w:t>
      </w:r>
      <w:r w:rsidR="00023806" w:rsidRPr="006F6577">
        <w:rPr>
          <w:rFonts w:cs="Arial"/>
        </w:rPr>
        <w:t>A</w:t>
      </w:r>
      <w:r w:rsidR="00023806">
        <w:rPr>
          <w:rFonts w:cs="Arial"/>
        </w:rPr>
        <w:t>.</w:t>
      </w:r>
      <w:r w:rsidR="00023806" w:rsidRPr="006F6577">
        <w:rPr>
          <w:rFonts w:cs="Arial"/>
        </w:rPr>
        <w:t>F</w:t>
      </w:r>
      <w:r w:rsidR="001F655C">
        <w:rPr>
          <w:rFonts w:cs="Arial"/>
        </w:rPr>
        <w:t xml:space="preserve">; </w:t>
      </w:r>
    </w:p>
    <w:p w:rsidR="00023806" w:rsidRDefault="00B06871" w:rsidP="00023806">
      <w:pPr>
        <w:spacing w:line="36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06871">
        <w:rPr>
          <w:rFonts w:cs="Arial"/>
          <w:b/>
        </w:rPr>
        <w:t xml:space="preserve">3) </w:t>
      </w:r>
      <w:r w:rsidRPr="00B06871">
        <w:rPr>
          <w:rFonts w:cs="Arial"/>
        </w:rPr>
        <w:t>que e</w:t>
      </w:r>
      <w:r w:rsidR="00023806" w:rsidRPr="00B06871">
        <w:t>l</w:t>
      </w:r>
      <w:r w:rsidR="00023806">
        <w:t xml:space="preserve"> Directorio reiteró el gasto mediante Resolución </w:t>
      </w:r>
      <w:r w:rsidR="00AB0FE7">
        <w:t xml:space="preserve">  </w:t>
      </w:r>
      <w:r w:rsidR="00023806">
        <w:t xml:space="preserve">N° 178/3/2016 y este Tribunal acordó </w:t>
      </w:r>
      <w:r>
        <w:t xml:space="preserve">mantener </w:t>
      </w:r>
      <w:r w:rsidR="00023806">
        <w:t>la observación</w:t>
      </w:r>
      <w:r w:rsidR="001C5D77">
        <w:t>,</w:t>
      </w:r>
      <w:r w:rsidR="00023806">
        <w:t xml:space="preserve"> mediante Resolución N° 1452 adoptada en Sesión de fecha 03</w:t>
      </w:r>
      <w:r>
        <w:t>.05.16;</w:t>
      </w:r>
    </w:p>
    <w:p w:rsidR="00B06871" w:rsidRDefault="00B06871" w:rsidP="00023806">
      <w:pPr>
        <w:spacing w:line="360" w:lineRule="auto"/>
        <w:jc w:val="both"/>
      </w:pPr>
      <w:r>
        <w:tab/>
      </w:r>
      <w:r>
        <w:tab/>
      </w:r>
      <w:r>
        <w:tab/>
      </w:r>
      <w:r w:rsidRPr="00B06871">
        <w:rPr>
          <w:b/>
        </w:rPr>
        <w:t>4)</w:t>
      </w:r>
      <w:r>
        <w:t xml:space="preserve"> que en la oportunidad, con fecha 07.07.</w:t>
      </w:r>
      <w:r w:rsidR="001F655C">
        <w:t>20</w:t>
      </w:r>
      <w:r>
        <w:t>17</w:t>
      </w:r>
      <w:r w:rsidR="001F655C">
        <w:t xml:space="preserve">, </w:t>
      </w:r>
      <w:r>
        <w:t xml:space="preserve"> la Gerencia de Mantenimiento informó que los trabajos se continúan ejecutando sin inconvenientes, llegando al 70% del contrato original y solicitó hacer uso de la opción de renovación prevista, a efectos de continuar con los mismos;</w:t>
      </w:r>
    </w:p>
    <w:p w:rsidR="00023806" w:rsidRDefault="00B06871" w:rsidP="00B06871">
      <w:pPr>
        <w:spacing w:line="360" w:lineRule="auto"/>
        <w:jc w:val="both"/>
      </w:pPr>
      <w:r>
        <w:tab/>
      </w:r>
      <w:r>
        <w:tab/>
      </w:r>
      <w:r>
        <w:tab/>
      </w:r>
      <w:r w:rsidRPr="00B06871">
        <w:rPr>
          <w:b/>
        </w:rPr>
        <w:t>5)</w:t>
      </w:r>
      <w:r>
        <w:t xml:space="preserve"> que c</w:t>
      </w:r>
      <w:r w:rsidR="00023806">
        <w:t>on fecha 14.07.17</w:t>
      </w:r>
      <w:r w:rsidR="001C5D77">
        <w:t>,</w:t>
      </w:r>
      <w:r w:rsidR="00023806">
        <w:t xml:space="preserve"> se recabó la conformid</w:t>
      </w:r>
      <w:r>
        <w:t xml:space="preserve">ad de </w:t>
      </w:r>
      <w:proofErr w:type="spellStart"/>
      <w:r>
        <w:t>Metalizadora</w:t>
      </w:r>
      <w:proofErr w:type="spellEnd"/>
      <w:r>
        <w:t xml:space="preserve"> Uruguaya S.A;</w:t>
      </w:r>
    </w:p>
    <w:p w:rsidR="00023806" w:rsidRDefault="00981C42" w:rsidP="00023806">
      <w:pPr>
        <w:spacing w:line="360" w:lineRule="auto"/>
        <w:ind w:firstLine="708"/>
        <w:jc w:val="both"/>
      </w:pPr>
      <w:r>
        <w:tab/>
      </w:r>
      <w:r>
        <w:tab/>
      </w:r>
      <w:r w:rsidRPr="00981C42">
        <w:rPr>
          <w:b/>
        </w:rPr>
        <w:t>6)</w:t>
      </w:r>
      <w:r>
        <w:t xml:space="preserve"> que p</w:t>
      </w:r>
      <w:r w:rsidR="00023806">
        <w:t>or Pedido de</w:t>
      </w:r>
      <w:r>
        <w:t xml:space="preserve"> C</w:t>
      </w:r>
      <w:r w:rsidR="00023806">
        <w:t xml:space="preserve">ompra N° 4500140413 de fecha 25.07.17, </w:t>
      </w:r>
      <w:r>
        <w:t xml:space="preserve">se informó que </w:t>
      </w:r>
      <w:r w:rsidR="00023806">
        <w:t>la contratación se encuentra prevista en los Presupuestos 2017 y 2018, con disponibilid</w:t>
      </w:r>
      <w:r>
        <w:t>ad;</w:t>
      </w:r>
    </w:p>
    <w:p w:rsidR="00023806" w:rsidRDefault="00981C42" w:rsidP="00023806">
      <w:pPr>
        <w:spacing w:line="360" w:lineRule="auto"/>
        <w:ind w:firstLine="708"/>
        <w:jc w:val="both"/>
      </w:pPr>
      <w:r>
        <w:tab/>
      </w:r>
      <w:r>
        <w:tab/>
      </w:r>
      <w:r w:rsidRPr="00981C42">
        <w:rPr>
          <w:b/>
        </w:rPr>
        <w:t>7)</w:t>
      </w:r>
      <w:r>
        <w:t xml:space="preserve"> </w:t>
      </w:r>
      <w:proofErr w:type="gramStart"/>
      <w:r>
        <w:t>que</w:t>
      </w:r>
      <w:proofErr w:type="gramEnd"/>
      <w:r>
        <w:t xml:space="preserve"> con fecha</w:t>
      </w:r>
      <w:r w:rsidR="00023806">
        <w:t xml:space="preserve"> 08.08.17,</w:t>
      </w:r>
      <w:r w:rsidR="001F655C" w:rsidRPr="001F655C">
        <w:t xml:space="preserve"> </w:t>
      </w:r>
      <w:proofErr w:type="spellStart"/>
      <w:r w:rsidR="001F655C">
        <w:t>Metalizadora</w:t>
      </w:r>
      <w:proofErr w:type="spellEnd"/>
      <w:r w:rsidR="001F655C">
        <w:t xml:space="preserve"> Uruguaya S.A </w:t>
      </w:r>
      <w:r w:rsidR="001C5D77">
        <w:t xml:space="preserve">informo que </w:t>
      </w:r>
      <w:r w:rsidR="001F655C">
        <w:t>“</w:t>
      </w:r>
      <w:r w:rsidR="00023806">
        <w:t xml:space="preserve"> en respuesta</w:t>
      </w:r>
      <w:r w:rsidR="001F655C">
        <w:t xml:space="preserve"> a vuestra solicitud de </w:t>
      </w:r>
      <w:r w:rsidR="00023806">
        <w:t xml:space="preserve">mejora </w:t>
      </w:r>
      <w:r w:rsidR="001F655C">
        <w:t xml:space="preserve">en los </w:t>
      </w:r>
      <w:r w:rsidR="00023806">
        <w:t>precios</w:t>
      </w:r>
      <w:r w:rsidR="001F655C">
        <w:t xml:space="preserve"> para el uso de la opción …” </w:t>
      </w:r>
      <w:r w:rsidR="00023806">
        <w:t xml:space="preserve"> </w:t>
      </w:r>
      <w:r w:rsidR="001C5D77">
        <w:t>ofrece” r</w:t>
      </w:r>
      <w:r w:rsidR="001F655C">
        <w:t>ealizar una mejora del</w:t>
      </w:r>
      <w:r w:rsidR="00023806">
        <w:t xml:space="preserve"> 1% re</w:t>
      </w:r>
      <w:r>
        <w:t>specto al coeficiente propuesto</w:t>
      </w:r>
      <w:r w:rsidR="001F655C">
        <w:t>” ( solicitud que no luce en las actuaciones)</w:t>
      </w:r>
      <w:r>
        <w:t>;</w:t>
      </w:r>
    </w:p>
    <w:p w:rsidR="001F655C" w:rsidRDefault="00981C42" w:rsidP="00981C42">
      <w:pPr>
        <w:spacing w:line="360" w:lineRule="auto"/>
        <w:ind w:firstLine="708"/>
        <w:jc w:val="both"/>
      </w:pPr>
      <w:r>
        <w:tab/>
      </w:r>
      <w:r>
        <w:tab/>
      </w:r>
      <w:r w:rsidRPr="00981C42">
        <w:rPr>
          <w:b/>
        </w:rPr>
        <w:t>8)</w:t>
      </w:r>
      <w:r>
        <w:t xml:space="preserve"> que p</w:t>
      </w:r>
      <w:r w:rsidR="00023806" w:rsidRPr="002626A6">
        <w:t>or Reso</w:t>
      </w:r>
      <w:r w:rsidR="00023806">
        <w:t>lución N°1066/10/2017 de fecha 05.10.17, el Directorio dispuso hacer uso de la opción prevista</w:t>
      </w:r>
      <w:r>
        <w:t xml:space="preserve"> en el numeral I</w:t>
      </w:r>
      <w:r w:rsidR="001F655C">
        <w:t xml:space="preserve"> </w:t>
      </w:r>
      <w:r>
        <w:t>.1 Sección I del Pliego de Condiciones Particulares</w:t>
      </w:r>
      <w:r w:rsidR="001F655C">
        <w:t xml:space="preserve"> de la </w:t>
      </w:r>
      <w:r w:rsidR="001C5D77">
        <w:t>l</w:t>
      </w:r>
      <w:r w:rsidR="001F655C">
        <w:t>icitación de referencia</w:t>
      </w:r>
      <w:r w:rsidR="00023806">
        <w:t xml:space="preserve">, por un monto de hasta $70:000.00 más IVA por un monto de $15:400.000 en condición Plaza, previa intervención </w:t>
      </w:r>
      <w:r>
        <w:t>de</w:t>
      </w:r>
      <w:r w:rsidR="00023806">
        <w:t xml:space="preserve"> este </w:t>
      </w:r>
      <w:r w:rsidR="0066791D">
        <w:t>Tribunal,</w:t>
      </w:r>
      <w:r w:rsidR="001C5D77">
        <w:t xml:space="preserve"> </w:t>
      </w:r>
      <w:r w:rsidR="00023806">
        <w:t xml:space="preserve"> establec</w:t>
      </w:r>
      <w:r w:rsidR="001C5D77">
        <w:t xml:space="preserve">iendo </w:t>
      </w:r>
      <w:r w:rsidR="00023806">
        <w:t xml:space="preserve"> que previo a la ejecución del contrato, deberá acreditarse que el personal interviniente se encuen</w:t>
      </w:r>
      <w:r w:rsidR="001F655C">
        <w:t xml:space="preserve">tra cubierto de todo </w:t>
      </w:r>
      <w:r w:rsidR="0066791D">
        <w:t>riesgo;</w:t>
      </w:r>
      <w:r w:rsidR="001F655C">
        <w:t xml:space="preserve"> </w:t>
      </w:r>
    </w:p>
    <w:p w:rsidR="006504CF" w:rsidRDefault="00A26708" w:rsidP="00AB0FE7">
      <w:pPr>
        <w:spacing w:line="360" w:lineRule="auto"/>
        <w:ind w:firstLine="851"/>
        <w:jc w:val="both"/>
        <w:rPr>
          <w:rFonts w:cs="Arial"/>
          <w:szCs w:val="24"/>
        </w:rPr>
      </w:pPr>
      <w:r>
        <w:rPr>
          <w:b/>
        </w:rPr>
        <w:t>CONSIDERANDO:</w:t>
      </w:r>
      <w:r w:rsidR="00AB0FE7">
        <w:rPr>
          <w:b/>
        </w:rPr>
        <w:t xml:space="preserve"> </w:t>
      </w:r>
      <w:r>
        <w:rPr>
          <w:b/>
        </w:rPr>
        <w:t xml:space="preserve">1) </w:t>
      </w:r>
      <w:r w:rsidR="006504CF" w:rsidRPr="00A26708">
        <w:t>que el uso de la opción dispuesta</w:t>
      </w:r>
      <w:r w:rsidR="006504CF">
        <w:rPr>
          <w:b/>
        </w:rPr>
        <w:t xml:space="preserve"> </w:t>
      </w:r>
      <w:r w:rsidR="006504CF" w:rsidRPr="00C20C94">
        <w:rPr>
          <w:rFonts w:cs="Arial"/>
          <w:szCs w:val="24"/>
        </w:rPr>
        <w:t xml:space="preserve">deriva de un procedimiento cuyo gasto fue observado originalmente por </w:t>
      </w:r>
      <w:r w:rsidR="006504CF">
        <w:rPr>
          <w:rFonts w:cs="Arial"/>
          <w:szCs w:val="24"/>
        </w:rPr>
        <w:t>causales</w:t>
      </w:r>
      <w:r w:rsidR="006504CF" w:rsidRPr="00C20C94">
        <w:rPr>
          <w:rFonts w:cs="Arial"/>
          <w:szCs w:val="24"/>
        </w:rPr>
        <w:t xml:space="preserve"> no subsanables</w:t>
      </w:r>
      <w:r w:rsidR="006470E4">
        <w:rPr>
          <w:rFonts w:cs="Arial"/>
          <w:szCs w:val="24"/>
        </w:rPr>
        <w:t xml:space="preserve">, </w:t>
      </w:r>
      <w:r w:rsidR="006504CF" w:rsidRPr="00C20C94">
        <w:rPr>
          <w:rFonts w:cs="Arial"/>
          <w:szCs w:val="24"/>
        </w:rPr>
        <w:t xml:space="preserve"> que la afectan</w:t>
      </w:r>
      <w:r w:rsidR="006504CF">
        <w:rPr>
          <w:rFonts w:cs="Arial"/>
          <w:szCs w:val="24"/>
        </w:rPr>
        <w:t xml:space="preserve"> y que despliegan sus efectos hasta el presente</w:t>
      </w:r>
      <w:r w:rsidR="006504CF" w:rsidRPr="00C20C94">
        <w:rPr>
          <w:rFonts w:cs="Arial"/>
          <w:szCs w:val="24"/>
        </w:rPr>
        <w:t>;</w:t>
      </w:r>
    </w:p>
    <w:p w:rsidR="001C4F80" w:rsidRDefault="00A26708" w:rsidP="00AB0FE7">
      <w:pPr>
        <w:spacing w:line="360" w:lineRule="auto"/>
        <w:ind w:firstLine="2977"/>
        <w:jc w:val="both"/>
        <w:rPr>
          <w:rFonts w:cs="Arial"/>
          <w:szCs w:val="24"/>
        </w:rPr>
      </w:pPr>
      <w:r w:rsidRPr="00A26708">
        <w:rPr>
          <w:rFonts w:cs="Arial"/>
          <w:b/>
          <w:szCs w:val="24"/>
        </w:rPr>
        <w:t>2)</w:t>
      </w:r>
      <w:r>
        <w:rPr>
          <w:rFonts w:cs="Arial"/>
          <w:szCs w:val="24"/>
        </w:rPr>
        <w:t xml:space="preserve"> </w:t>
      </w:r>
      <w:r w:rsidR="001C4F80">
        <w:rPr>
          <w:rFonts w:cs="Arial"/>
          <w:szCs w:val="24"/>
        </w:rPr>
        <w:t>que</w:t>
      </w:r>
      <w:r w:rsidR="001C4F80" w:rsidRPr="001C4F80">
        <w:rPr>
          <w:rFonts w:cs="Arial"/>
          <w:szCs w:val="24"/>
        </w:rPr>
        <w:t xml:space="preserve"> </w:t>
      </w:r>
      <w:r w:rsidR="001C4F80">
        <w:rPr>
          <w:rFonts w:cs="Arial"/>
          <w:szCs w:val="24"/>
        </w:rPr>
        <w:t>la mejora de precios solicitada por la Administración a</w:t>
      </w:r>
      <w:r w:rsidR="001C4F80" w:rsidRPr="00071923">
        <w:t xml:space="preserve"> </w:t>
      </w:r>
      <w:proofErr w:type="spellStart"/>
      <w:r w:rsidR="001C4F80">
        <w:t>Metalizadora</w:t>
      </w:r>
      <w:proofErr w:type="spellEnd"/>
      <w:r w:rsidR="001C4F80">
        <w:t xml:space="preserve"> Uruguaya S.A (Resultando N° 7) debió ser agregada en las </w:t>
      </w:r>
      <w:r w:rsidR="001C4F80">
        <w:lastRenderedPageBreak/>
        <w:t xml:space="preserve">actuaciones, </w:t>
      </w:r>
      <w:r w:rsidR="001C4F80">
        <w:rPr>
          <w:rFonts w:cs="Arial"/>
          <w:szCs w:val="24"/>
        </w:rPr>
        <w:t xml:space="preserve"> en </w:t>
      </w:r>
      <w:proofErr w:type="gramStart"/>
      <w:r w:rsidR="001C5D77">
        <w:rPr>
          <w:rFonts w:cs="Arial"/>
          <w:szCs w:val="24"/>
        </w:rPr>
        <w:t>aplicación</w:t>
      </w:r>
      <w:proofErr w:type="gramEnd"/>
      <w:r w:rsidR="001C5D77">
        <w:rPr>
          <w:rFonts w:cs="Arial"/>
          <w:szCs w:val="24"/>
        </w:rPr>
        <w:t xml:space="preserve"> </w:t>
      </w:r>
      <w:r w:rsidR="001C4F80">
        <w:rPr>
          <w:rFonts w:cs="Arial"/>
          <w:szCs w:val="24"/>
        </w:rPr>
        <w:t xml:space="preserve">del principio de transparencia </w:t>
      </w:r>
      <w:r w:rsidR="001C5D77">
        <w:rPr>
          <w:rFonts w:cs="Arial"/>
          <w:szCs w:val="24"/>
        </w:rPr>
        <w:t xml:space="preserve">establecido </w:t>
      </w:r>
      <w:r w:rsidR="001C4F80">
        <w:rPr>
          <w:rFonts w:cs="Arial"/>
          <w:szCs w:val="24"/>
        </w:rPr>
        <w:t xml:space="preserve"> en el artículo 149 literal H) del TOCAF;</w:t>
      </w:r>
    </w:p>
    <w:p w:rsidR="00A26708" w:rsidRPr="00C20C94" w:rsidRDefault="00071923" w:rsidP="00AB0FE7">
      <w:pPr>
        <w:spacing w:line="360" w:lineRule="auto"/>
        <w:ind w:firstLine="85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</w:t>
      </w:r>
      <w:r w:rsidR="00A26708" w:rsidRPr="00C20C94">
        <w:rPr>
          <w:rFonts w:cs="Arial"/>
          <w:b/>
          <w:szCs w:val="24"/>
        </w:rPr>
        <w:t>TENTO:</w:t>
      </w:r>
      <w:r w:rsidR="00A26708" w:rsidRPr="00C20C94">
        <w:rPr>
          <w:rFonts w:cs="Arial"/>
          <w:szCs w:val="24"/>
        </w:rPr>
        <w:t xml:space="preserve"> a lo expresado y a l</w:t>
      </w:r>
      <w:r w:rsidR="006470E4">
        <w:rPr>
          <w:rFonts w:cs="Arial"/>
          <w:szCs w:val="24"/>
        </w:rPr>
        <w:t xml:space="preserve">o dispuesto por el artículo  211 literal </w:t>
      </w:r>
      <w:r w:rsidR="00A26708" w:rsidRPr="00C20C94">
        <w:rPr>
          <w:rFonts w:cs="Arial"/>
          <w:szCs w:val="24"/>
        </w:rPr>
        <w:t xml:space="preserve"> B) de la Constitución de la República;</w:t>
      </w:r>
    </w:p>
    <w:p w:rsidR="00A26708" w:rsidRPr="00C20C94" w:rsidRDefault="00A26708" w:rsidP="00A26708">
      <w:pPr>
        <w:spacing w:line="360" w:lineRule="auto"/>
        <w:jc w:val="both"/>
        <w:rPr>
          <w:rFonts w:cs="Arial"/>
          <w:szCs w:val="24"/>
        </w:rPr>
      </w:pPr>
      <w:r w:rsidRPr="00C20C94">
        <w:rPr>
          <w:rFonts w:cs="Arial"/>
          <w:szCs w:val="24"/>
        </w:rPr>
        <w:t xml:space="preserve">                                                 </w:t>
      </w:r>
    </w:p>
    <w:p w:rsidR="00A26708" w:rsidRPr="00AB0FE7" w:rsidRDefault="00A26708" w:rsidP="00AB0FE7">
      <w:pPr>
        <w:spacing w:line="360" w:lineRule="auto"/>
        <w:jc w:val="center"/>
        <w:rPr>
          <w:rFonts w:cs="Arial"/>
          <w:b/>
          <w:szCs w:val="24"/>
        </w:rPr>
      </w:pPr>
      <w:r w:rsidRPr="00BE0FF9">
        <w:rPr>
          <w:rFonts w:cs="Arial"/>
          <w:b/>
          <w:szCs w:val="24"/>
        </w:rPr>
        <w:t>EL TRIBUNAL ACUERDA</w:t>
      </w:r>
    </w:p>
    <w:p w:rsidR="00A26708" w:rsidRPr="00A26708" w:rsidRDefault="00A26708" w:rsidP="00AB0FE7">
      <w:pPr>
        <w:tabs>
          <w:tab w:val="left" w:pos="284"/>
        </w:tabs>
        <w:spacing w:line="360" w:lineRule="auto"/>
        <w:jc w:val="both"/>
        <w:rPr>
          <w:rFonts w:cs="Arial"/>
          <w:szCs w:val="24"/>
        </w:rPr>
      </w:pPr>
      <w:r w:rsidRPr="00A26708">
        <w:rPr>
          <w:rFonts w:cs="Arial"/>
          <w:b/>
          <w:szCs w:val="24"/>
        </w:rPr>
        <w:t>1)</w:t>
      </w:r>
      <w:r>
        <w:rPr>
          <w:rFonts w:cs="Arial"/>
          <w:szCs w:val="24"/>
        </w:rPr>
        <w:tab/>
      </w:r>
      <w:r w:rsidRPr="00A26708">
        <w:rPr>
          <w:rFonts w:cs="Arial"/>
          <w:szCs w:val="24"/>
        </w:rPr>
        <w:t>Observar el gasto</w:t>
      </w:r>
      <w:r>
        <w:rPr>
          <w:rFonts w:cs="Arial"/>
          <w:szCs w:val="24"/>
        </w:rPr>
        <w:t xml:space="preserve"> por lo</w:t>
      </w:r>
      <w:r w:rsidR="006470E4">
        <w:rPr>
          <w:rFonts w:cs="Arial"/>
          <w:szCs w:val="24"/>
        </w:rPr>
        <w:t xml:space="preserve"> </w:t>
      </w:r>
      <w:r w:rsidR="001C5D77">
        <w:rPr>
          <w:rFonts w:cs="Arial"/>
          <w:szCs w:val="24"/>
        </w:rPr>
        <w:t xml:space="preserve">expresado </w:t>
      </w:r>
      <w:r w:rsidR="006470E4">
        <w:rPr>
          <w:rFonts w:cs="Arial"/>
          <w:szCs w:val="24"/>
        </w:rPr>
        <w:t xml:space="preserve"> en el Considerando </w:t>
      </w:r>
      <w:r>
        <w:rPr>
          <w:rFonts w:cs="Arial"/>
          <w:szCs w:val="24"/>
        </w:rPr>
        <w:t xml:space="preserve"> 1)</w:t>
      </w:r>
      <w:r w:rsidR="006470E4">
        <w:rPr>
          <w:rFonts w:cs="Arial"/>
          <w:szCs w:val="24"/>
        </w:rPr>
        <w:t xml:space="preserve">; </w:t>
      </w:r>
    </w:p>
    <w:p w:rsidR="00A26708" w:rsidRPr="00A26708" w:rsidRDefault="00A26708" w:rsidP="00AB0FE7">
      <w:pPr>
        <w:tabs>
          <w:tab w:val="left" w:pos="284"/>
        </w:tabs>
        <w:spacing w:line="360" w:lineRule="auto"/>
      </w:pPr>
      <w:r w:rsidRPr="00A26708">
        <w:rPr>
          <w:b/>
        </w:rPr>
        <w:t>2)</w:t>
      </w:r>
      <w:r>
        <w:rPr>
          <w:b/>
        </w:rPr>
        <w:tab/>
      </w:r>
      <w:r>
        <w:t xml:space="preserve">Téngase presente lo </w:t>
      </w:r>
      <w:r w:rsidR="001C5D77">
        <w:t xml:space="preserve">expresado </w:t>
      </w:r>
      <w:r w:rsidR="006470E4">
        <w:t xml:space="preserve"> en el Considerando  2); y </w:t>
      </w:r>
    </w:p>
    <w:p w:rsidR="00A26708" w:rsidRDefault="00A26708" w:rsidP="00AB0FE7">
      <w:pPr>
        <w:tabs>
          <w:tab w:val="left" w:pos="284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3</w:t>
      </w:r>
      <w:r w:rsidRPr="00C20C94">
        <w:rPr>
          <w:rFonts w:cs="Arial"/>
          <w:b/>
          <w:szCs w:val="24"/>
        </w:rPr>
        <w:t>)</w:t>
      </w:r>
      <w:r w:rsidRPr="00C20C94">
        <w:rPr>
          <w:rFonts w:cs="Arial"/>
          <w:szCs w:val="24"/>
        </w:rPr>
        <w:tab/>
        <w:t>Devolver las actuaciones</w:t>
      </w:r>
      <w:r>
        <w:rPr>
          <w:rFonts w:cs="Arial"/>
          <w:szCs w:val="24"/>
        </w:rPr>
        <w:t>.</w:t>
      </w:r>
    </w:p>
    <w:p w:rsidR="00A26708" w:rsidRPr="00AB0FE7" w:rsidRDefault="00AB0FE7" w:rsidP="00AB0FE7">
      <w:pPr>
        <w:tabs>
          <w:tab w:val="left" w:pos="284"/>
        </w:tabs>
        <w:spacing w:line="360" w:lineRule="auto"/>
        <w:jc w:val="both"/>
        <w:rPr>
          <w:rFonts w:cs="Arial"/>
          <w:sz w:val="20"/>
        </w:rPr>
      </w:pPr>
      <w:r w:rsidRPr="00AB0FE7">
        <w:rPr>
          <w:rFonts w:cs="Arial"/>
          <w:sz w:val="20"/>
        </w:rPr>
        <w:t>CLC</w:t>
      </w:r>
    </w:p>
    <w:p w:rsidR="000B3993" w:rsidRPr="00AB0FE7" w:rsidRDefault="000B3993" w:rsidP="00A26708">
      <w:pPr>
        <w:spacing w:line="360" w:lineRule="auto"/>
        <w:jc w:val="both"/>
        <w:rPr>
          <w:rFonts w:cs="Arial"/>
          <w:i/>
          <w:sz w:val="20"/>
        </w:rPr>
      </w:pPr>
    </w:p>
    <w:sectPr w:rsidR="000B3993" w:rsidRPr="00AB0FE7" w:rsidSect="00AB0FE7">
      <w:footerReference w:type="even" r:id="rId8"/>
      <w:footerReference w:type="default" r:id="rId9"/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5C" w:rsidRDefault="001F655C">
      <w:r>
        <w:separator/>
      </w:r>
    </w:p>
  </w:endnote>
  <w:endnote w:type="continuationSeparator" w:id="0">
    <w:p w:rsidR="001F655C" w:rsidRDefault="001F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5C" w:rsidRDefault="001F65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655C" w:rsidRDefault="001F65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5C" w:rsidRDefault="001F65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0F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F655C" w:rsidRDefault="001F65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5C" w:rsidRDefault="001F655C">
      <w:r>
        <w:separator/>
      </w:r>
    </w:p>
  </w:footnote>
  <w:footnote w:type="continuationSeparator" w:id="0">
    <w:p w:rsidR="001F655C" w:rsidRDefault="001F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7484"/>
    <w:multiLevelType w:val="hybridMultilevel"/>
    <w:tmpl w:val="38162554"/>
    <w:lvl w:ilvl="0" w:tplc="E65A8A12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84089"/>
    <w:multiLevelType w:val="hybridMultilevel"/>
    <w:tmpl w:val="FC4469F6"/>
    <w:lvl w:ilvl="0" w:tplc="B0E86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0F"/>
    <w:rsid w:val="00023806"/>
    <w:rsid w:val="00071923"/>
    <w:rsid w:val="000B3993"/>
    <w:rsid w:val="001C4F80"/>
    <w:rsid w:val="001C5D77"/>
    <w:rsid w:val="001F655C"/>
    <w:rsid w:val="002626A6"/>
    <w:rsid w:val="002A4B82"/>
    <w:rsid w:val="002C2BED"/>
    <w:rsid w:val="003B0DE9"/>
    <w:rsid w:val="003C4D91"/>
    <w:rsid w:val="004C5DD6"/>
    <w:rsid w:val="00642DBA"/>
    <w:rsid w:val="006470E4"/>
    <w:rsid w:val="006504CF"/>
    <w:rsid w:val="0066791D"/>
    <w:rsid w:val="00694FC2"/>
    <w:rsid w:val="007E11AD"/>
    <w:rsid w:val="008A2517"/>
    <w:rsid w:val="008F1E5F"/>
    <w:rsid w:val="00981C42"/>
    <w:rsid w:val="00A26708"/>
    <w:rsid w:val="00A43BD3"/>
    <w:rsid w:val="00AB0FE7"/>
    <w:rsid w:val="00B06871"/>
    <w:rsid w:val="00B13C0F"/>
    <w:rsid w:val="00B50578"/>
    <w:rsid w:val="00BA2797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0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B13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13C0F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13C0F"/>
  </w:style>
  <w:style w:type="paragraph" w:styleId="Textoindependiente">
    <w:name w:val="Body Text"/>
    <w:basedOn w:val="Normal"/>
    <w:link w:val="TextoindependienteCar"/>
    <w:semiHidden/>
    <w:rsid w:val="00B13C0F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3C0F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E11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1E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E5F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0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B13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13C0F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13C0F"/>
  </w:style>
  <w:style w:type="paragraph" w:styleId="Textoindependiente">
    <w:name w:val="Body Text"/>
    <w:basedOn w:val="Normal"/>
    <w:link w:val="TextoindependienteCar"/>
    <w:semiHidden/>
    <w:rsid w:val="00B13C0F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3C0F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E11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1E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E5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Bucero</dc:creator>
  <cp:lastModifiedBy>Tribunal1</cp:lastModifiedBy>
  <cp:revision>3</cp:revision>
  <cp:lastPrinted>2017-10-25T16:49:00Z</cp:lastPrinted>
  <dcterms:created xsi:type="dcterms:W3CDTF">2017-11-07T19:39:00Z</dcterms:created>
  <dcterms:modified xsi:type="dcterms:W3CDTF">2017-11-07T19:43:00Z</dcterms:modified>
</cp:coreProperties>
</file>