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4A4" w:rsidRPr="00C61614" w:rsidRDefault="001444A4" w:rsidP="00C61614">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3008/17</w:t>
      </w:r>
    </w:p>
    <w:p w:rsidR="001444A4" w:rsidRDefault="001444A4">
      <w:pPr>
        <w:tabs>
          <w:tab w:val="center" w:pos="4253"/>
        </w:tabs>
        <w:suppressAutoHyphens/>
        <w:jc w:val="center"/>
        <w:rPr>
          <w:rFonts w:cs="Arial"/>
          <w:b/>
          <w:lang w:val="es-ES_tradnl"/>
        </w:rPr>
      </w:pPr>
    </w:p>
    <w:p w:rsidR="001444A4" w:rsidRDefault="001444A4" w:rsidP="00662BF1">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1444A4" w:rsidRDefault="001444A4" w:rsidP="00662BF1">
      <w:pPr>
        <w:tabs>
          <w:tab w:val="left" w:pos="-720"/>
        </w:tabs>
        <w:suppressAutoHyphens/>
        <w:jc w:val="center"/>
        <w:rPr>
          <w:rFonts w:ascii="Helvetica" w:hAnsi="Helvetica"/>
          <w:b/>
          <w:lang w:val="es-ES_tradnl"/>
        </w:rPr>
      </w:pPr>
    </w:p>
    <w:p w:rsidR="001444A4" w:rsidRDefault="001444A4" w:rsidP="00662BF1">
      <w:pPr>
        <w:tabs>
          <w:tab w:val="center" w:pos="4253"/>
        </w:tabs>
        <w:suppressAutoHyphens/>
        <w:jc w:val="center"/>
        <w:rPr>
          <w:rFonts w:ascii="Helvetica" w:hAnsi="Helvetica"/>
          <w:b/>
          <w:lang w:val="es-ES_tradnl"/>
        </w:rPr>
      </w:pPr>
      <w:r>
        <w:rPr>
          <w:rFonts w:ascii="Helvetica" w:hAnsi="Helvetica"/>
          <w:b/>
          <w:lang w:val="es-ES_tradnl"/>
        </w:rPr>
        <w:t>TRIBUNAL DE CUENTAS</w:t>
      </w:r>
    </w:p>
    <w:p w:rsidR="001444A4" w:rsidRDefault="001444A4" w:rsidP="00662BF1">
      <w:pPr>
        <w:tabs>
          <w:tab w:val="left" w:pos="-720"/>
        </w:tabs>
        <w:suppressAutoHyphens/>
        <w:jc w:val="center"/>
        <w:rPr>
          <w:rFonts w:ascii="Helvetica" w:hAnsi="Helvetica"/>
          <w:b/>
          <w:lang w:val="es-ES_tradnl"/>
        </w:rPr>
      </w:pPr>
    </w:p>
    <w:p w:rsidR="001444A4" w:rsidRDefault="001444A4" w:rsidP="00662BF1">
      <w:pPr>
        <w:tabs>
          <w:tab w:val="center" w:pos="4253"/>
        </w:tabs>
        <w:suppressAutoHyphens/>
        <w:jc w:val="center"/>
        <w:rPr>
          <w:rFonts w:ascii="Helvetica" w:hAnsi="Helvetica"/>
          <w:b/>
          <w:lang w:val="es-ES_tradnl"/>
        </w:rPr>
      </w:pPr>
      <w:r>
        <w:rPr>
          <w:rFonts w:ascii="Helvetica" w:hAnsi="Helvetica"/>
          <w:b/>
          <w:lang w:val="es-ES_tradnl"/>
        </w:rPr>
        <w:t>EN SESION DE FECHA 13</w:t>
      </w:r>
      <w:r>
        <w:rPr>
          <w:rFonts w:cs="Arial"/>
          <w:b/>
          <w:lang w:val="es-ES_tradnl"/>
        </w:rPr>
        <w:t xml:space="preserve"> DE SETIEMBRE </w:t>
      </w:r>
      <w:r>
        <w:rPr>
          <w:rFonts w:ascii="Helvetica" w:hAnsi="Helvetica"/>
          <w:b/>
          <w:lang w:val="es-ES_tradnl"/>
        </w:rPr>
        <w:t>DE 2017</w:t>
      </w:r>
    </w:p>
    <w:p w:rsidR="001444A4" w:rsidRDefault="001444A4" w:rsidP="00662BF1">
      <w:pPr>
        <w:tabs>
          <w:tab w:val="center" w:pos="4253"/>
        </w:tabs>
        <w:suppressAutoHyphens/>
        <w:jc w:val="center"/>
        <w:rPr>
          <w:rFonts w:ascii="Helvetica" w:hAnsi="Helvetica"/>
          <w:b/>
          <w:lang w:val="es-ES_tradnl"/>
        </w:rPr>
      </w:pPr>
    </w:p>
    <w:p w:rsidR="001444A4" w:rsidRPr="001444A4" w:rsidRDefault="001444A4" w:rsidP="00662BF1">
      <w:pPr>
        <w:tabs>
          <w:tab w:val="center" w:pos="4253"/>
        </w:tabs>
        <w:suppressAutoHyphens/>
        <w:jc w:val="center"/>
        <w:rPr>
          <w:rFonts w:ascii="Helvetica" w:hAnsi="Helvetica"/>
          <w:b/>
          <w:lang w:val="es-UY"/>
        </w:rPr>
      </w:pPr>
      <w:r w:rsidRPr="001444A4">
        <w:rPr>
          <w:rFonts w:ascii="Helvetica" w:hAnsi="Helvetica"/>
          <w:b/>
          <w:lang w:val="es-UY"/>
        </w:rPr>
        <w:t xml:space="preserve">(E. E. Nº 2017-17-1-0002601, </w:t>
      </w:r>
      <w:proofErr w:type="spellStart"/>
      <w:r w:rsidRPr="001444A4">
        <w:rPr>
          <w:rFonts w:ascii="Helvetica" w:hAnsi="Helvetica"/>
          <w:b/>
          <w:lang w:val="es-UY"/>
        </w:rPr>
        <w:t>Ent</w:t>
      </w:r>
      <w:proofErr w:type="spellEnd"/>
      <w:r w:rsidRPr="001444A4">
        <w:rPr>
          <w:rFonts w:ascii="Helvetica" w:hAnsi="Helvetica"/>
          <w:b/>
          <w:lang w:val="es-UY"/>
        </w:rPr>
        <w:t>. N° 2146/17)</w:t>
      </w:r>
    </w:p>
    <w:p w:rsidR="001444A4" w:rsidRPr="001444A4" w:rsidRDefault="001444A4">
      <w:pPr>
        <w:tabs>
          <w:tab w:val="center" w:pos="4253"/>
        </w:tabs>
        <w:suppressAutoHyphens/>
        <w:jc w:val="center"/>
        <w:rPr>
          <w:rFonts w:cs="Arial"/>
          <w:b/>
          <w:lang w:val="es-UY"/>
        </w:rPr>
      </w:pPr>
    </w:p>
    <w:p w:rsidR="001444A4" w:rsidRDefault="001444A4" w:rsidP="00305CD7">
      <w:pPr>
        <w:tabs>
          <w:tab w:val="center" w:pos="4253"/>
        </w:tabs>
        <w:suppressAutoHyphens/>
        <w:jc w:val="center"/>
        <w:rPr>
          <w:rFonts w:ascii="Helvetica" w:hAnsi="Helvetica"/>
          <w:b/>
          <w:lang w:val="es-ES_tradnl"/>
        </w:rPr>
      </w:pPr>
    </w:p>
    <w:p w:rsidR="006545E8" w:rsidRDefault="006545E8" w:rsidP="005F6447">
      <w:pPr>
        <w:spacing w:line="360" w:lineRule="auto"/>
        <w:ind w:firstLine="851"/>
        <w:jc w:val="both"/>
        <w:rPr>
          <w:rFonts w:eastAsia="Calibri" w:cs="Arial"/>
          <w:b/>
          <w:szCs w:val="22"/>
          <w:lang w:val="es-MX" w:eastAsia="en-US"/>
        </w:rPr>
      </w:pPr>
      <w:r>
        <w:rPr>
          <w:rFonts w:eastAsia="Calibri"/>
          <w:b/>
          <w:szCs w:val="22"/>
          <w:lang w:val="es-UY" w:eastAsia="en-US"/>
        </w:rPr>
        <w:t>VISTO:</w:t>
      </w:r>
      <w:r>
        <w:rPr>
          <w:rFonts w:eastAsia="Calibri"/>
          <w:szCs w:val="22"/>
          <w:lang w:val="es-UY" w:eastAsia="en-US"/>
        </w:rPr>
        <w:t xml:space="preserve"> que este Tribunal ha examinado los estados financieros de </w:t>
      </w:r>
      <w:r>
        <w:rPr>
          <w:rFonts w:cs="Arial"/>
          <w:lang w:val="es-UY"/>
        </w:rPr>
        <w:t xml:space="preserve"> la Agencia Nacional de Desarrollo (ANDE) que comprenden el Estado de Situación Patrimonial al 31/12/2016, los correspondientes Estados de Resultados</w:t>
      </w:r>
      <w:r w:rsidR="005E2567">
        <w:rPr>
          <w:rFonts w:cs="Arial"/>
          <w:lang w:val="es-UY"/>
        </w:rPr>
        <w:t>,</w:t>
      </w:r>
      <w:r>
        <w:rPr>
          <w:rFonts w:cs="Arial"/>
          <w:lang w:val="es-UY"/>
        </w:rPr>
        <w:t xml:space="preserve"> de Origen y Aplicación de Fondos, </w:t>
      </w:r>
      <w:r w:rsidR="005E2567">
        <w:rPr>
          <w:rFonts w:cs="Arial"/>
          <w:lang w:val="es-UY"/>
        </w:rPr>
        <w:t>y</w:t>
      </w:r>
      <w:r>
        <w:rPr>
          <w:rFonts w:cs="Arial"/>
          <w:lang w:val="es-UY"/>
        </w:rPr>
        <w:t xml:space="preserve"> de Evolución del Patrimonio por el ejercicio </w:t>
      </w:r>
      <w:r w:rsidR="005E2567">
        <w:rPr>
          <w:rFonts w:cs="Arial"/>
          <w:lang w:val="es-UY"/>
        </w:rPr>
        <w:t>anual terminado el</w:t>
      </w:r>
      <w:r>
        <w:rPr>
          <w:rFonts w:cs="Arial"/>
          <w:lang w:val="es-UY"/>
        </w:rPr>
        <w:t xml:space="preserve"> 31/12/2016, </w:t>
      </w:r>
      <w:r w:rsidR="005E2567">
        <w:rPr>
          <w:rFonts w:cs="Arial"/>
          <w:lang w:val="es-UY"/>
        </w:rPr>
        <w:t xml:space="preserve">los anexos y </w:t>
      </w:r>
      <w:r w:rsidR="0039492A">
        <w:rPr>
          <w:rFonts w:cs="Arial"/>
          <w:lang w:val="es-UY"/>
        </w:rPr>
        <w:t>las n</w:t>
      </w:r>
      <w:r>
        <w:rPr>
          <w:rFonts w:cs="Arial"/>
          <w:lang w:val="es-UY"/>
        </w:rPr>
        <w:t>otas de políticas contables significativas y otras notas explica</w:t>
      </w:r>
      <w:r w:rsidR="0039492A">
        <w:rPr>
          <w:rFonts w:cs="Arial"/>
          <w:lang w:val="es-UY"/>
        </w:rPr>
        <w:t>tivas a los estados financieros;</w:t>
      </w:r>
    </w:p>
    <w:p w:rsidR="006545E8" w:rsidRDefault="006545E8" w:rsidP="005F6447">
      <w:pPr>
        <w:spacing w:line="360" w:lineRule="auto"/>
        <w:ind w:firstLine="851"/>
        <w:jc w:val="both"/>
        <w:rPr>
          <w:rFonts w:eastAsia="Calibri" w:cs="Arial"/>
          <w:szCs w:val="22"/>
          <w:lang w:val="es-MX" w:eastAsia="en-US"/>
        </w:rPr>
      </w:pPr>
      <w:r>
        <w:rPr>
          <w:rFonts w:eastAsia="Calibri" w:cs="Arial"/>
          <w:b/>
          <w:szCs w:val="22"/>
          <w:lang w:val="es-MX" w:eastAsia="en-US"/>
        </w:rPr>
        <w:t>RESULTANDO:</w:t>
      </w:r>
      <w:r>
        <w:rPr>
          <w:rFonts w:eastAsia="Calibri" w:cs="Arial"/>
          <w:b/>
          <w:color w:val="FF0000"/>
          <w:szCs w:val="22"/>
          <w:lang w:val="es-MX" w:eastAsia="en-US"/>
        </w:rPr>
        <w:t xml:space="preserve"> </w:t>
      </w:r>
      <w:r>
        <w:rPr>
          <w:rFonts w:eastAsia="Calibri" w:cs="Arial"/>
          <w:szCs w:val="22"/>
          <w:lang w:val="es-MX" w:eastAsia="en-US"/>
        </w:rPr>
        <w:t xml:space="preserve">que el </w:t>
      </w:r>
      <w:r>
        <w:rPr>
          <w:rFonts w:eastAsia="Calibri" w:cs="Arial"/>
          <w:szCs w:val="22"/>
          <w:lang w:val="es-UY" w:eastAsia="en-US"/>
        </w:rPr>
        <w:t>examen fue realizado de acuerdo con los Principios Fundamentales de Auditoría (ISSAI 100 y 200) y las Directrices de Auditoría Financiera de la Organización Internacional de Entidades Fiscalizadoras Superiores (INTOSAI);</w:t>
      </w:r>
    </w:p>
    <w:p w:rsidR="006545E8" w:rsidRDefault="006545E8" w:rsidP="005F6447">
      <w:pPr>
        <w:spacing w:line="360" w:lineRule="auto"/>
        <w:ind w:firstLine="851"/>
        <w:jc w:val="both"/>
        <w:rPr>
          <w:rFonts w:eastAsia="Calibri" w:cs="Arial"/>
          <w:b/>
          <w:szCs w:val="22"/>
          <w:lang w:val="es-MX" w:eastAsia="en-US"/>
        </w:rPr>
      </w:pPr>
      <w:r>
        <w:rPr>
          <w:rFonts w:eastAsia="Calibri" w:cs="Arial"/>
          <w:b/>
          <w:szCs w:val="22"/>
          <w:lang w:val="es-MX" w:eastAsia="en-US"/>
        </w:rPr>
        <w:t>CONSIDERANDO:</w:t>
      </w:r>
      <w:r>
        <w:rPr>
          <w:rFonts w:eastAsia="Calibri" w:cs="Arial"/>
          <w:szCs w:val="22"/>
          <w:lang w:val="es-MX" w:eastAsia="en-US"/>
        </w:rPr>
        <w:t xml:space="preserve"> que las conclusiones y evidencias obtenidas son las que se expresan en el Informe de Auditoría, que incluye Dictamen e Informe a la Administración;</w:t>
      </w:r>
    </w:p>
    <w:p w:rsidR="006545E8" w:rsidRDefault="006545E8" w:rsidP="005F6447">
      <w:pPr>
        <w:spacing w:line="360" w:lineRule="auto"/>
        <w:ind w:firstLine="851"/>
        <w:jc w:val="both"/>
        <w:rPr>
          <w:rFonts w:eastAsia="Calibri"/>
          <w:spacing w:val="-3"/>
          <w:szCs w:val="22"/>
          <w:lang w:val="es-MX" w:eastAsia="en-US"/>
        </w:rPr>
      </w:pPr>
      <w:r>
        <w:rPr>
          <w:rFonts w:eastAsia="Calibri" w:cs="Arial"/>
          <w:b/>
          <w:szCs w:val="22"/>
          <w:lang w:val="es-MX" w:eastAsia="en-US"/>
        </w:rPr>
        <w:t>ATENTO:</w:t>
      </w:r>
      <w:r>
        <w:rPr>
          <w:rFonts w:eastAsia="Calibri" w:cs="Arial"/>
          <w:szCs w:val="22"/>
          <w:lang w:val="es-MX" w:eastAsia="en-US"/>
        </w:rPr>
        <w:t xml:space="preserve"> </w:t>
      </w:r>
      <w:r>
        <w:rPr>
          <w:rFonts w:eastAsia="Calibri" w:cs="Arial"/>
          <w:szCs w:val="22"/>
          <w:lang w:val="es-UY" w:eastAsia="en-US"/>
        </w:rPr>
        <w:t xml:space="preserve">a lo dispuesto por los Artículos </w:t>
      </w:r>
      <w:r>
        <w:rPr>
          <w:rFonts w:eastAsia="Calibri"/>
          <w:spacing w:val="-3"/>
          <w:szCs w:val="22"/>
          <w:lang w:val="es-MX" w:eastAsia="en-US"/>
        </w:rPr>
        <w:t>159 y 177 del Texto Ordenado de Administración y Contabilidad Financiera (TOCAF);</w:t>
      </w:r>
    </w:p>
    <w:p w:rsidR="006545E8" w:rsidRDefault="006545E8" w:rsidP="005F6447">
      <w:pPr>
        <w:keepNext/>
        <w:spacing w:line="360" w:lineRule="auto"/>
        <w:jc w:val="center"/>
        <w:outlineLvl w:val="3"/>
        <w:rPr>
          <w:rFonts w:cs="Arial"/>
          <w:b/>
          <w:lang w:val="es-MX"/>
        </w:rPr>
      </w:pPr>
      <w:r>
        <w:rPr>
          <w:rFonts w:cs="Arial"/>
          <w:b/>
          <w:lang w:val="es-MX"/>
        </w:rPr>
        <w:t>EL TRIBUNAL ACUERDA</w:t>
      </w:r>
    </w:p>
    <w:p w:rsidR="006545E8" w:rsidRPr="005F6447" w:rsidRDefault="006545E8" w:rsidP="005F6447">
      <w:pPr>
        <w:pStyle w:val="Prrafodelista"/>
        <w:numPr>
          <w:ilvl w:val="0"/>
          <w:numId w:val="1"/>
        </w:numPr>
        <w:tabs>
          <w:tab w:val="num" w:pos="720"/>
        </w:tabs>
        <w:spacing w:line="360" w:lineRule="auto"/>
        <w:jc w:val="both"/>
        <w:rPr>
          <w:rFonts w:eastAsia="Calibri"/>
          <w:spacing w:val="-3"/>
          <w:szCs w:val="22"/>
          <w:lang w:val="es-MX" w:eastAsia="en-US"/>
        </w:rPr>
      </w:pPr>
      <w:r w:rsidRPr="005F6447">
        <w:rPr>
          <w:rFonts w:eastAsia="Calibri"/>
          <w:spacing w:val="-3"/>
          <w:szCs w:val="22"/>
          <w:lang w:val="es-MX" w:eastAsia="en-US"/>
        </w:rPr>
        <w:t>Expedirse en los términos del Informe de Auditoría que se adjunta;</w:t>
      </w:r>
    </w:p>
    <w:p w:rsidR="006545E8" w:rsidRPr="005F6447" w:rsidRDefault="006545E8" w:rsidP="005F6447">
      <w:pPr>
        <w:pStyle w:val="Prrafodelista"/>
        <w:numPr>
          <w:ilvl w:val="0"/>
          <w:numId w:val="1"/>
        </w:numPr>
        <w:tabs>
          <w:tab w:val="num" w:pos="720"/>
        </w:tabs>
        <w:spacing w:line="360" w:lineRule="auto"/>
        <w:jc w:val="both"/>
        <w:rPr>
          <w:rFonts w:eastAsia="Calibri"/>
          <w:spacing w:val="-3"/>
          <w:szCs w:val="22"/>
          <w:lang w:val="es-MX" w:eastAsia="en-US"/>
        </w:rPr>
      </w:pPr>
      <w:r w:rsidRPr="005F6447">
        <w:rPr>
          <w:rFonts w:eastAsia="Calibri"/>
          <w:spacing w:val="-3"/>
          <w:szCs w:val="22"/>
          <w:lang w:val="es-MX" w:eastAsia="en-US"/>
        </w:rPr>
        <w:t>A los efectos dispuestos por el Artículo 177 del TOCAF, el Organismo deberá publicar los estados financieros referidos y el Dictamen correspondiente incluido en el Informe de Auditoría;</w:t>
      </w:r>
    </w:p>
    <w:p w:rsidR="006545E8" w:rsidRPr="005F6447" w:rsidRDefault="006545E8" w:rsidP="005F6447">
      <w:pPr>
        <w:pStyle w:val="Prrafodelista"/>
        <w:numPr>
          <w:ilvl w:val="0"/>
          <w:numId w:val="1"/>
        </w:numPr>
        <w:tabs>
          <w:tab w:val="num" w:pos="720"/>
        </w:tabs>
        <w:spacing w:line="360" w:lineRule="auto"/>
        <w:jc w:val="both"/>
        <w:rPr>
          <w:rFonts w:eastAsia="Calibri"/>
          <w:spacing w:val="-3"/>
          <w:szCs w:val="22"/>
          <w:lang w:val="es-MX" w:eastAsia="en-US"/>
        </w:rPr>
      </w:pPr>
      <w:r w:rsidRPr="005F6447">
        <w:rPr>
          <w:rFonts w:eastAsia="Calibri"/>
          <w:spacing w:val="-3"/>
          <w:szCs w:val="22"/>
          <w:lang w:val="es-MX" w:eastAsia="en-US"/>
        </w:rPr>
        <w:lastRenderedPageBreak/>
        <w:t>Comunicar la presente Resolución al Ministerio de Economía y Finanzas y al Organismo; y</w:t>
      </w:r>
    </w:p>
    <w:p w:rsidR="006545E8" w:rsidRDefault="006545E8" w:rsidP="005F6447">
      <w:pPr>
        <w:tabs>
          <w:tab w:val="left" w:pos="2552"/>
        </w:tabs>
        <w:spacing w:line="360" w:lineRule="auto"/>
        <w:jc w:val="both"/>
        <w:rPr>
          <w:spacing w:val="-3"/>
          <w:szCs w:val="20"/>
          <w:lang w:val="es-MX"/>
        </w:rPr>
      </w:pPr>
      <w:r>
        <w:rPr>
          <w:b/>
          <w:bCs/>
          <w:spacing w:val="-3"/>
          <w:szCs w:val="20"/>
          <w:lang w:val="es-MX"/>
        </w:rPr>
        <w:t>4)</w:t>
      </w:r>
      <w:r>
        <w:rPr>
          <w:spacing w:val="-3"/>
          <w:szCs w:val="20"/>
          <w:lang w:val="es-MX"/>
        </w:rPr>
        <w:t xml:space="preserve">  Dar cuenta a la Asamblea General</w:t>
      </w:r>
      <w:r w:rsidR="00683FFA">
        <w:rPr>
          <w:spacing w:val="-3"/>
          <w:szCs w:val="20"/>
          <w:lang w:val="es-MX"/>
        </w:rPr>
        <w:t>.</w:t>
      </w:r>
    </w:p>
    <w:p w:rsidR="006545E8" w:rsidRDefault="006545E8" w:rsidP="005F6447">
      <w:pPr>
        <w:widowControl w:val="0"/>
        <w:tabs>
          <w:tab w:val="left" w:pos="-720"/>
        </w:tabs>
        <w:spacing w:line="360" w:lineRule="auto"/>
        <w:jc w:val="both"/>
        <w:rPr>
          <w:rFonts w:cs="Arial"/>
          <w:snapToGrid w:val="0"/>
          <w:spacing w:val="-3"/>
          <w:szCs w:val="20"/>
          <w:lang w:val="es-MX"/>
        </w:rPr>
      </w:pPr>
    </w:p>
    <w:p w:rsidR="006545E8" w:rsidRDefault="005F6447" w:rsidP="005F6447">
      <w:pPr>
        <w:pStyle w:val="Textoindependiente"/>
        <w:autoSpaceDE w:val="0"/>
        <w:autoSpaceDN w:val="0"/>
        <w:adjustRightInd w:val="0"/>
        <w:spacing w:line="360" w:lineRule="auto"/>
        <w:rPr>
          <w:rFonts w:ascii="Arial" w:hAnsi="Arial" w:cs="Arial"/>
          <w:spacing w:val="-3"/>
          <w:sz w:val="24"/>
          <w:szCs w:val="24"/>
          <w:lang w:val="es-ES"/>
        </w:rPr>
      </w:pPr>
      <w:proofErr w:type="spellStart"/>
      <w:r>
        <w:rPr>
          <w:rFonts w:ascii="Arial" w:hAnsi="Arial" w:cs="Arial"/>
          <w:spacing w:val="-3"/>
          <w:sz w:val="24"/>
          <w:szCs w:val="24"/>
          <w:lang w:val="es-ES"/>
        </w:rPr>
        <w:t>ag</w:t>
      </w:r>
      <w:proofErr w:type="spellEnd"/>
    </w:p>
    <w:p w:rsidR="00620C59" w:rsidRDefault="00620C59" w:rsidP="005F6447"/>
    <w:p w:rsidR="00683FFA" w:rsidRDefault="00683FFA" w:rsidP="005F6447"/>
    <w:p w:rsidR="00683FFA" w:rsidRDefault="00683FFA" w:rsidP="005F6447"/>
    <w:p w:rsidR="00B93477" w:rsidRDefault="00B93477" w:rsidP="005F6447"/>
    <w:p w:rsidR="00B93477" w:rsidRPr="000B2F2D" w:rsidRDefault="00B93477" w:rsidP="00F05EE0">
      <w:pPr>
        <w:keepNext/>
        <w:jc w:val="center"/>
        <w:outlineLvl w:val="7"/>
        <w:rPr>
          <w:rFonts w:cs="Arial"/>
          <w:b/>
        </w:rPr>
      </w:pPr>
      <w:r w:rsidRPr="000B2F2D">
        <w:rPr>
          <w:rFonts w:eastAsia="Calibri" w:cs="Arial"/>
          <w:b/>
          <w:lang w:val="es-UY" w:eastAsia="en-US"/>
        </w:rPr>
        <w:t>DICTAMEN</w:t>
      </w:r>
    </w:p>
    <w:p w:rsidR="00B93477" w:rsidRPr="000B2F2D" w:rsidRDefault="00B93477" w:rsidP="00F05EE0">
      <w:pPr>
        <w:keepNext/>
        <w:jc w:val="both"/>
        <w:outlineLvl w:val="7"/>
        <w:rPr>
          <w:rFonts w:cs="Arial"/>
        </w:rPr>
      </w:pPr>
    </w:p>
    <w:p w:rsidR="00B93477" w:rsidRPr="000B2F2D" w:rsidRDefault="00B93477" w:rsidP="00F05EE0">
      <w:pPr>
        <w:keepNext/>
        <w:jc w:val="both"/>
        <w:outlineLvl w:val="7"/>
        <w:rPr>
          <w:rFonts w:cs="Arial"/>
        </w:rPr>
      </w:pPr>
    </w:p>
    <w:p w:rsidR="00B93477" w:rsidRPr="000B2F2D" w:rsidRDefault="00B93477" w:rsidP="00F05EE0">
      <w:pPr>
        <w:spacing w:line="360" w:lineRule="auto"/>
        <w:jc w:val="both"/>
        <w:rPr>
          <w:rFonts w:cs="Arial"/>
          <w:lang w:val="es-UY"/>
        </w:rPr>
      </w:pPr>
      <w:r w:rsidRPr="000B2F2D">
        <w:rPr>
          <w:rFonts w:cs="Arial"/>
          <w:lang w:val="es-UY"/>
        </w:rPr>
        <w:t>El Tribunal de Cuentas ha examinado los estados financieros de la Agencia Nacional de Desarrollo (ANDE). Dichos estados comprenden el Estado de Situación Patrimonial 31/12/2016, los correspondientes Estados de Resultados, de Origen y Aplicación de Fondos y de Evolución del Patrimonio por el ejercicio anual terminado el 31/12/2016, presentados en forma comparativa con el ejercicio anterior, los Anexos y las notas de políticas contables significativas y  otras notas explicativas a los estados financieros.</w:t>
      </w:r>
    </w:p>
    <w:p w:rsidR="00B93477" w:rsidRPr="000B2F2D" w:rsidRDefault="00B93477" w:rsidP="00F05EE0">
      <w:pPr>
        <w:spacing w:line="360" w:lineRule="auto"/>
        <w:jc w:val="both"/>
        <w:rPr>
          <w:rFonts w:cs="Arial"/>
          <w:lang w:val="es-MX"/>
        </w:rPr>
      </w:pPr>
      <w:r w:rsidRPr="000B2F2D">
        <w:rPr>
          <w:rFonts w:cs="Arial"/>
          <w:lang w:val="es-UY"/>
        </w:rPr>
        <w:t xml:space="preserve">También se presentan, en caso de corresponder, los incumplimientos legales constatados por el Tribunal de Cuentas en el </w:t>
      </w:r>
      <w:r w:rsidR="00683FFA">
        <w:rPr>
          <w:rFonts w:cs="Arial"/>
          <w:lang w:val="es-UY"/>
        </w:rPr>
        <w:t>curso de la auditoria efectuada.</w:t>
      </w:r>
    </w:p>
    <w:p w:rsidR="00B93477" w:rsidRPr="000B2F2D" w:rsidRDefault="00B93477" w:rsidP="00F05EE0">
      <w:pPr>
        <w:tabs>
          <w:tab w:val="left" w:pos="0"/>
          <w:tab w:val="center" w:pos="4252"/>
        </w:tabs>
        <w:spacing w:line="360" w:lineRule="auto"/>
        <w:rPr>
          <w:rFonts w:cs="Arial"/>
          <w:lang w:val="es-MX"/>
        </w:rPr>
      </w:pPr>
    </w:p>
    <w:p w:rsidR="00B93477" w:rsidRPr="000B2F2D" w:rsidRDefault="00B93477" w:rsidP="00F05EE0">
      <w:pPr>
        <w:tabs>
          <w:tab w:val="left" w:pos="0"/>
        </w:tabs>
        <w:spacing w:line="360" w:lineRule="auto"/>
        <w:rPr>
          <w:rFonts w:cs="Arial"/>
          <w:b/>
          <w:lang w:val="es-UY"/>
        </w:rPr>
      </w:pPr>
      <w:r w:rsidRPr="000B2F2D">
        <w:rPr>
          <w:rFonts w:cs="Arial"/>
          <w:b/>
          <w:lang w:val="es-UY"/>
        </w:rPr>
        <w:t>Responsabilidad de la Dirección por los estados financieros</w:t>
      </w:r>
    </w:p>
    <w:p w:rsidR="00B93477" w:rsidRDefault="00B93477" w:rsidP="00E371EE">
      <w:pPr>
        <w:spacing w:after="200" w:line="360" w:lineRule="auto"/>
        <w:jc w:val="both"/>
        <w:rPr>
          <w:rFonts w:eastAsia="Calibri" w:cs="Arial"/>
          <w:spacing w:val="-3"/>
          <w:lang w:val="es-MX" w:eastAsia="en-US"/>
        </w:rPr>
      </w:pPr>
      <w:r w:rsidRPr="000B2F2D">
        <w:rPr>
          <w:rFonts w:eastAsia="Calibri" w:cs="Arial"/>
          <w:spacing w:val="-3"/>
          <w:lang w:val="es-MX" w:eastAsia="en-US"/>
        </w:rPr>
        <w:t>La Dirección de ANDE es responsable por la preparación y la razonable presentación de estos estados financieros de acuerdo con la Ordenanza Nº 81 del Tribunal de Cuentas. Esta responsabilidad incluye diseñar, implementar y mantener un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683FFA" w:rsidRDefault="00683FFA" w:rsidP="00E371EE">
      <w:pPr>
        <w:spacing w:after="200" w:line="360" w:lineRule="auto"/>
        <w:jc w:val="both"/>
        <w:rPr>
          <w:rFonts w:eastAsia="Calibri" w:cs="Arial"/>
          <w:spacing w:val="-3"/>
          <w:lang w:val="es-MX" w:eastAsia="en-US"/>
        </w:rPr>
      </w:pPr>
    </w:p>
    <w:p w:rsidR="00B93477" w:rsidRPr="000B2F2D" w:rsidRDefault="00B93477" w:rsidP="00E371EE">
      <w:pPr>
        <w:spacing w:line="360" w:lineRule="auto"/>
        <w:jc w:val="both"/>
        <w:rPr>
          <w:rFonts w:eastAsia="Calibri" w:cs="Arial"/>
          <w:b/>
          <w:lang w:val="es-UY" w:eastAsia="en-US"/>
        </w:rPr>
      </w:pPr>
      <w:r w:rsidRPr="000B2F2D">
        <w:rPr>
          <w:rFonts w:eastAsia="Calibri" w:cs="Arial"/>
          <w:b/>
          <w:lang w:val="es-UY" w:eastAsia="en-US"/>
        </w:rPr>
        <w:lastRenderedPageBreak/>
        <w:t>Responsabilidad del auditor</w:t>
      </w:r>
    </w:p>
    <w:p w:rsidR="00B93477" w:rsidRPr="000B2F2D" w:rsidRDefault="00B93477" w:rsidP="000B2F2D">
      <w:pPr>
        <w:spacing w:line="360" w:lineRule="auto"/>
        <w:jc w:val="both"/>
        <w:rPr>
          <w:rFonts w:cs="Arial"/>
        </w:rPr>
      </w:pPr>
      <w:r w:rsidRPr="000B2F2D">
        <w:rPr>
          <w:rFonts w:eastAsia="Calibri" w:cs="Arial"/>
          <w:spacing w:val="-3"/>
          <w:lang w:val="es-MX" w:eastAsia="en-US"/>
        </w:rPr>
        <w:t xml:space="preserve">La responsabilidad del Tribunal de Cuentas es expresar una opinión sobre dichos estados financieros basada en la auditoría realizada. Esta auditoría fue practicada de acuerdo </w:t>
      </w:r>
      <w:r w:rsidRPr="000B2F2D">
        <w:rPr>
          <w:rFonts w:eastAsia="Calibri" w:cs="Arial"/>
          <w:lang w:val="es-UY" w:eastAsia="en-US"/>
        </w:rPr>
        <w:t xml:space="preserve">con los Principios Fundamentales de Auditoría (ISSAI 100 y 200) y las Directrices de Auditoría Financiera de la Organización Internacional de Entidades Fiscalizadoras Superiores (INTOSAI). </w:t>
      </w:r>
      <w:r w:rsidRPr="000B2F2D">
        <w:rPr>
          <w:rFonts w:cs="Arial"/>
        </w:rPr>
        <w:t>Estas normas requieren que se cumpla con requisitos éticos, se planifique y se realice la auditoría para obtener seguridad razonable acerca de si los estados financieros están libres de errores significativos.</w:t>
      </w:r>
    </w:p>
    <w:p w:rsidR="00B93477" w:rsidRPr="000B2F2D" w:rsidRDefault="00B93477" w:rsidP="000B2F2D">
      <w:pPr>
        <w:spacing w:line="360" w:lineRule="auto"/>
        <w:jc w:val="both"/>
        <w:rPr>
          <w:rFonts w:cs="Arial"/>
        </w:rPr>
      </w:pPr>
      <w:r w:rsidRPr="000B2F2D">
        <w:rPr>
          <w:rFonts w:cs="Arial"/>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B93477" w:rsidRDefault="00B93477" w:rsidP="000B2F2D">
      <w:pPr>
        <w:spacing w:line="360" w:lineRule="auto"/>
        <w:jc w:val="both"/>
        <w:rPr>
          <w:rFonts w:cs="Arial"/>
        </w:rPr>
      </w:pPr>
      <w:r w:rsidRPr="000B2F2D">
        <w:rPr>
          <w:rFonts w:cs="Arial"/>
        </w:rPr>
        <w:t>Se considera que la evidencia de auditoría obtenida brinda una base suficiente y apropiada para sustentar la opinión.</w:t>
      </w:r>
    </w:p>
    <w:p w:rsidR="00683FFA" w:rsidRDefault="00683FFA" w:rsidP="000B2F2D">
      <w:pPr>
        <w:spacing w:line="360" w:lineRule="auto"/>
        <w:jc w:val="both"/>
        <w:rPr>
          <w:rFonts w:cs="Arial"/>
        </w:rPr>
      </w:pPr>
    </w:p>
    <w:p w:rsidR="00B93477" w:rsidRPr="000B2F2D" w:rsidRDefault="00B93477" w:rsidP="000B2F2D">
      <w:pPr>
        <w:spacing w:line="360" w:lineRule="auto"/>
        <w:jc w:val="both"/>
        <w:rPr>
          <w:rFonts w:cs="Arial"/>
          <w:b/>
        </w:rPr>
      </w:pPr>
      <w:r w:rsidRPr="000B2F2D">
        <w:rPr>
          <w:rFonts w:cs="Arial"/>
          <w:b/>
        </w:rPr>
        <w:t>Opinión</w:t>
      </w:r>
    </w:p>
    <w:p w:rsidR="00B93477" w:rsidRPr="000B2F2D" w:rsidRDefault="00B93477" w:rsidP="000B2F2D">
      <w:pPr>
        <w:spacing w:line="360" w:lineRule="auto"/>
        <w:jc w:val="both"/>
        <w:rPr>
          <w:rFonts w:cs="Arial"/>
          <w:b/>
          <w:lang w:val="es-UY"/>
        </w:rPr>
      </w:pPr>
      <w:r w:rsidRPr="000B2F2D">
        <w:rPr>
          <w:rFonts w:cs="Arial"/>
          <w:lang w:val="es-UY"/>
        </w:rPr>
        <w:t>En opinión del Tribunal de Cuentas, los estados financieros referidos precedentemente presentan razonablemente, en todos sus aspectos importantes, la situación patrimonial de ANDE al 31/12/2016, los resultados de sus operaciones, los orígenes y aplicación de fondos por el ejercicio terminado en esa fecha, de acuerdo con la Ordenanza Nº 81 del Tribunal de Cuentas.</w:t>
      </w:r>
    </w:p>
    <w:p w:rsidR="00B93477" w:rsidRPr="000B2F2D" w:rsidRDefault="00B93477" w:rsidP="000B2F2D">
      <w:pPr>
        <w:spacing w:line="360" w:lineRule="auto"/>
        <w:jc w:val="both"/>
        <w:rPr>
          <w:rFonts w:cs="Arial"/>
          <w:lang w:val="es-UY"/>
        </w:rPr>
      </w:pPr>
      <w:r w:rsidRPr="000B2F2D">
        <w:rPr>
          <w:rFonts w:cs="Arial"/>
          <w:lang w:val="es-UY"/>
        </w:rPr>
        <w:t>Con relación al cumplimiento de la normativa vigente, en el curso de la auditoría realizada, se ha constatado que:</w:t>
      </w:r>
    </w:p>
    <w:p w:rsidR="00B93477" w:rsidRPr="000B2F2D" w:rsidRDefault="00B93477" w:rsidP="000B2F2D">
      <w:pPr>
        <w:spacing w:line="360" w:lineRule="auto"/>
        <w:jc w:val="both"/>
        <w:rPr>
          <w:rFonts w:cs="Arial"/>
          <w:lang w:val="es-UY"/>
        </w:rPr>
      </w:pPr>
    </w:p>
    <w:p w:rsidR="00B93477" w:rsidRPr="000B2F2D" w:rsidRDefault="00B93477" w:rsidP="00E06351">
      <w:pPr>
        <w:spacing w:line="360" w:lineRule="auto"/>
        <w:jc w:val="both"/>
        <w:rPr>
          <w:rFonts w:cs="Arial"/>
          <w:lang w:val="es-UY"/>
        </w:rPr>
      </w:pPr>
      <w:r w:rsidRPr="000B2F2D">
        <w:rPr>
          <w:rFonts w:cs="Arial"/>
          <w:b/>
          <w:lang w:val="es-UY"/>
        </w:rPr>
        <w:t>- Artículo 159 del TOCAF.</w:t>
      </w:r>
      <w:r w:rsidRPr="000B2F2D">
        <w:rPr>
          <w:rFonts w:cs="Arial"/>
          <w:lang w:val="es-UY"/>
        </w:rPr>
        <w:t xml:space="preserve"> No se presentó la ejecución presupuestal cor</w:t>
      </w:r>
      <w:r w:rsidR="00683FFA">
        <w:rPr>
          <w:rFonts w:cs="Arial"/>
          <w:lang w:val="es-UY"/>
        </w:rPr>
        <w:t>respondiente al ejercicio 2016.</w:t>
      </w:r>
    </w:p>
    <w:p w:rsidR="00B93477" w:rsidRPr="000B2F2D" w:rsidRDefault="00B93477" w:rsidP="00E06351">
      <w:pPr>
        <w:spacing w:line="360" w:lineRule="auto"/>
        <w:jc w:val="both"/>
        <w:rPr>
          <w:rFonts w:cs="Arial"/>
          <w:b/>
          <w:color w:val="FF0000"/>
          <w:lang w:val="es-UY"/>
        </w:rPr>
      </w:pPr>
      <w:r w:rsidRPr="000B2F2D">
        <w:rPr>
          <w:rFonts w:cs="Arial"/>
          <w:b/>
          <w:lang w:val="es-UY"/>
        </w:rPr>
        <w:t>- Artículos 27 y 28 de la Ordenanza Nº 81.</w:t>
      </w:r>
      <w:r w:rsidRPr="000B2F2D">
        <w:rPr>
          <w:rFonts w:cs="Arial"/>
          <w:color w:val="FF0000"/>
        </w:rPr>
        <w:t xml:space="preserve"> </w:t>
      </w:r>
      <w:r w:rsidRPr="000B2F2D">
        <w:rPr>
          <w:rFonts w:cs="Arial"/>
        </w:rPr>
        <w:t>Los estados financieros no fueron firmados por el Presidente del Directorio y no se remitió la Carta de Repre</w:t>
      </w:r>
      <w:r w:rsidR="00683FFA">
        <w:rPr>
          <w:rFonts w:cs="Arial"/>
        </w:rPr>
        <w:t>sentación de la Administración.</w:t>
      </w:r>
    </w:p>
    <w:p w:rsidR="00B93477" w:rsidRPr="000B2F2D" w:rsidRDefault="00B93477" w:rsidP="00E06351">
      <w:pPr>
        <w:autoSpaceDE w:val="0"/>
        <w:autoSpaceDN w:val="0"/>
        <w:adjustRightInd w:val="0"/>
        <w:spacing w:line="360" w:lineRule="auto"/>
        <w:jc w:val="both"/>
        <w:rPr>
          <w:rFonts w:cs="Arial"/>
          <w:color w:val="FF0000"/>
          <w:lang w:val="es-UY"/>
        </w:rPr>
      </w:pPr>
      <w:r w:rsidRPr="000B2F2D">
        <w:rPr>
          <w:rFonts w:cs="Arial"/>
          <w:b/>
          <w:lang w:val="es-UY"/>
        </w:rPr>
        <w:t>- Artículo 80 de la Ley N° 17.555 reglamentado por el Decreto 375/02 de 28/09/2002</w:t>
      </w:r>
      <w:r w:rsidRPr="000B2F2D">
        <w:rPr>
          <w:rFonts w:cs="Arial"/>
          <w:lang w:val="es-UY"/>
        </w:rPr>
        <w:t>. Los depósitos no fueron realizados exclusivamente en el Banco de la República Oriental del Uruguay</w:t>
      </w:r>
      <w:r w:rsidRPr="000B2F2D">
        <w:rPr>
          <w:rFonts w:cs="Arial"/>
        </w:rPr>
        <w:t xml:space="preserve"> (BROU)</w:t>
      </w:r>
      <w:r w:rsidR="00683FFA">
        <w:rPr>
          <w:rFonts w:cs="Arial"/>
          <w:lang w:val="es-UY"/>
        </w:rPr>
        <w:t>.</w:t>
      </w:r>
    </w:p>
    <w:p w:rsidR="00B93477" w:rsidRPr="000B2F2D" w:rsidRDefault="00B93477" w:rsidP="00E06351">
      <w:pPr>
        <w:autoSpaceDE w:val="0"/>
        <w:autoSpaceDN w:val="0"/>
        <w:adjustRightInd w:val="0"/>
        <w:spacing w:line="360" w:lineRule="auto"/>
        <w:jc w:val="right"/>
        <w:rPr>
          <w:rFonts w:cs="Arial"/>
          <w:lang w:val="es-UY"/>
        </w:rPr>
      </w:pPr>
      <w:r w:rsidRPr="000B2F2D">
        <w:rPr>
          <w:rFonts w:cs="Arial"/>
          <w:lang w:val="es-UY"/>
        </w:rPr>
        <w:t>M</w:t>
      </w:r>
      <w:r w:rsidR="00683FFA">
        <w:rPr>
          <w:rFonts w:cs="Arial"/>
          <w:lang w:val="es-UY"/>
        </w:rPr>
        <w:t>ontevideo, 30 de agosto de 2017</w:t>
      </w:r>
    </w:p>
    <w:p w:rsidR="00B93477" w:rsidRPr="000B2F2D" w:rsidRDefault="00B93477" w:rsidP="00E371EE">
      <w:pPr>
        <w:spacing w:line="360" w:lineRule="auto"/>
        <w:jc w:val="both"/>
        <w:rPr>
          <w:rFonts w:eastAsia="Calibri" w:cs="Arial"/>
          <w:b/>
          <w:bCs/>
          <w:spacing w:val="-3"/>
          <w:lang w:val="es-MX" w:eastAsia="en-US"/>
        </w:rPr>
      </w:pPr>
    </w:p>
    <w:p w:rsidR="00B93477" w:rsidRPr="000B2F2D" w:rsidRDefault="00B93477" w:rsidP="00BF7BD0">
      <w:pPr>
        <w:pStyle w:val="Ttulo3"/>
        <w:tabs>
          <w:tab w:val="left" w:pos="2552"/>
        </w:tabs>
        <w:spacing w:line="360" w:lineRule="auto"/>
        <w:jc w:val="both"/>
        <w:rPr>
          <w:rFonts w:cs="Arial"/>
          <w:b w:val="0"/>
        </w:rPr>
      </w:pPr>
      <w:proofErr w:type="spellStart"/>
      <w:proofErr w:type="gramStart"/>
      <w:r w:rsidRPr="000B2F2D">
        <w:rPr>
          <w:rFonts w:ascii="Arial" w:hAnsi="Arial" w:cs="Arial"/>
          <w:b w:val="0"/>
          <w:szCs w:val="24"/>
        </w:rPr>
        <w:t>ag</w:t>
      </w:r>
      <w:proofErr w:type="spellEnd"/>
      <w:proofErr w:type="gramEnd"/>
    </w:p>
    <w:p w:rsidR="00B93477" w:rsidRDefault="00B93477" w:rsidP="005F6447"/>
    <w:p w:rsidR="00B93477" w:rsidRDefault="00B93477" w:rsidP="005F6447"/>
    <w:p w:rsidR="00B93477" w:rsidRDefault="00B93477" w:rsidP="005F6447"/>
    <w:p w:rsidR="00B93477" w:rsidRPr="000B2F2D" w:rsidRDefault="00B93477" w:rsidP="00A64F71">
      <w:pPr>
        <w:pStyle w:val="Ttulo3"/>
        <w:tabs>
          <w:tab w:val="left" w:pos="2552"/>
        </w:tabs>
        <w:spacing w:line="360" w:lineRule="auto"/>
        <w:rPr>
          <w:rFonts w:ascii="Arial" w:hAnsi="Arial" w:cs="Arial"/>
          <w:szCs w:val="24"/>
        </w:rPr>
      </w:pPr>
      <w:r w:rsidRPr="000B2F2D">
        <w:rPr>
          <w:rFonts w:ascii="Arial" w:hAnsi="Arial" w:cs="Arial"/>
          <w:szCs w:val="24"/>
        </w:rPr>
        <w:t>INFORME A LA ADMINISTRACIÓN</w:t>
      </w:r>
    </w:p>
    <w:p w:rsidR="00B93477" w:rsidRPr="000B2F2D" w:rsidRDefault="00B93477" w:rsidP="00F05EE0">
      <w:pPr>
        <w:pStyle w:val="Textoindependiente"/>
        <w:spacing w:line="360" w:lineRule="auto"/>
        <w:jc w:val="both"/>
        <w:rPr>
          <w:rFonts w:ascii="Arial" w:hAnsi="Arial" w:cs="Arial"/>
          <w:spacing w:val="-3"/>
          <w:sz w:val="24"/>
          <w:szCs w:val="24"/>
          <w:lang w:val="es-MX"/>
        </w:rPr>
      </w:pPr>
    </w:p>
    <w:p w:rsidR="00B93477" w:rsidRPr="000B2F2D" w:rsidRDefault="00B93477" w:rsidP="00F05EE0">
      <w:pPr>
        <w:pStyle w:val="Textoindependiente"/>
        <w:spacing w:line="360" w:lineRule="auto"/>
        <w:jc w:val="both"/>
        <w:rPr>
          <w:rFonts w:ascii="Arial" w:hAnsi="Arial" w:cs="Arial"/>
          <w:spacing w:val="-3"/>
          <w:sz w:val="24"/>
          <w:szCs w:val="24"/>
          <w:lang w:val="es-MX"/>
        </w:rPr>
      </w:pPr>
      <w:r w:rsidRPr="000B2F2D">
        <w:rPr>
          <w:rFonts w:ascii="Arial" w:hAnsi="Arial" w:cs="Arial"/>
          <w:spacing w:val="-3"/>
          <w:sz w:val="24"/>
          <w:szCs w:val="24"/>
          <w:lang w:val="es-MX"/>
        </w:rPr>
        <w:t>El Tribunal de Cuentas ha examinado los estados financieros de la Agencia Nacional de Desarrollo (ANDE), correspondientes al ejercicio finalizado el 31/12/2016 y ha emitido su Dictamen.</w:t>
      </w:r>
    </w:p>
    <w:p w:rsidR="00B93477" w:rsidRPr="000B2F2D" w:rsidRDefault="00B93477" w:rsidP="00F05EE0">
      <w:pPr>
        <w:pStyle w:val="Textoindependiente"/>
        <w:spacing w:line="360" w:lineRule="auto"/>
        <w:jc w:val="both"/>
        <w:rPr>
          <w:rFonts w:ascii="Arial" w:hAnsi="Arial" w:cs="Arial"/>
          <w:spacing w:val="-3"/>
          <w:sz w:val="24"/>
          <w:szCs w:val="24"/>
          <w:lang w:val="es-MX"/>
        </w:rPr>
      </w:pPr>
      <w:r w:rsidRPr="000B2F2D">
        <w:rPr>
          <w:rFonts w:ascii="Arial" w:hAnsi="Arial" w:cs="Arial"/>
          <w:spacing w:val="-3"/>
          <w:sz w:val="24"/>
          <w:szCs w:val="24"/>
          <w:lang w:val="es-MX"/>
        </w:rPr>
        <w:t>En este capítulo del informe se agregan consideraciones relativas a la presentación de dichos estados y la evaluación del sistema de control interno. También se incluyen las principales recomendaciones que deberá atender el Organismo a efectos de corregir las deficiencias constatadas en el examen practicado y una evaluación del cumplimiento de la recomendación presentada en el Informe de Auditoría del ejercicio anterior.</w:t>
      </w:r>
    </w:p>
    <w:p w:rsidR="00B93477" w:rsidRPr="000B2F2D" w:rsidRDefault="00B93477" w:rsidP="00F05EE0">
      <w:pPr>
        <w:pStyle w:val="Textoindependiente"/>
        <w:spacing w:line="360" w:lineRule="auto"/>
        <w:rPr>
          <w:rFonts w:ascii="Arial" w:hAnsi="Arial" w:cs="Arial"/>
          <w:b/>
          <w:sz w:val="24"/>
          <w:szCs w:val="24"/>
        </w:rPr>
      </w:pPr>
      <w:r w:rsidRPr="000B2F2D">
        <w:rPr>
          <w:rFonts w:ascii="Arial" w:hAnsi="Arial" w:cs="Arial"/>
          <w:b/>
          <w:sz w:val="24"/>
          <w:szCs w:val="24"/>
        </w:rPr>
        <w:t>1) Presentación de estados financieros</w:t>
      </w:r>
    </w:p>
    <w:p w:rsidR="00B93477" w:rsidRPr="000B2F2D" w:rsidRDefault="00B93477" w:rsidP="00311791">
      <w:pPr>
        <w:widowControl w:val="0"/>
        <w:spacing w:line="360" w:lineRule="auto"/>
        <w:jc w:val="both"/>
        <w:rPr>
          <w:rFonts w:cs="Arial"/>
          <w:spacing w:val="-3"/>
          <w:lang w:val="es-MX"/>
        </w:rPr>
      </w:pPr>
      <w:r w:rsidRPr="000B2F2D">
        <w:rPr>
          <w:rFonts w:cs="Arial"/>
          <w:spacing w:val="-3"/>
          <w:lang w:val="es-MX"/>
        </w:rPr>
        <w:t>Los estados financieros de ANDE correspondientes al ejercicio finalizado el 31/12/2016 fueron aprobados por</w:t>
      </w:r>
      <w:r w:rsidRPr="000B2F2D">
        <w:rPr>
          <w:rFonts w:cs="Arial"/>
        </w:rPr>
        <w:t xml:space="preserve"> el Directorio de ANDE, según consta en el Acta </w:t>
      </w:r>
      <w:r w:rsidRPr="000B2F2D">
        <w:rPr>
          <w:rFonts w:cs="Arial"/>
          <w:spacing w:val="-3"/>
          <w:lang w:val="es-MX"/>
        </w:rPr>
        <w:t>N° 76/2017 de fecha 27/04/2017 remitida a este Tribunal. Los mismos fueron enviados a este Tribunal para su consideración con fecha 28/04/2017 dentro del plazo oportuname</w:t>
      </w:r>
      <w:r w:rsidR="00683FFA">
        <w:rPr>
          <w:rFonts w:cs="Arial"/>
          <w:spacing w:val="-3"/>
          <w:lang w:val="es-MX"/>
        </w:rPr>
        <w:t>nte otorgado por este Tribunal.</w:t>
      </w:r>
    </w:p>
    <w:p w:rsidR="00B93477" w:rsidRPr="000B2F2D" w:rsidRDefault="00B93477" w:rsidP="00F05EE0">
      <w:pPr>
        <w:pStyle w:val="Textoindependiente"/>
        <w:spacing w:line="360" w:lineRule="auto"/>
        <w:jc w:val="both"/>
        <w:rPr>
          <w:rFonts w:ascii="Arial" w:hAnsi="Arial" w:cs="Arial"/>
          <w:spacing w:val="-3"/>
          <w:sz w:val="24"/>
          <w:szCs w:val="24"/>
          <w:lang w:val="es-MX"/>
        </w:rPr>
      </w:pPr>
      <w:r w:rsidRPr="000B2F2D">
        <w:rPr>
          <w:rFonts w:ascii="Arial" w:hAnsi="Arial" w:cs="Arial"/>
          <w:spacing w:val="-3"/>
          <w:sz w:val="24"/>
          <w:szCs w:val="24"/>
          <w:lang w:val="es-MX"/>
        </w:rPr>
        <w:t>ANDE presentó el Estado de Situación Patrimonial al 31/12/2016, el Estado de Resultados, el Estado de Origen y Aplicación de Fondos y el Estado de Evolución del Patrimonio por el ejercicio anual finalizado el 31/12/2016, en forma comparativa con el ejercicio anterior, así como el Cuadro de Bienes de Uso, Intangibles y Amortizaciones por el ejercicio anual finali</w:t>
      </w:r>
      <w:r w:rsidR="00683FFA">
        <w:rPr>
          <w:rFonts w:ascii="Arial" w:hAnsi="Arial" w:cs="Arial"/>
          <w:spacing w:val="-3"/>
          <w:sz w:val="24"/>
          <w:szCs w:val="24"/>
          <w:lang w:val="es-MX"/>
        </w:rPr>
        <w:t>zado el 31/12/2016 y sus Notas.</w:t>
      </w:r>
    </w:p>
    <w:p w:rsidR="00B93477" w:rsidRPr="000B2F2D" w:rsidRDefault="00B93477" w:rsidP="00A64F71">
      <w:pPr>
        <w:pStyle w:val="Textoindependiente"/>
        <w:spacing w:line="360" w:lineRule="auto"/>
        <w:jc w:val="both"/>
        <w:rPr>
          <w:rFonts w:ascii="Arial" w:hAnsi="Arial" w:cs="Arial"/>
          <w:color w:val="FF0000"/>
          <w:spacing w:val="-3"/>
          <w:sz w:val="24"/>
          <w:szCs w:val="24"/>
          <w:lang w:val="es-MX"/>
        </w:rPr>
      </w:pPr>
      <w:r w:rsidRPr="000B2F2D">
        <w:rPr>
          <w:rFonts w:ascii="Arial" w:hAnsi="Arial" w:cs="Arial"/>
          <w:sz w:val="24"/>
          <w:szCs w:val="24"/>
        </w:rPr>
        <w:t>No se presentó  la ejecución presupuestal correspondiente al ejercicio 2016, no dándose cumplimiento a lo dispuesto por el artículo 159 del TOCAF.</w:t>
      </w:r>
    </w:p>
    <w:p w:rsidR="00B93477" w:rsidRPr="000B2F2D" w:rsidRDefault="00B93477" w:rsidP="00F05EE0">
      <w:pPr>
        <w:pStyle w:val="Textoindependiente"/>
        <w:spacing w:line="360" w:lineRule="auto"/>
        <w:jc w:val="both"/>
        <w:rPr>
          <w:rFonts w:ascii="Arial" w:hAnsi="Arial" w:cs="Arial"/>
          <w:spacing w:val="-3"/>
          <w:sz w:val="24"/>
          <w:szCs w:val="24"/>
          <w:lang w:val="es-MX"/>
        </w:rPr>
      </w:pPr>
      <w:r w:rsidRPr="000B2F2D">
        <w:rPr>
          <w:rFonts w:ascii="Arial" w:hAnsi="Arial" w:cs="Arial"/>
          <w:spacing w:val="-3"/>
          <w:sz w:val="24"/>
          <w:szCs w:val="24"/>
          <w:lang w:val="es-MX"/>
        </w:rPr>
        <w:t>De acuerdo a la Nota 2.1, los estados financieros de ANDE fueron preparados de acuerdo con lo preceptuado por la Ordenanza</w:t>
      </w:r>
      <w:r w:rsidR="00683FFA">
        <w:rPr>
          <w:rFonts w:ascii="Arial" w:hAnsi="Arial" w:cs="Arial"/>
          <w:spacing w:val="-3"/>
          <w:sz w:val="24"/>
          <w:szCs w:val="24"/>
          <w:lang w:val="es-MX"/>
        </w:rPr>
        <w:t xml:space="preserve"> Nº 81 del Tribunal de Cuentas.</w:t>
      </w:r>
    </w:p>
    <w:p w:rsidR="00B93477" w:rsidRPr="000B2F2D" w:rsidRDefault="00B93477" w:rsidP="00F05EE0">
      <w:pPr>
        <w:pStyle w:val="Textoindependiente"/>
        <w:spacing w:line="360" w:lineRule="auto"/>
        <w:jc w:val="both"/>
        <w:rPr>
          <w:rFonts w:ascii="Arial" w:hAnsi="Arial" w:cs="Arial"/>
          <w:spacing w:val="-3"/>
          <w:sz w:val="24"/>
          <w:szCs w:val="24"/>
          <w:lang w:val="es-MX"/>
        </w:rPr>
      </w:pPr>
    </w:p>
    <w:p w:rsidR="00B93477" w:rsidRPr="000B2F2D" w:rsidRDefault="00B93477" w:rsidP="002F4FD4">
      <w:pPr>
        <w:pStyle w:val="Textoindependiente2"/>
        <w:spacing w:line="360" w:lineRule="auto"/>
        <w:rPr>
          <w:rFonts w:ascii="Arial" w:hAnsi="Arial" w:cs="Arial"/>
          <w:b/>
          <w:sz w:val="24"/>
          <w:szCs w:val="24"/>
        </w:rPr>
      </w:pPr>
      <w:r w:rsidRPr="000B2F2D">
        <w:rPr>
          <w:rFonts w:ascii="Arial" w:hAnsi="Arial" w:cs="Arial"/>
          <w:b/>
          <w:sz w:val="24"/>
          <w:szCs w:val="24"/>
        </w:rPr>
        <w:t>2) Evaluación del sistema de control interno</w:t>
      </w:r>
    </w:p>
    <w:p w:rsidR="00B93477" w:rsidRPr="000B2F2D" w:rsidRDefault="00B93477" w:rsidP="002F4FD4">
      <w:pPr>
        <w:pStyle w:val="Textoindependiente"/>
        <w:spacing w:line="360" w:lineRule="auto"/>
        <w:jc w:val="both"/>
        <w:rPr>
          <w:rFonts w:ascii="Arial" w:hAnsi="Arial" w:cs="Arial"/>
          <w:bCs/>
          <w:color w:val="FF0000"/>
          <w:sz w:val="24"/>
          <w:szCs w:val="24"/>
        </w:rPr>
      </w:pPr>
      <w:r w:rsidRPr="000B2F2D">
        <w:rPr>
          <w:rFonts w:ascii="Arial" w:hAnsi="Arial" w:cs="Arial"/>
          <w:bCs/>
          <w:sz w:val="24"/>
          <w:szCs w:val="24"/>
        </w:rPr>
        <w:t>El examen de los aspectos de control interno relevantes para la preparación y presentación razonable de los estados financieros permitió constatar que, al cierre del ejercicio, no se realizaron arqueos de los vales por los préstamos concedidos, que se exponen en los estados fi</w:t>
      </w:r>
      <w:r w:rsidR="00683FFA">
        <w:rPr>
          <w:rFonts w:ascii="Arial" w:hAnsi="Arial" w:cs="Arial"/>
          <w:bCs/>
          <w:sz w:val="24"/>
          <w:szCs w:val="24"/>
        </w:rPr>
        <w:t>nancieros  por $ 193:596.802.</w:t>
      </w:r>
    </w:p>
    <w:p w:rsidR="00B93477" w:rsidRPr="00E52DFD" w:rsidRDefault="00B93477" w:rsidP="002F4FD4">
      <w:pPr>
        <w:spacing w:line="360" w:lineRule="auto"/>
        <w:jc w:val="both"/>
        <w:rPr>
          <w:rFonts w:cs="Arial"/>
          <w:highlight w:val="yellow"/>
          <w:lang w:val="es-UY"/>
        </w:rPr>
      </w:pPr>
    </w:p>
    <w:p w:rsidR="00B93477" w:rsidRPr="000B2F2D" w:rsidRDefault="00B93477" w:rsidP="002F4FD4">
      <w:pPr>
        <w:pStyle w:val="Sangradetextonormal"/>
        <w:tabs>
          <w:tab w:val="clear" w:pos="2552"/>
          <w:tab w:val="left" w:pos="0"/>
        </w:tabs>
        <w:spacing w:line="360" w:lineRule="auto"/>
        <w:ind w:firstLine="0"/>
        <w:rPr>
          <w:rFonts w:ascii="Arial" w:hAnsi="Arial" w:cs="Arial"/>
          <w:b/>
          <w:szCs w:val="24"/>
        </w:rPr>
      </w:pPr>
      <w:r w:rsidRPr="000B2F2D">
        <w:rPr>
          <w:rFonts w:ascii="Arial" w:hAnsi="Arial" w:cs="Arial"/>
          <w:b/>
          <w:szCs w:val="24"/>
        </w:rPr>
        <w:t>3)  Recomendaciones</w:t>
      </w:r>
    </w:p>
    <w:p w:rsidR="00B93477" w:rsidRPr="000B2F2D" w:rsidRDefault="00B93477" w:rsidP="002F4FD4">
      <w:pPr>
        <w:pStyle w:val="Textoindependiente"/>
        <w:spacing w:line="360" w:lineRule="auto"/>
        <w:jc w:val="both"/>
        <w:rPr>
          <w:rFonts w:ascii="Arial" w:hAnsi="Arial" w:cs="Arial"/>
          <w:spacing w:val="-3"/>
          <w:sz w:val="24"/>
          <w:szCs w:val="24"/>
          <w:lang w:val="es-MX"/>
        </w:rPr>
      </w:pPr>
      <w:r w:rsidRPr="000B2F2D">
        <w:rPr>
          <w:rFonts w:ascii="Arial" w:hAnsi="Arial" w:cs="Arial"/>
          <w:spacing w:val="-3"/>
          <w:sz w:val="24"/>
          <w:szCs w:val="24"/>
          <w:lang w:val="es-MX"/>
        </w:rPr>
        <w:t>Efectuado el seguimiento de la recomendación formulada en el Informe de Auditoría del ejercicio anterior, se concluye que:</w:t>
      </w:r>
    </w:p>
    <w:p w:rsidR="00B93477" w:rsidRPr="000B2F2D" w:rsidRDefault="00B93477" w:rsidP="002F4FD4">
      <w:pPr>
        <w:pStyle w:val="Sangradetextonormal"/>
        <w:tabs>
          <w:tab w:val="clear" w:pos="2552"/>
        </w:tabs>
        <w:spacing w:line="360" w:lineRule="auto"/>
        <w:ind w:firstLine="0"/>
        <w:rPr>
          <w:rFonts w:ascii="Arial" w:hAnsi="Arial" w:cs="Arial"/>
          <w:b/>
          <w:szCs w:val="24"/>
        </w:rPr>
      </w:pPr>
      <w:r w:rsidRPr="000B2F2D">
        <w:rPr>
          <w:rFonts w:ascii="Arial" w:hAnsi="Arial" w:cs="Arial"/>
          <w:b/>
          <w:szCs w:val="24"/>
        </w:rPr>
        <w:t>3.1) Recomendación cumplida</w:t>
      </w:r>
    </w:p>
    <w:p w:rsidR="00B93477" w:rsidRPr="000B2F2D" w:rsidRDefault="00B93477" w:rsidP="002F4FD4">
      <w:pPr>
        <w:pStyle w:val="Sangradetextonormal"/>
        <w:tabs>
          <w:tab w:val="clear" w:pos="2552"/>
        </w:tabs>
        <w:spacing w:line="360" w:lineRule="auto"/>
        <w:ind w:firstLine="0"/>
        <w:rPr>
          <w:rFonts w:ascii="Arial" w:hAnsi="Arial" w:cs="Arial"/>
          <w:spacing w:val="-3"/>
          <w:szCs w:val="24"/>
          <w:highlight w:val="yellow"/>
          <w:lang w:val="es-MX"/>
        </w:rPr>
      </w:pPr>
      <w:r w:rsidRPr="00120A5C">
        <w:rPr>
          <w:rFonts w:ascii="Arial" w:hAnsi="Arial" w:cs="Arial"/>
          <w:szCs w:val="24"/>
        </w:rPr>
        <w:t>-</w:t>
      </w:r>
      <w:r w:rsidRPr="000B2F2D">
        <w:rPr>
          <w:rFonts w:ascii="Arial" w:hAnsi="Arial" w:cs="Arial"/>
          <w:szCs w:val="24"/>
        </w:rPr>
        <w:t xml:space="preserve"> Se reveló e</w:t>
      </w:r>
      <w:r w:rsidRPr="000B2F2D">
        <w:rPr>
          <w:rFonts w:ascii="Arial" w:hAnsi="Arial" w:cs="Arial"/>
          <w:spacing w:val="-3"/>
          <w:szCs w:val="24"/>
          <w:lang w:val="es-MX"/>
        </w:rPr>
        <w:t>n las Notas la información requerida en relación al personal clave de la Institución.</w:t>
      </w:r>
    </w:p>
    <w:p w:rsidR="00B93477" w:rsidRPr="000B2F2D" w:rsidRDefault="00B93477" w:rsidP="002F4FD4">
      <w:pPr>
        <w:pStyle w:val="Sangradetextonormal"/>
        <w:tabs>
          <w:tab w:val="clear" w:pos="2552"/>
        </w:tabs>
        <w:spacing w:line="360" w:lineRule="auto"/>
        <w:ind w:firstLine="0"/>
        <w:rPr>
          <w:rFonts w:ascii="Arial" w:hAnsi="Arial" w:cs="Arial"/>
          <w:b/>
          <w:szCs w:val="24"/>
        </w:rPr>
      </w:pPr>
      <w:r w:rsidRPr="000B2F2D">
        <w:rPr>
          <w:rFonts w:ascii="Arial" w:hAnsi="Arial" w:cs="Arial"/>
          <w:b/>
          <w:szCs w:val="24"/>
        </w:rPr>
        <w:t>3.2) Recomendaciones del presente ejercicio</w:t>
      </w:r>
    </w:p>
    <w:p w:rsidR="00B93477" w:rsidRPr="000B2F2D" w:rsidRDefault="00B93477" w:rsidP="002F4FD4">
      <w:pPr>
        <w:pStyle w:val="Textoindependiente"/>
        <w:spacing w:line="360" w:lineRule="auto"/>
        <w:jc w:val="both"/>
        <w:rPr>
          <w:rFonts w:ascii="Arial" w:hAnsi="Arial" w:cs="Arial"/>
          <w:spacing w:val="-3"/>
          <w:sz w:val="24"/>
          <w:szCs w:val="24"/>
          <w:lang w:val="es-MX"/>
        </w:rPr>
      </w:pPr>
      <w:r w:rsidRPr="000B2F2D">
        <w:rPr>
          <w:rFonts w:ascii="Arial" w:hAnsi="Arial" w:cs="Arial"/>
          <w:spacing w:val="-3"/>
          <w:sz w:val="24"/>
          <w:szCs w:val="24"/>
          <w:lang w:val="es-MX"/>
        </w:rPr>
        <w:t>Se formulan las siguientes recomendaciones:</w:t>
      </w:r>
    </w:p>
    <w:p w:rsidR="00B93477" w:rsidRPr="000B2F2D" w:rsidRDefault="00B93477" w:rsidP="002F4FD4">
      <w:pPr>
        <w:pStyle w:val="Textoindependiente"/>
        <w:spacing w:line="360" w:lineRule="auto"/>
        <w:jc w:val="both"/>
        <w:rPr>
          <w:rFonts w:ascii="Arial" w:hAnsi="Arial" w:cs="Arial"/>
          <w:color w:val="FF0000"/>
          <w:spacing w:val="-3"/>
          <w:sz w:val="24"/>
          <w:szCs w:val="24"/>
          <w:lang w:val="es-MX"/>
        </w:rPr>
      </w:pPr>
      <w:r w:rsidRPr="000B2F2D">
        <w:rPr>
          <w:rFonts w:ascii="Arial" w:hAnsi="Arial" w:cs="Arial"/>
          <w:spacing w:val="-3"/>
          <w:sz w:val="24"/>
          <w:szCs w:val="24"/>
          <w:lang w:val="es-MX"/>
        </w:rPr>
        <w:t>-Remitir al Tribunal de Cuentas la ejecución presupuestal junto con los estados financieros según lo dispuesto en el artículo 159 del TOC</w:t>
      </w:r>
      <w:r w:rsidR="00683FFA">
        <w:rPr>
          <w:rFonts w:ascii="Arial" w:hAnsi="Arial" w:cs="Arial"/>
          <w:spacing w:val="-3"/>
          <w:sz w:val="24"/>
          <w:szCs w:val="24"/>
          <w:lang w:val="es-MX"/>
        </w:rPr>
        <w:t>AF (Numeral 1 de este Informe).</w:t>
      </w:r>
    </w:p>
    <w:p w:rsidR="00B93477" w:rsidRPr="000B2F2D" w:rsidRDefault="00B93477" w:rsidP="002F4FD4">
      <w:pPr>
        <w:pStyle w:val="Textoindependiente"/>
        <w:spacing w:line="360" w:lineRule="auto"/>
        <w:jc w:val="both"/>
        <w:rPr>
          <w:rFonts w:ascii="Arial" w:hAnsi="Arial" w:cs="Arial"/>
          <w:color w:val="FF0000"/>
          <w:spacing w:val="-3"/>
          <w:sz w:val="24"/>
          <w:szCs w:val="24"/>
          <w:lang w:val="es-MX"/>
        </w:rPr>
      </w:pPr>
      <w:r w:rsidRPr="000B2F2D">
        <w:rPr>
          <w:rFonts w:ascii="Arial" w:hAnsi="Arial" w:cs="Arial"/>
          <w:spacing w:val="-3"/>
          <w:sz w:val="24"/>
          <w:szCs w:val="24"/>
          <w:lang w:val="es-MX"/>
        </w:rPr>
        <w:t>-Presentar los estados financieros firmados por e</w:t>
      </w:r>
      <w:r w:rsidR="00683FFA">
        <w:rPr>
          <w:rFonts w:ascii="Arial" w:hAnsi="Arial" w:cs="Arial"/>
          <w:spacing w:val="-3"/>
          <w:sz w:val="24"/>
          <w:szCs w:val="24"/>
          <w:lang w:val="es-MX"/>
        </w:rPr>
        <w:t>l Jerarca máximo del Organismo.</w:t>
      </w:r>
    </w:p>
    <w:p w:rsidR="00B93477" w:rsidRPr="000B2F2D" w:rsidRDefault="00B93477" w:rsidP="002F4FD4">
      <w:pPr>
        <w:pStyle w:val="Textoindependiente"/>
        <w:spacing w:line="360" w:lineRule="auto"/>
        <w:jc w:val="both"/>
        <w:rPr>
          <w:rFonts w:ascii="Arial" w:hAnsi="Arial" w:cs="Arial"/>
          <w:spacing w:val="-3"/>
          <w:sz w:val="24"/>
          <w:szCs w:val="24"/>
          <w:lang w:val="es-MX"/>
        </w:rPr>
      </w:pPr>
      <w:r w:rsidRPr="000B2F2D">
        <w:rPr>
          <w:rFonts w:ascii="Arial" w:hAnsi="Arial" w:cs="Arial"/>
          <w:spacing w:val="-3"/>
          <w:sz w:val="24"/>
          <w:szCs w:val="24"/>
          <w:lang w:val="es-MX"/>
        </w:rPr>
        <w:t>-Remitir la Carta de Represe</w:t>
      </w:r>
      <w:r w:rsidR="00683FFA">
        <w:rPr>
          <w:rFonts w:ascii="Arial" w:hAnsi="Arial" w:cs="Arial"/>
          <w:spacing w:val="-3"/>
          <w:sz w:val="24"/>
          <w:szCs w:val="24"/>
          <w:lang w:val="es-MX"/>
        </w:rPr>
        <w:t>ntaciones de la Administración.</w:t>
      </w:r>
    </w:p>
    <w:p w:rsidR="00B93477" w:rsidRPr="000B2F2D" w:rsidRDefault="00B93477" w:rsidP="002F4FD4">
      <w:pPr>
        <w:pStyle w:val="Textoindependiente"/>
        <w:spacing w:line="360" w:lineRule="auto"/>
        <w:jc w:val="both"/>
        <w:rPr>
          <w:rFonts w:ascii="Arial" w:hAnsi="Arial" w:cs="Arial"/>
          <w:spacing w:val="-3"/>
          <w:sz w:val="24"/>
          <w:szCs w:val="24"/>
          <w:lang w:val="es-MX"/>
        </w:rPr>
      </w:pPr>
      <w:r w:rsidRPr="000B2F2D">
        <w:rPr>
          <w:rFonts w:ascii="Arial" w:hAnsi="Arial" w:cs="Arial"/>
          <w:spacing w:val="-3"/>
          <w:sz w:val="24"/>
          <w:szCs w:val="24"/>
          <w:lang w:val="es-MX"/>
        </w:rPr>
        <w:t>- Efectuar los depósitos de fondos exclusivamente en el BROU.</w:t>
      </w:r>
    </w:p>
    <w:p w:rsidR="00B93477" w:rsidRPr="000B2F2D" w:rsidRDefault="00B93477" w:rsidP="002F4FD4">
      <w:pPr>
        <w:pStyle w:val="Textoindependiente"/>
        <w:spacing w:line="360" w:lineRule="auto"/>
        <w:jc w:val="both"/>
        <w:rPr>
          <w:rFonts w:ascii="Arial" w:hAnsi="Arial" w:cs="Arial"/>
          <w:spacing w:val="-3"/>
          <w:sz w:val="24"/>
          <w:szCs w:val="24"/>
          <w:lang w:val="es-MX"/>
        </w:rPr>
      </w:pPr>
      <w:r w:rsidRPr="000B2F2D">
        <w:rPr>
          <w:rFonts w:ascii="Arial" w:hAnsi="Arial" w:cs="Arial"/>
          <w:spacing w:val="-3"/>
          <w:sz w:val="24"/>
          <w:szCs w:val="24"/>
          <w:lang w:val="es-MX"/>
        </w:rPr>
        <w:t>- Realizar arqueos de los vales por los préstamos concedidos a fecha de cierre de ejercicio (Numeral 2 de este Informe).</w:t>
      </w:r>
    </w:p>
    <w:p w:rsidR="00B93477" w:rsidRPr="000B2F2D" w:rsidRDefault="00B93477" w:rsidP="002F4FD4">
      <w:pPr>
        <w:pStyle w:val="Textoindependiente"/>
        <w:autoSpaceDE w:val="0"/>
        <w:autoSpaceDN w:val="0"/>
        <w:adjustRightInd w:val="0"/>
        <w:spacing w:line="360" w:lineRule="auto"/>
        <w:jc w:val="right"/>
        <w:rPr>
          <w:rFonts w:ascii="Arial" w:hAnsi="Arial" w:cs="Arial"/>
          <w:spacing w:val="-3"/>
          <w:sz w:val="24"/>
          <w:szCs w:val="24"/>
          <w:lang w:val="es-MX"/>
        </w:rPr>
      </w:pPr>
      <w:r w:rsidRPr="000B2F2D">
        <w:rPr>
          <w:rFonts w:ascii="Arial" w:hAnsi="Arial" w:cs="Arial"/>
          <w:spacing w:val="-3"/>
          <w:sz w:val="24"/>
          <w:szCs w:val="24"/>
          <w:lang w:val="es-MX"/>
        </w:rPr>
        <w:t>M</w:t>
      </w:r>
      <w:r w:rsidR="00683FFA">
        <w:rPr>
          <w:rFonts w:ascii="Arial" w:hAnsi="Arial" w:cs="Arial"/>
          <w:spacing w:val="-3"/>
          <w:sz w:val="24"/>
          <w:szCs w:val="24"/>
          <w:lang w:val="es-MX"/>
        </w:rPr>
        <w:t>ontevideo, 30 de agosto de 2017</w:t>
      </w:r>
    </w:p>
    <w:p w:rsidR="00B93477" w:rsidRPr="000B2F2D" w:rsidRDefault="00B93477" w:rsidP="002F4FD4">
      <w:pPr>
        <w:pStyle w:val="Textoindependiente"/>
        <w:autoSpaceDE w:val="0"/>
        <w:autoSpaceDN w:val="0"/>
        <w:adjustRightInd w:val="0"/>
        <w:spacing w:line="360" w:lineRule="auto"/>
        <w:jc w:val="right"/>
        <w:rPr>
          <w:rFonts w:ascii="Arial" w:hAnsi="Arial" w:cs="Arial"/>
          <w:spacing w:val="-3"/>
          <w:sz w:val="24"/>
          <w:szCs w:val="24"/>
          <w:lang w:val="es-MX"/>
        </w:rPr>
      </w:pPr>
    </w:p>
    <w:p w:rsidR="00B93477" w:rsidRPr="00B93477" w:rsidRDefault="00B93477" w:rsidP="00B93477">
      <w:pPr>
        <w:pStyle w:val="Textonormal"/>
        <w:tabs>
          <w:tab w:val="left" w:pos="5070"/>
        </w:tabs>
        <w:spacing w:line="240" w:lineRule="auto"/>
        <w:jc w:val="left"/>
        <w:rPr>
          <w:rFonts w:ascii="Arial" w:hAnsi="Arial" w:cs="Arial"/>
          <w:b/>
          <w:szCs w:val="24"/>
        </w:rPr>
      </w:pPr>
      <w:proofErr w:type="spellStart"/>
      <w:proofErr w:type="gramStart"/>
      <w:r>
        <w:rPr>
          <w:rFonts w:ascii="Arial" w:hAnsi="Arial" w:cs="Arial"/>
          <w:bCs/>
          <w:szCs w:val="24"/>
        </w:rPr>
        <w:t>ag</w:t>
      </w:r>
      <w:proofErr w:type="spellEnd"/>
      <w:proofErr w:type="gramEnd"/>
    </w:p>
    <w:sectPr w:rsidR="00B93477" w:rsidRPr="00B93477" w:rsidSect="00354C28">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A033E3"/>
    <w:multiLevelType w:val="hybridMultilevel"/>
    <w:tmpl w:val="C25617D4"/>
    <w:lvl w:ilvl="0" w:tplc="9F8A1CCE">
      <w:start w:val="1"/>
      <w:numFmt w:val="decimal"/>
      <w:lvlText w:val="%1)"/>
      <w:lvlJc w:val="left"/>
      <w:pPr>
        <w:tabs>
          <w:tab w:val="num" w:pos="360"/>
        </w:tabs>
        <w:ind w:left="340" w:hanging="340"/>
      </w:pPr>
      <w:rPr>
        <w:rFonts w:ascii="Arial" w:eastAsia="Calibri" w:hAnsi="Arial" w:cs="Times New Roman"/>
        <w:b/>
        <w:sz w:val="24"/>
      </w:rPr>
    </w:lvl>
    <w:lvl w:ilvl="1" w:tplc="2F3A4A26">
      <w:start w:val="4"/>
      <w:numFmt w:val="decimal"/>
      <w:lvlText w:val="%2."/>
      <w:lvlJc w:val="left"/>
      <w:pPr>
        <w:tabs>
          <w:tab w:val="num" w:pos="1515"/>
        </w:tabs>
        <w:ind w:left="1515" w:hanging="435"/>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5E8"/>
    <w:rsid w:val="00117D40"/>
    <w:rsid w:val="00120A5C"/>
    <w:rsid w:val="001444A4"/>
    <w:rsid w:val="00354C28"/>
    <w:rsid w:val="0039492A"/>
    <w:rsid w:val="004B6340"/>
    <w:rsid w:val="005E2567"/>
    <w:rsid w:val="005F6447"/>
    <w:rsid w:val="00620C59"/>
    <w:rsid w:val="006545E8"/>
    <w:rsid w:val="00674ECE"/>
    <w:rsid w:val="00683FFA"/>
    <w:rsid w:val="00A3092E"/>
    <w:rsid w:val="00B93477"/>
    <w:rsid w:val="00D27CBF"/>
    <w:rsid w:val="00E52DFD"/>
    <w:rsid w:val="00F31B2C"/>
    <w:rsid w:val="00F906D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5E8"/>
    <w:pPr>
      <w:spacing w:after="0" w:line="240" w:lineRule="auto"/>
    </w:pPr>
    <w:rPr>
      <w:rFonts w:ascii="Arial" w:eastAsia="Times New Roman" w:hAnsi="Arial" w:cs="Times New Roman"/>
      <w:sz w:val="24"/>
      <w:szCs w:val="24"/>
      <w:lang w:val="es-ES" w:eastAsia="es-ES"/>
    </w:rPr>
  </w:style>
  <w:style w:type="paragraph" w:styleId="Ttulo3">
    <w:name w:val="heading 3"/>
    <w:basedOn w:val="Normal"/>
    <w:next w:val="Normal"/>
    <w:link w:val="Ttulo3Car"/>
    <w:qFormat/>
    <w:rsid w:val="00B93477"/>
    <w:pPr>
      <w:keepNext/>
      <w:jc w:val="center"/>
      <w:outlineLvl w:val="2"/>
    </w:pPr>
    <w:rPr>
      <w:rFonts w:ascii="Bookman Old Style" w:hAnsi="Bookman Old Style"/>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6545E8"/>
    <w:pPr>
      <w:spacing w:line="480" w:lineRule="auto"/>
    </w:pPr>
    <w:rPr>
      <w:rFonts w:ascii="Times New Roman" w:hAnsi="Times New Roman"/>
      <w:sz w:val="23"/>
      <w:szCs w:val="23"/>
      <w:lang w:val="es-UY"/>
    </w:rPr>
  </w:style>
  <w:style w:type="character" w:customStyle="1" w:styleId="TextoindependienteCar">
    <w:name w:val="Texto independiente Car"/>
    <w:basedOn w:val="Fuentedeprrafopredeter"/>
    <w:link w:val="Textoindependiente"/>
    <w:semiHidden/>
    <w:rsid w:val="006545E8"/>
    <w:rPr>
      <w:rFonts w:ascii="Times New Roman" w:eastAsia="Times New Roman" w:hAnsi="Times New Roman" w:cs="Times New Roman"/>
      <w:sz w:val="23"/>
      <w:szCs w:val="23"/>
      <w:lang w:eastAsia="es-ES"/>
    </w:rPr>
  </w:style>
  <w:style w:type="paragraph" w:styleId="Prrafodelista">
    <w:name w:val="List Paragraph"/>
    <w:basedOn w:val="Normal"/>
    <w:uiPriority w:val="34"/>
    <w:qFormat/>
    <w:rsid w:val="005F6447"/>
    <w:pPr>
      <w:ind w:left="720"/>
      <w:contextualSpacing/>
    </w:pPr>
  </w:style>
  <w:style w:type="character" w:customStyle="1" w:styleId="Ttulo3Car">
    <w:name w:val="Título 3 Car"/>
    <w:basedOn w:val="Fuentedeprrafopredeter"/>
    <w:link w:val="Ttulo3"/>
    <w:rsid w:val="00B93477"/>
    <w:rPr>
      <w:rFonts w:ascii="Bookman Old Style" w:eastAsia="Times New Roman" w:hAnsi="Bookman Old Style" w:cs="Times New Roman"/>
      <w:b/>
      <w:sz w:val="24"/>
      <w:szCs w:val="20"/>
      <w:lang w:val="es-ES" w:eastAsia="es-ES"/>
    </w:rPr>
  </w:style>
  <w:style w:type="paragraph" w:styleId="Textoindependiente2">
    <w:name w:val="Body Text 2"/>
    <w:basedOn w:val="Normal"/>
    <w:link w:val="Textoindependiente2Car"/>
    <w:semiHidden/>
    <w:rsid w:val="00B93477"/>
    <w:pPr>
      <w:spacing w:line="480" w:lineRule="auto"/>
      <w:jc w:val="both"/>
    </w:pPr>
    <w:rPr>
      <w:rFonts w:ascii="Times New Roman" w:hAnsi="Times New Roman"/>
      <w:sz w:val="23"/>
      <w:szCs w:val="23"/>
      <w:lang w:val="es-UY"/>
    </w:rPr>
  </w:style>
  <w:style w:type="character" w:customStyle="1" w:styleId="Textoindependiente2Car">
    <w:name w:val="Texto independiente 2 Car"/>
    <w:basedOn w:val="Fuentedeprrafopredeter"/>
    <w:link w:val="Textoindependiente2"/>
    <w:semiHidden/>
    <w:rsid w:val="00B93477"/>
    <w:rPr>
      <w:rFonts w:ascii="Times New Roman" w:eastAsia="Times New Roman" w:hAnsi="Times New Roman" w:cs="Times New Roman"/>
      <w:sz w:val="23"/>
      <w:szCs w:val="23"/>
      <w:lang w:eastAsia="es-ES"/>
    </w:rPr>
  </w:style>
  <w:style w:type="paragraph" w:styleId="Sangradetextonormal">
    <w:name w:val="Body Text Indent"/>
    <w:basedOn w:val="Normal"/>
    <w:link w:val="SangradetextonormalCar"/>
    <w:semiHidden/>
    <w:rsid w:val="00B93477"/>
    <w:pPr>
      <w:tabs>
        <w:tab w:val="left" w:pos="2552"/>
      </w:tabs>
      <w:ind w:firstLine="2552"/>
      <w:jc w:val="both"/>
    </w:pPr>
    <w:rPr>
      <w:rFonts w:ascii="Bookman Old Style" w:hAnsi="Bookman Old Style"/>
      <w:szCs w:val="20"/>
    </w:rPr>
  </w:style>
  <w:style w:type="character" w:customStyle="1" w:styleId="SangradetextonormalCar">
    <w:name w:val="Sangría de texto normal Car"/>
    <w:basedOn w:val="Fuentedeprrafopredeter"/>
    <w:link w:val="Sangradetextonormal"/>
    <w:semiHidden/>
    <w:rsid w:val="00B93477"/>
    <w:rPr>
      <w:rFonts w:ascii="Bookman Old Style" w:eastAsia="Times New Roman" w:hAnsi="Bookman Old Style" w:cs="Times New Roman"/>
      <w:sz w:val="24"/>
      <w:szCs w:val="20"/>
      <w:lang w:val="es-ES" w:eastAsia="es-ES"/>
    </w:rPr>
  </w:style>
  <w:style w:type="paragraph" w:customStyle="1" w:styleId="Textonormal">
    <w:name w:val="Texto normal"/>
    <w:basedOn w:val="Textoindependiente"/>
    <w:rsid w:val="00B93477"/>
    <w:pPr>
      <w:widowControl w:val="0"/>
      <w:tabs>
        <w:tab w:val="left" w:pos="-720"/>
      </w:tabs>
      <w:suppressAutoHyphens/>
      <w:jc w:val="both"/>
    </w:pPr>
    <w:rPr>
      <w:rFonts w:ascii="Courier" w:hAnsi="Courier" w:cs="Courier"/>
      <w:spacing w:val="-3"/>
      <w:sz w:val="24"/>
      <w:szCs w:val="20"/>
      <w:lang w:val="es-ES_tradnl"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5E8"/>
    <w:pPr>
      <w:spacing w:after="0" w:line="240" w:lineRule="auto"/>
    </w:pPr>
    <w:rPr>
      <w:rFonts w:ascii="Arial" w:eastAsia="Times New Roman" w:hAnsi="Arial" w:cs="Times New Roman"/>
      <w:sz w:val="24"/>
      <w:szCs w:val="24"/>
      <w:lang w:val="es-ES" w:eastAsia="es-ES"/>
    </w:rPr>
  </w:style>
  <w:style w:type="paragraph" w:styleId="Ttulo3">
    <w:name w:val="heading 3"/>
    <w:basedOn w:val="Normal"/>
    <w:next w:val="Normal"/>
    <w:link w:val="Ttulo3Car"/>
    <w:qFormat/>
    <w:rsid w:val="00B93477"/>
    <w:pPr>
      <w:keepNext/>
      <w:jc w:val="center"/>
      <w:outlineLvl w:val="2"/>
    </w:pPr>
    <w:rPr>
      <w:rFonts w:ascii="Bookman Old Style" w:hAnsi="Bookman Old Style"/>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6545E8"/>
    <w:pPr>
      <w:spacing w:line="480" w:lineRule="auto"/>
    </w:pPr>
    <w:rPr>
      <w:rFonts w:ascii="Times New Roman" w:hAnsi="Times New Roman"/>
      <w:sz w:val="23"/>
      <w:szCs w:val="23"/>
      <w:lang w:val="es-UY"/>
    </w:rPr>
  </w:style>
  <w:style w:type="character" w:customStyle="1" w:styleId="TextoindependienteCar">
    <w:name w:val="Texto independiente Car"/>
    <w:basedOn w:val="Fuentedeprrafopredeter"/>
    <w:link w:val="Textoindependiente"/>
    <w:semiHidden/>
    <w:rsid w:val="006545E8"/>
    <w:rPr>
      <w:rFonts w:ascii="Times New Roman" w:eastAsia="Times New Roman" w:hAnsi="Times New Roman" w:cs="Times New Roman"/>
      <w:sz w:val="23"/>
      <w:szCs w:val="23"/>
      <w:lang w:eastAsia="es-ES"/>
    </w:rPr>
  </w:style>
  <w:style w:type="paragraph" w:styleId="Prrafodelista">
    <w:name w:val="List Paragraph"/>
    <w:basedOn w:val="Normal"/>
    <w:uiPriority w:val="34"/>
    <w:qFormat/>
    <w:rsid w:val="005F6447"/>
    <w:pPr>
      <w:ind w:left="720"/>
      <w:contextualSpacing/>
    </w:pPr>
  </w:style>
  <w:style w:type="character" w:customStyle="1" w:styleId="Ttulo3Car">
    <w:name w:val="Título 3 Car"/>
    <w:basedOn w:val="Fuentedeprrafopredeter"/>
    <w:link w:val="Ttulo3"/>
    <w:rsid w:val="00B93477"/>
    <w:rPr>
      <w:rFonts w:ascii="Bookman Old Style" w:eastAsia="Times New Roman" w:hAnsi="Bookman Old Style" w:cs="Times New Roman"/>
      <w:b/>
      <w:sz w:val="24"/>
      <w:szCs w:val="20"/>
      <w:lang w:val="es-ES" w:eastAsia="es-ES"/>
    </w:rPr>
  </w:style>
  <w:style w:type="paragraph" w:styleId="Textoindependiente2">
    <w:name w:val="Body Text 2"/>
    <w:basedOn w:val="Normal"/>
    <w:link w:val="Textoindependiente2Car"/>
    <w:semiHidden/>
    <w:rsid w:val="00B93477"/>
    <w:pPr>
      <w:spacing w:line="480" w:lineRule="auto"/>
      <w:jc w:val="both"/>
    </w:pPr>
    <w:rPr>
      <w:rFonts w:ascii="Times New Roman" w:hAnsi="Times New Roman"/>
      <w:sz w:val="23"/>
      <w:szCs w:val="23"/>
      <w:lang w:val="es-UY"/>
    </w:rPr>
  </w:style>
  <w:style w:type="character" w:customStyle="1" w:styleId="Textoindependiente2Car">
    <w:name w:val="Texto independiente 2 Car"/>
    <w:basedOn w:val="Fuentedeprrafopredeter"/>
    <w:link w:val="Textoindependiente2"/>
    <w:semiHidden/>
    <w:rsid w:val="00B93477"/>
    <w:rPr>
      <w:rFonts w:ascii="Times New Roman" w:eastAsia="Times New Roman" w:hAnsi="Times New Roman" w:cs="Times New Roman"/>
      <w:sz w:val="23"/>
      <w:szCs w:val="23"/>
      <w:lang w:eastAsia="es-ES"/>
    </w:rPr>
  </w:style>
  <w:style w:type="paragraph" w:styleId="Sangradetextonormal">
    <w:name w:val="Body Text Indent"/>
    <w:basedOn w:val="Normal"/>
    <w:link w:val="SangradetextonormalCar"/>
    <w:semiHidden/>
    <w:rsid w:val="00B93477"/>
    <w:pPr>
      <w:tabs>
        <w:tab w:val="left" w:pos="2552"/>
      </w:tabs>
      <w:ind w:firstLine="2552"/>
      <w:jc w:val="both"/>
    </w:pPr>
    <w:rPr>
      <w:rFonts w:ascii="Bookman Old Style" w:hAnsi="Bookman Old Style"/>
      <w:szCs w:val="20"/>
    </w:rPr>
  </w:style>
  <w:style w:type="character" w:customStyle="1" w:styleId="SangradetextonormalCar">
    <w:name w:val="Sangría de texto normal Car"/>
    <w:basedOn w:val="Fuentedeprrafopredeter"/>
    <w:link w:val="Sangradetextonormal"/>
    <w:semiHidden/>
    <w:rsid w:val="00B93477"/>
    <w:rPr>
      <w:rFonts w:ascii="Bookman Old Style" w:eastAsia="Times New Roman" w:hAnsi="Bookman Old Style" w:cs="Times New Roman"/>
      <w:sz w:val="24"/>
      <w:szCs w:val="20"/>
      <w:lang w:val="es-ES" w:eastAsia="es-ES"/>
    </w:rPr>
  </w:style>
  <w:style w:type="paragraph" w:customStyle="1" w:styleId="Textonormal">
    <w:name w:val="Texto normal"/>
    <w:basedOn w:val="Textoindependiente"/>
    <w:rsid w:val="00B93477"/>
    <w:pPr>
      <w:widowControl w:val="0"/>
      <w:tabs>
        <w:tab w:val="left" w:pos="-720"/>
      </w:tabs>
      <w:suppressAutoHyphens/>
      <w:jc w:val="both"/>
    </w:pPr>
    <w:rPr>
      <w:rFonts w:ascii="Courier" w:hAnsi="Courier" w:cs="Courier"/>
      <w:spacing w:val="-3"/>
      <w:sz w:val="24"/>
      <w:szCs w:val="20"/>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6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1300</Words>
  <Characters>7154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9</cp:revision>
  <dcterms:created xsi:type="dcterms:W3CDTF">2017-09-19T17:49:00Z</dcterms:created>
  <dcterms:modified xsi:type="dcterms:W3CDTF">2017-12-13T19:50:00Z</dcterms:modified>
</cp:coreProperties>
</file>