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1D61" w:rsidRPr="00786EEB" w:rsidRDefault="00B31D61" w:rsidP="00786EEB">
      <w:pPr>
        <w:tabs>
          <w:tab w:val="center" w:pos="4253"/>
        </w:tabs>
        <w:suppressAutoHyphens/>
        <w:jc w:val="right"/>
        <w:rPr>
          <w:rFonts w:cs="Arial"/>
          <w:b/>
          <w:sz w:val="28"/>
          <w:szCs w:val="28"/>
          <w:lang w:val="es-ES_tradnl"/>
        </w:rPr>
      </w:pPr>
      <w:bookmarkStart w:id="0" w:name="_GoBack"/>
      <w:bookmarkEnd w:id="0"/>
      <w:r>
        <w:rPr>
          <w:rFonts w:cs="Arial"/>
          <w:b/>
          <w:sz w:val="28"/>
          <w:szCs w:val="28"/>
          <w:lang w:val="es-ES_tradnl"/>
        </w:rPr>
        <w:t>RES. 2946/17</w:t>
      </w:r>
    </w:p>
    <w:p w:rsidR="00B31D61" w:rsidRDefault="00B31D61" w:rsidP="00786EEB">
      <w:pPr>
        <w:tabs>
          <w:tab w:val="center" w:pos="4253"/>
        </w:tabs>
        <w:suppressAutoHyphens/>
        <w:jc w:val="right"/>
        <w:rPr>
          <w:rFonts w:cs="Arial"/>
          <w:b/>
          <w:lang w:val="es-ES_tradnl"/>
        </w:rPr>
      </w:pPr>
    </w:p>
    <w:p w:rsidR="00B31D61" w:rsidRPr="00762B34" w:rsidRDefault="00B31D61">
      <w:pPr>
        <w:tabs>
          <w:tab w:val="center" w:pos="4253"/>
        </w:tabs>
        <w:suppressAutoHyphens/>
        <w:jc w:val="center"/>
        <w:rPr>
          <w:rFonts w:cs="Arial"/>
          <w:b/>
          <w:lang w:val="es-ES_tradnl"/>
        </w:rPr>
      </w:pPr>
      <w:r w:rsidRPr="00762B34">
        <w:rPr>
          <w:rFonts w:cs="Arial"/>
          <w:b/>
          <w:lang w:val="es-ES_tradnl"/>
        </w:rPr>
        <w:t>RESOLUCION ADOPTADA POR EL</w:t>
      </w:r>
    </w:p>
    <w:p w:rsidR="00B31D61" w:rsidRPr="00762B34" w:rsidRDefault="00B31D61">
      <w:pPr>
        <w:tabs>
          <w:tab w:val="left" w:pos="-720"/>
        </w:tabs>
        <w:suppressAutoHyphens/>
        <w:jc w:val="center"/>
        <w:rPr>
          <w:rFonts w:cs="Arial"/>
          <w:b/>
          <w:lang w:val="es-ES_tradnl"/>
        </w:rPr>
      </w:pPr>
    </w:p>
    <w:p w:rsidR="00B31D61" w:rsidRPr="00762B34" w:rsidRDefault="00B31D61">
      <w:pPr>
        <w:tabs>
          <w:tab w:val="center" w:pos="4253"/>
        </w:tabs>
        <w:suppressAutoHyphens/>
        <w:jc w:val="center"/>
        <w:rPr>
          <w:rFonts w:cs="Arial"/>
          <w:b/>
          <w:lang w:val="es-ES_tradnl"/>
        </w:rPr>
      </w:pPr>
      <w:r w:rsidRPr="00762B34">
        <w:rPr>
          <w:rFonts w:cs="Arial"/>
          <w:b/>
          <w:lang w:val="es-ES_tradnl"/>
        </w:rPr>
        <w:t>TRIBUNAL DE CUENTAS</w:t>
      </w:r>
    </w:p>
    <w:p w:rsidR="00B31D61" w:rsidRPr="00762B34" w:rsidRDefault="00B31D61">
      <w:pPr>
        <w:tabs>
          <w:tab w:val="left" w:pos="-720"/>
        </w:tabs>
        <w:suppressAutoHyphens/>
        <w:jc w:val="center"/>
        <w:rPr>
          <w:rFonts w:cs="Arial"/>
          <w:b/>
          <w:lang w:val="es-ES_tradnl"/>
        </w:rPr>
      </w:pPr>
    </w:p>
    <w:p w:rsidR="00B31D61" w:rsidRPr="00762B34" w:rsidRDefault="00B31D61">
      <w:pPr>
        <w:tabs>
          <w:tab w:val="center" w:pos="4253"/>
        </w:tabs>
        <w:suppressAutoHyphens/>
        <w:jc w:val="center"/>
        <w:rPr>
          <w:rFonts w:cs="Arial"/>
          <w:b/>
          <w:lang w:val="es-ES_tradnl"/>
        </w:rPr>
      </w:pPr>
      <w:r w:rsidRPr="00762B34">
        <w:rPr>
          <w:rFonts w:cs="Arial"/>
          <w:b/>
          <w:lang w:val="es-ES_tradnl"/>
        </w:rPr>
        <w:t xml:space="preserve">EN SESION DE FECHA </w:t>
      </w:r>
      <w:r>
        <w:rPr>
          <w:rFonts w:cs="Arial"/>
          <w:b/>
          <w:lang w:val="es-ES_tradnl"/>
        </w:rPr>
        <w:t xml:space="preserve">13 DE SETIEMBRE </w:t>
      </w:r>
      <w:r>
        <w:rPr>
          <w:rFonts w:ascii="Helvetica" w:hAnsi="Helvetica"/>
          <w:b/>
          <w:lang w:val="es-ES_tradnl"/>
        </w:rPr>
        <w:t>DE 2017</w:t>
      </w:r>
    </w:p>
    <w:p w:rsidR="00B31D61" w:rsidRPr="00762B34" w:rsidRDefault="00B31D61">
      <w:pPr>
        <w:tabs>
          <w:tab w:val="center" w:pos="4253"/>
        </w:tabs>
        <w:suppressAutoHyphens/>
        <w:jc w:val="center"/>
        <w:rPr>
          <w:rFonts w:cs="Arial"/>
          <w:b/>
          <w:lang w:val="es-ES_tradnl"/>
        </w:rPr>
      </w:pPr>
    </w:p>
    <w:p w:rsidR="00B31D61" w:rsidRPr="00B31D61" w:rsidRDefault="00B31D61">
      <w:pPr>
        <w:tabs>
          <w:tab w:val="center" w:pos="4253"/>
        </w:tabs>
        <w:suppressAutoHyphens/>
        <w:jc w:val="center"/>
        <w:rPr>
          <w:rFonts w:cs="Arial"/>
          <w:b/>
          <w:lang w:val="es-AR"/>
        </w:rPr>
      </w:pPr>
      <w:r w:rsidRPr="00B31D61">
        <w:rPr>
          <w:rFonts w:cs="Arial"/>
          <w:b/>
          <w:lang w:val="es-AR"/>
        </w:rPr>
        <w:t xml:space="preserve">(E. E. Nº 2017-17-1-0004020, </w:t>
      </w:r>
      <w:proofErr w:type="spellStart"/>
      <w:r w:rsidRPr="00B31D61">
        <w:rPr>
          <w:rFonts w:cs="Arial"/>
          <w:b/>
          <w:lang w:val="es-AR"/>
        </w:rPr>
        <w:t>Ents</w:t>
      </w:r>
      <w:proofErr w:type="spellEnd"/>
      <w:r w:rsidRPr="00B31D61">
        <w:rPr>
          <w:rFonts w:cs="Arial"/>
          <w:b/>
          <w:lang w:val="es-AR"/>
        </w:rPr>
        <w:t xml:space="preserve">. </w:t>
      </w:r>
      <w:r>
        <w:rPr>
          <w:rFonts w:cs="Arial"/>
          <w:b/>
          <w:lang w:val="es-AR"/>
        </w:rPr>
        <w:t>3271/17 y 3767/17</w:t>
      </w:r>
      <w:r w:rsidRPr="00B31D61">
        <w:rPr>
          <w:rFonts w:cs="Arial"/>
          <w:b/>
          <w:lang w:val="es-AR"/>
        </w:rPr>
        <w:t>)</w:t>
      </w:r>
    </w:p>
    <w:p w:rsidR="00B31D61" w:rsidRPr="00B31D61" w:rsidRDefault="00B31D61">
      <w:pPr>
        <w:tabs>
          <w:tab w:val="center" w:pos="4253"/>
        </w:tabs>
        <w:suppressAutoHyphens/>
        <w:jc w:val="center"/>
        <w:rPr>
          <w:rFonts w:ascii="Helvetica" w:hAnsi="Helvetica"/>
          <w:b/>
          <w:lang w:val="es-AR"/>
        </w:rPr>
      </w:pPr>
    </w:p>
    <w:p w:rsidR="00B31D61" w:rsidRPr="00B31D61" w:rsidRDefault="00B31D61">
      <w:pPr>
        <w:rPr>
          <w:lang w:val="es-AR"/>
        </w:rPr>
      </w:pPr>
    </w:p>
    <w:p w:rsidR="00B31D61" w:rsidRDefault="00B31D61" w:rsidP="00B31D61">
      <w:pPr>
        <w:autoSpaceDE w:val="0"/>
        <w:autoSpaceDN w:val="0"/>
        <w:adjustRightInd w:val="0"/>
        <w:spacing w:line="360" w:lineRule="auto"/>
        <w:ind w:firstLine="851"/>
        <w:jc w:val="both"/>
        <w:rPr>
          <w:rFonts w:cs="Arial"/>
          <w:lang w:val="es" w:eastAsia="es-AR"/>
        </w:rPr>
      </w:pPr>
      <w:r>
        <w:rPr>
          <w:rFonts w:cs="Arial"/>
          <w:b/>
          <w:bCs/>
          <w:lang w:val="es" w:eastAsia="es-AR"/>
        </w:rPr>
        <w:t xml:space="preserve">VISTO: </w:t>
      </w:r>
      <w:r>
        <w:rPr>
          <w:rFonts w:cs="Arial"/>
          <w:lang w:val="es" w:eastAsia="es-AR"/>
        </w:rPr>
        <w:t>la Rendición de Cuentas y Balance de Ejecución Presupuestal de la Junta Departamental de Tacuarembó correspondiente al Ejercicio 2016;</w:t>
      </w:r>
    </w:p>
    <w:p w:rsidR="00B31D61" w:rsidRDefault="00B31D61" w:rsidP="00B31D61">
      <w:pPr>
        <w:autoSpaceDE w:val="0"/>
        <w:autoSpaceDN w:val="0"/>
        <w:adjustRightInd w:val="0"/>
        <w:spacing w:line="360" w:lineRule="auto"/>
        <w:ind w:firstLine="851"/>
        <w:jc w:val="both"/>
        <w:rPr>
          <w:rFonts w:cs="Arial"/>
          <w:lang w:val="es" w:eastAsia="es-AR"/>
        </w:rPr>
      </w:pPr>
      <w:r>
        <w:rPr>
          <w:rFonts w:cs="Arial"/>
          <w:b/>
          <w:bCs/>
          <w:lang w:val="es" w:eastAsia="es-AR"/>
        </w:rPr>
        <w:t>RESULTANDO:</w:t>
      </w:r>
      <w:r>
        <w:rPr>
          <w:rFonts w:cs="Arial"/>
          <w:lang w:val="es" w:eastAsia="es-AR"/>
        </w:rPr>
        <w:t xml:space="preserve"> que el examen se efectuó de acuerdo con los Principios Fundamentales de Auditoría (ISSAI 100 y 200) y las Directrices de Auditoría Financiera de la Organización Internacional de Entidades Fiscalizadoras Superiores (INTOSAI), habiéndose llevado a cabo los procedimientos considerados necesarios en las circunstancias;</w:t>
      </w:r>
    </w:p>
    <w:p w:rsidR="00B31D61" w:rsidRDefault="00B31D61" w:rsidP="00B31D61">
      <w:pPr>
        <w:autoSpaceDE w:val="0"/>
        <w:autoSpaceDN w:val="0"/>
        <w:adjustRightInd w:val="0"/>
        <w:spacing w:line="360" w:lineRule="auto"/>
        <w:ind w:firstLine="851"/>
        <w:jc w:val="both"/>
        <w:rPr>
          <w:rFonts w:cs="Arial"/>
          <w:lang w:val="es" w:eastAsia="es-AR"/>
        </w:rPr>
      </w:pPr>
      <w:r>
        <w:rPr>
          <w:rFonts w:cs="Arial"/>
          <w:b/>
          <w:bCs/>
          <w:lang w:val="es" w:eastAsia="es-AR"/>
        </w:rPr>
        <w:t>CONSIDERANDO:</w:t>
      </w:r>
      <w:r>
        <w:rPr>
          <w:rFonts w:cs="Arial"/>
          <w:lang w:val="es" w:eastAsia="es-AR"/>
        </w:rPr>
        <w:t xml:space="preserve"> que las conclusiones y evidencias obtenidas son las que se expresan en el Informe de Auditoría, que incluye Dictamen e </w:t>
      </w:r>
      <w:r w:rsidR="00125F8D">
        <w:rPr>
          <w:rFonts w:cs="Arial"/>
          <w:lang w:val="es" w:eastAsia="es-AR"/>
        </w:rPr>
        <w:t>Informe a la Administración;</w:t>
      </w:r>
    </w:p>
    <w:p w:rsidR="00B31D61" w:rsidRDefault="00B31D61" w:rsidP="00B31D61">
      <w:pPr>
        <w:autoSpaceDE w:val="0"/>
        <w:autoSpaceDN w:val="0"/>
        <w:adjustRightInd w:val="0"/>
        <w:spacing w:line="360" w:lineRule="auto"/>
        <w:ind w:firstLine="851"/>
        <w:jc w:val="both"/>
        <w:rPr>
          <w:rFonts w:cs="Arial"/>
          <w:lang w:val="es" w:eastAsia="es-AR"/>
        </w:rPr>
      </w:pPr>
      <w:r>
        <w:rPr>
          <w:rFonts w:cs="Arial"/>
          <w:b/>
          <w:bCs/>
          <w:lang w:val="es" w:eastAsia="es-AR"/>
        </w:rPr>
        <w:t>ATENTO:</w:t>
      </w:r>
      <w:r>
        <w:rPr>
          <w:rFonts w:cs="Arial"/>
          <w:lang w:val="es" w:eastAsia="es-AR"/>
        </w:rPr>
        <w:t xml:space="preserve"> a lo dispuesto por el Artículo 211 Literal C) de la Constitución de la República;</w:t>
      </w:r>
    </w:p>
    <w:p w:rsidR="00B31D61" w:rsidRDefault="00B31D61" w:rsidP="00B31D61">
      <w:pPr>
        <w:autoSpaceDE w:val="0"/>
        <w:autoSpaceDN w:val="0"/>
        <w:adjustRightInd w:val="0"/>
        <w:spacing w:line="360" w:lineRule="auto"/>
        <w:jc w:val="center"/>
        <w:rPr>
          <w:rFonts w:cs="Arial"/>
          <w:b/>
          <w:bCs/>
          <w:lang w:val="es" w:eastAsia="es-AR"/>
        </w:rPr>
      </w:pPr>
      <w:r>
        <w:rPr>
          <w:rFonts w:cs="Arial"/>
          <w:b/>
          <w:bCs/>
          <w:lang w:val="es" w:eastAsia="es-AR"/>
        </w:rPr>
        <w:t>EL TRIBUNAL ACUERDA</w:t>
      </w:r>
    </w:p>
    <w:p w:rsidR="00B31D61" w:rsidRPr="00F32D91" w:rsidRDefault="00B31D61" w:rsidP="00A22C69">
      <w:pPr>
        <w:pStyle w:val="Prrafodelista"/>
        <w:numPr>
          <w:ilvl w:val="0"/>
          <w:numId w:val="2"/>
        </w:numPr>
        <w:autoSpaceDE w:val="0"/>
        <w:autoSpaceDN w:val="0"/>
        <w:adjustRightInd w:val="0"/>
        <w:spacing w:line="360" w:lineRule="auto"/>
        <w:ind w:left="284" w:hanging="284"/>
        <w:jc w:val="both"/>
        <w:rPr>
          <w:rFonts w:cs="Arial"/>
          <w:lang w:val="es" w:eastAsia="es-AR"/>
        </w:rPr>
      </w:pPr>
      <w:r w:rsidRPr="00F32D91">
        <w:rPr>
          <w:rFonts w:cs="Arial"/>
          <w:lang w:val="es" w:eastAsia="es-AR"/>
        </w:rPr>
        <w:t>Expedirse en los términos del Info</w:t>
      </w:r>
      <w:r w:rsidR="00A22C69">
        <w:rPr>
          <w:rFonts w:cs="Arial"/>
          <w:lang w:val="es" w:eastAsia="es-AR"/>
        </w:rPr>
        <w:t>rme de Auditoría que se adjunta;</w:t>
      </w:r>
    </w:p>
    <w:p w:rsidR="00B31D61" w:rsidRPr="00F32D91" w:rsidRDefault="00B31D61" w:rsidP="00A22C69">
      <w:pPr>
        <w:pStyle w:val="Prrafodelista"/>
        <w:numPr>
          <w:ilvl w:val="0"/>
          <w:numId w:val="2"/>
        </w:numPr>
        <w:autoSpaceDE w:val="0"/>
        <w:autoSpaceDN w:val="0"/>
        <w:adjustRightInd w:val="0"/>
        <w:spacing w:line="360" w:lineRule="auto"/>
        <w:ind w:left="284" w:hanging="284"/>
        <w:jc w:val="both"/>
        <w:rPr>
          <w:rFonts w:cs="Arial"/>
          <w:lang w:val="es" w:eastAsia="es-AR"/>
        </w:rPr>
      </w:pPr>
      <w:r w:rsidRPr="00F32D91">
        <w:rPr>
          <w:rFonts w:cs="Arial"/>
          <w:lang w:val="es" w:eastAsia="es-AR"/>
        </w:rPr>
        <w:t>Comunicar la presente Resolución a la Intendencia de Tacuarembó</w:t>
      </w:r>
      <w:r w:rsidR="00F32D91" w:rsidRPr="00F32D91">
        <w:rPr>
          <w:rFonts w:cs="Arial"/>
          <w:lang w:val="es" w:eastAsia="es-AR"/>
        </w:rPr>
        <w:t xml:space="preserve"> y a la Contadora Delegada en la Junta Departamental</w:t>
      </w:r>
      <w:r w:rsidR="00A22C69">
        <w:rPr>
          <w:rFonts w:cs="Arial"/>
          <w:lang w:val="es" w:eastAsia="es-AR"/>
        </w:rPr>
        <w:t>;</w:t>
      </w:r>
    </w:p>
    <w:p w:rsidR="00B31D61" w:rsidRPr="00F32D91" w:rsidRDefault="00B31D61" w:rsidP="00A22C69">
      <w:pPr>
        <w:pStyle w:val="Prrafodelista"/>
        <w:numPr>
          <w:ilvl w:val="0"/>
          <w:numId w:val="2"/>
        </w:numPr>
        <w:autoSpaceDE w:val="0"/>
        <w:autoSpaceDN w:val="0"/>
        <w:adjustRightInd w:val="0"/>
        <w:spacing w:line="360" w:lineRule="auto"/>
        <w:ind w:left="284" w:hanging="284"/>
        <w:jc w:val="both"/>
        <w:rPr>
          <w:rFonts w:cs="Arial"/>
          <w:lang w:val="es" w:eastAsia="es-AR"/>
        </w:rPr>
      </w:pPr>
      <w:r w:rsidRPr="00F32D91">
        <w:rPr>
          <w:rFonts w:cs="Arial"/>
          <w:lang w:val="es" w:eastAsia="es-AR"/>
        </w:rPr>
        <w:t>Dar cuenta a la Asamblea General</w:t>
      </w:r>
      <w:r w:rsidR="00A22C69">
        <w:rPr>
          <w:rFonts w:cs="Arial"/>
          <w:lang w:val="es" w:eastAsia="es-AR"/>
        </w:rPr>
        <w:t>;</w:t>
      </w:r>
    </w:p>
    <w:p w:rsidR="00B31D61" w:rsidRDefault="00F32D91" w:rsidP="00A22C69">
      <w:pPr>
        <w:pStyle w:val="Prrafodelista"/>
        <w:numPr>
          <w:ilvl w:val="0"/>
          <w:numId w:val="2"/>
        </w:numPr>
        <w:autoSpaceDE w:val="0"/>
        <w:autoSpaceDN w:val="0"/>
        <w:adjustRightInd w:val="0"/>
        <w:spacing w:line="360" w:lineRule="auto"/>
        <w:ind w:left="284" w:hanging="284"/>
        <w:jc w:val="both"/>
        <w:rPr>
          <w:rFonts w:cs="Arial"/>
          <w:lang w:val="es" w:eastAsia="es-AR"/>
        </w:rPr>
      </w:pPr>
      <w:r w:rsidRPr="00F32D91">
        <w:rPr>
          <w:rFonts w:cs="Arial"/>
          <w:lang w:val="es" w:eastAsia="es-AR"/>
        </w:rPr>
        <w:t>Devolver las actuaciones</w:t>
      </w:r>
      <w:r w:rsidR="00B31D61" w:rsidRPr="00F32D91">
        <w:rPr>
          <w:rFonts w:cs="Arial"/>
          <w:lang w:val="es" w:eastAsia="es-AR"/>
        </w:rPr>
        <w:t>.</w:t>
      </w:r>
    </w:p>
    <w:p w:rsidR="00F86359" w:rsidRDefault="00A22C69" w:rsidP="00A22C69">
      <w:pPr>
        <w:autoSpaceDE w:val="0"/>
        <w:autoSpaceDN w:val="0"/>
        <w:adjustRightInd w:val="0"/>
        <w:spacing w:line="360" w:lineRule="auto"/>
        <w:ind w:hanging="284"/>
        <w:jc w:val="both"/>
        <w:rPr>
          <w:rFonts w:cs="Arial"/>
          <w:lang w:val="es" w:eastAsia="es-AR"/>
        </w:rPr>
      </w:pPr>
      <w:proofErr w:type="gramStart"/>
      <w:r>
        <w:rPr>
          <w:rFonts w:cs="Arial"/>
          <w:lang w:val="es" w:eastAsia="es-AR"/>
        </w:rPr>
        <w:t>dc</w:t>
      </w:r>
      <w:proofErr w:type="gramEnd"/>
    </w:p>
    <w:p w:rsidR="008B56F6" w:rsidRPr="00C00DE8" w:rsidRDefault="008B56F6" w:rsidP="00C00DE8">
      <w:pPr>
        <w:jc w:val="center"/>
        <w:rPr>
          <w:b/>
        </w:rPr>
      </w:pPr>
      <w:bookmarkStart w:id="1" w:name="_Toc49942669"/>
      <w:bookmarkStart w:id="2" w:name="_Toc76452411"/>
      <w:bookmarkStart w:id="3" w:name="_Toc78975158"/>
      <w:bookmarkStart w:id="4" w:name="_Toc79231400"/>
      <w:bookmarkStart w:id="5" w:name="_Toc79231505"/>
      <w:bookmarkStart w:id="6" w:name="_Toc83109642"/>
      <w:bookmarkStart w:id="7" w:name="_Toc83109706"/>
      <w:bookmarkStart w:id="8" w:name="_Toc83189582"/>
      <w:bookmarkStart w:id="9" w:name="_Toc83615450"/>
      <w:bookmarkStart w:id="10" w:name="_Toc84318052"/>
      <w:bookmarkStart w:id="11" w:name="_Toc84934332"/>
      <w:bookmarkStart w:id="12" w:name="_Toc107046732"/>
      <w:bookmarkStart w:id="13" w:name="_Toc107046884"/>
      <w:bookmarkStart w:id="14" w:name="_Toc107120946"/>
      <w:bookmarkStart w:id="15" w:name="_Toc107297592"/>
      <w:bookmarkStart w:id="16" w:name="_Toc142988497"/>
      <w:bookmarkStart w:id="17" w:name="_Toc171244567"/>
      <w:bookmarkStart w:id="18" w:name="_Toc171312966"/>
      <w:bookmarkStart w:id="19" w:name="_Toc175469743"/>
      <w:bookmarkStart w:id="20" w:name="_Toc175648336"/>
      <w:bookmarkStart w:id="21" w:name="_Toc176071031"/>
      <w:bookmarkStart w:id="22" w:name="_Toc176071499"/>
      <w:bookmarkStart w:id="23" w:name="_Toc176146913"/>
      <w:bookmarkStart w:id="24" w:name="_Toc176147066"/>
      <w:bookmarkStart w:id="25" w:name="_Toc176852787"/>
      <w:bookmarkStart w:id="26" w:name="_Toc199216725"/>
      <w:bookmarkStart w:id="27" w:name="_Toc199918559"/>
      <w:bookmarkStart w:id="28" w:name="_Toc235349810"/>
      <w:bookmarkStart w:id="29" w:name="_Toc235351106"/>
      <w:bookmarkStart w:id="30" w:name="_Toc236624429"/>
      <w:bookmarkStart w:id="31" w:name="_Toc236624510"/>
      <w:bookmarkStart w:id="32" w:name="_Toc264559755"/>
      <w:bookmarkStart w:id="33" w:name="_Toc264560134"/>
      <w:bookmarkStart w:id="34" w:name="_Toc264893700"/>
      <w:bookmarkStart w:id="35" w:name="_Toc264894165"/>
      <w:bookmarkStart w:id="36" w:name="_Toc264902935"/>
      <w:bookmarkStart w:id="37" w:name="_Toc264904543"/>
      <w:bookmarkStart w:id="38" w:name="_Toc266363256"/>
      <w:bookmarkStart w:id="39" w:name="_Toc266363320"/>
      <w:bookmarkStart w:id="40" w:name="_Toc266364288"/>
      <w:bookmarkStart w:id="41" w:name="_Toc266364289"/>
      <w:bookmarkStart w:id="42" w:name="_Toc304205940"/>
      <w:bookmarkStart w:id="43" w:name="_Toc428364088"/>
      <w:bookmarkStart w:id="44" w:name="_Toc49942673"/>
      <w:bookmarkStart w:id="45" w:name="_Toc266364291"/>
      <w:bookmarkStart w:id="46" w:name="_Toc304205942"/>
      <w:r w:rsidRPr="00C00DE8">
        <w:rPr>
          <w:b/>
          <w:caps/>
          <w:lang w:eastAsia="ar-SA"/>
        </w:rPr>
        <w:lastRenderedPageBreak/>
        <w:t>DICTAMEN</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p w:rsidR="008B56F6" w:rsidRDefault="008B56F6">
      <w:pPr>
        <w:spacing w:line="360" w:lineRule="auto"/>
        <w:jc w:val="both"/>
        <w:rPr>
          <w:rFonts w:cs="Arial"/>
          <w:lang w:val="es-MX"/>
        </w:rPr>
      </w:pPr>
    </w:p>
    <w:p w:rsidR="008B56F6" w:rsidRDefault="008B56F6">
      <w:pPr>
        <w:spacing w:line="360" w:lineRule="auto"/>
        <w:jc w:val="both"/>
        <w:rPr>
          <w:rFonts w:cs="Arial"/>
          <w:lang w:val="es-MX"/>
        </w:rPr>
      </w:pPr>
      <w:r>
        <w:rPr>
          <w:rFonts w:cs="Arial"/>
          <w:lang w:val="es-MX"/>
        </w:rPr>
        <w:t>El Tribunal de Cuentas ha examinado la Rendición de Cuentas y el Balance de Ejecución Presupuestal de la Junta Departamental de Tacuarembó, correspondiente al Ejercicio 2016, que incluye los siguientes estados: de ejecución presupuestal con relación a los créditos, de la evolución de las obligaciones presupuestales impagas y de los fondos indisponibles y</w:t>
      </w:r>
      <w:r w:rsidR="00125F8D">
        <w:rPr>
          <w:rFonts w:cs="Arial"/>
          <w:lang w:val="es-MX"/>
        </w:rPr>
        <w:t xml:space="preserve"> otros estados complementarios.</w:t>
      </w:r>
    </w:p>
    <w:p w:rsidR="008B56F6" w:rsidRDefault="008B56F6">
      <w:pPr>
        <w:spacing w:line="360" w:lineRule="auto"/>
        <w:jc w:val="both"/>
        <w:rPr>
          <w:bCs/>
        </w:rPr>
      </w:pPr>
      <w:r>
        <w:rPr>
          <w:bCs/>
        </w:rPr>
        <w:t>También se presentan, en caso de corresponder, los incumplimientos legales constatados por el Tribunal de Cuentas en el c</w:t>
      </w:r>
      <w:r w:rsidR="00125F8D">
        <w:rPr>
          <w:bCs/>
        </w:rPr>
        <w:t>urso de la auditoría efectuada.</w:t>
      </w:r>
    </w:p>
    <w:p w:rsidR="008B56F6" w:rsidRDefault="008B56F6">
      <w:pPr>
        <w:pStyle w:val="Subttulo"/>
        <w:rPr>
          <w:rFonts w:ascii="Arial" w:hAnsi="Arial"/>
          <w:bCs/>
        </w:rPr>
      </w:pPr>
      <w:r>
        <w:rPr>
          <w:rFonts w:ascii="Arial" w:hAnsi="Arial"/>
          <w:bCs/>
        </w:rPr>
        <w:t>Responsabilidad de la Junta Departamental</w:t>
      </w:r>
    </w:p>
    <w:p w:rsidR="008B56F6" w:rsidRDefault="008B56F6">
      <w:pPr>
        <w:spacing w:line="360" w:lineRule="auto"/>
        <w:jc w:val="both"/>
        <w:rPr>
          <w:bCs/>
        </w:rPr>
      </w:pPr>
      <w:r>
        <w:rPr>
          <w:bCs/>
        </w:rPr>
        <w:t>La Junta Departamental es responsable por la preparación y la razonable presentación de estos estados de acuerdo con la normativa vigente y con la Resolución de este Tribunal, de fecha 28 de enero de 2004. Esta responsabilidad incluye diseñar, implementar y mantener un sistema de control interno adecuado para la preparación y presentación razonable de estados que estén libres de errores significativos, ya sea debido a fraude o error, seleccionar y aplicar políticas contables apropiadas.</w:t>
      </w:r>
    </w:p>
    <w:p w:rsidR="008B56F6" w:rsidRDefault="008B56F6">
      <w:pPr>
        <w:spacing w:line="360" w:lineRule="auto"/>
        <w:jc w:val="both"/>
        <w:rPr>
          <w:rFonts w:cs="Arial"/>
          <w:b/>
        </w:rPr>
      </w:pPr>
      <w:r>
        <w:rPr>
          <w:b/>
        </w:rPr>
        <w:t>Responsabilidad del Auditor</w:t>
      </w:r>
    </w:p>
    <w:p w:rsidR="008B56F6" w:rsidRDefault="008B56F6">
      <w:pPr>
        <w:pStyle w:val="Subttulo"/>
        <w:rPr>
          <w:rFonts w:ascii="Arial" w:hAnsi="Arial"/>
          <w:b w:val="0"/>
        </w:rPr>
      </w:pPr>
      <w:r>
        <w:rPr>
          <w:rFonts w:ascii="Arial" w:hAnsi="Arial"/>
          <w:b w:val="0"/>
        </w:rPr>
        <w:t>La responsabilidad del Tribunal de Cuentas es expresar una opinión sobre dichos estados financieros basada en la auditoría realizada. Esta auditoria fue practicada de acuerdo con los Principios Fundamentales de Auditoría (ISSAI 100 y 200) y las Directrices de Auditoría Financiera de la Organización Internacional de Entidades Fiscalizadoras Superiores (INTOSAI). Estas normas requieren que se cumpla con requisitos éticos, se planifique y se realice la auditoría para obtener seguridad razonable acerca de si los estados están libres de erro</w:t>
      </w:r>
      <w:r w:rsidR="00403967">
        <w:rPr>
          <w:rFonts w:ascii="Arial" w:hAnsi="Arial"/>
          <w:b w:val="0"/>
        </w:rPr>
        <w:t>res significativos.</w:t>
      </w:r>
    </w:p>
    <w:p w:rsidR="008B56F6" w:rsidRPr="007D1113" w:rsidRDefault="008B56F6" w:rsidP="007D1113">
      <w:pPr>
        <w:spacing w:line="360" w:lineRule="auto"/>
        <w:jc w:val="both"/>
        <w:rPr>
          <w:rFonts w:eastAsia="Calibri" w:cs="Arial"/>
          <w:lang w:val="es-UY" w:eastAsia="en-US"/>
        </w:rPr>
      </w:pPr>
      <w:r w:rsidRPr="007D1113">
        <w:lastRenderedPageBreak/>
        <w:t xml:space="preserve">Una auditoría implica realizar procedimientos para obtener evidencia acerca de los montos y revelaciones contables. Los procedimientos seleccionados dependen del juicio profesional del auditor, incluyendo la evaluación de los riesgos de existencia de errores significativos en los estados financieros, ya sea debido a fraude o error. Al efectuar la evaluación de riesgos, el auditor considera los aspectos de control interno de la entidad relevantes para la preparación y presentación razonable de los estados financieros con el fin de diseñar los procedimientos de auditoría que sean apropiados en las circunstancias, pero no con el propósito de expresar una opinión acerca de la eficacia del control interno de la entidad. </w:t>
      </w:r>
      <w:r w:rsidRPr="007D1113">
        <w:rPr>
          <w:rFonts w:eastAsia="Calibri" w:cs="Arial"/>
          <w:lang w:val="es-UY" w:eastAsia="en-US"/>
        </w:rPr>
        <w:t>Una auditoría también implica evaluar lo apropiado de las políticas contables utilizadas y la razonabilidad de las estimaciones contables realizadas por la Dirección, así como evaluar la presentación general de los estados financieros.</w:t>
      </w:r>
    </w:p>
    <w:p w:rsidR="008B56F6" w:rsidRPr="007D1113" w:rsidRDefault="008B56F6" w:rsidP="007D1113">
      <w:pPr>
        <w:spacing w:line="360" w:lineRule="auto"/>
        <w:jc w:val="both"/>
        <w:rPr>
          <w:rFonts w:eastAsia="Calibri" w:cs="Arial"/>
          <w:lang w:val="es-UY" w:eastAsia="en-US"/>
        </w:rPr>
      </w:pPr>
      <w:r w:rsidRPr="007D1113">
        <w:rPr>
          <w:rFonts w:eastAsia="Calibri" w:cs="Arial"/>
          <w:lang w:val="es-UY" w:eastAsia="en-US"/>
        </w:rPr>
        <w:t>Se considera que la evidencia de auditoría obtenida brinda una base suficiente y apropiada para sustentar la opinión.</w:t>
      </w:r>
    </w:p>
    <w:p w:rsidR="008B56F6" w:rsidRDefault="008B56F6">
      <w:pPr>
        <w:spacing w:line="360" w:lineRule="auto"/>
        <w:jc w:val="both"/>
        <w:rPr>
          <w:bCs/>
        </w:rPr>
      </w:pPr>
    </w:p>
    <w:p w:rsidR="008B56F6" w:rsidRDefault="008B56F6">
      <w:pPr>
        <w:spacing w:line="360" w:lineRule="auto"/>
        <w:jc w:val="both"/>
        <w:rPr>
          <w:rFonts w:cs="Arial"/>
        </w:rPr>
      </w:pPr>
      <w:r>
        <w:rPr>
          <w:rFonts w:cs="Arial"/>
          <w:b/>
          <w:bCs/>
        </w:rPr>
        <w:t>Opinión</w:t>
      </w:r>
    </w:p>
    <w:p w:rsidR="008B56F6" w:rsidRDefault="008B56F6">
      <w:pPr>
        <w:spacing w:line="360" w:lineRule="auto"/>
        <w:jc w:val="both"/>
      </w:pPr>
      <w:r>
        <w:t>En opinión del Tribunal de Cuentas, los estados mencionados presentan razonablemente, en todos sus aspectos importantes, la ejecución presupuestal del Ejercicio 2016, la evolución de las obligaciones presupuestales impagas y de los fondos indisponibles de acuerdo con las normas del TOCAF y a la Resolución de este Tribunal, de fecha 28 de enero de 2004.</w:t>
      </w:r>
    </w:p>
    <w:p w:rsidR="008B56F6" w:rsidRDefault="008B56F6">
      <w:pPr>
        <w:spacing w:line="360" w:lineRule="auto"/>
        <w:jc w:val="both"/>
        <w:rPr>
          <w:b/>
          <w:bCs/>
        </w:rPr>
      </w:pPr>
      <w:r>
        <w:t>Con relación al cumplimiento de las disposiciones legales que fueron objeto de examen y en aplicación a lo dispuesto por el Artículo 211 Literales C) y E) de la Constitución de la República, en opinión del Tribunal de Cuentas no se ha dado cumplimiento a las siguientes normas:</w:t>
      </w:r>
    </w:p>
    <w:p w:rsidR="008B56F6" w:rsidRDefault="008B56F6">
      <w:pPr>
        <w:spacing w:line="360" w:lineRule="auto"/>
        <w:jc w:val="both"/>
        <w:rPr>
          <w:rFonts w:cs="Arial"/>
          <w:b/>
          <w:bCs/>
        </w:rPr>
      </w:pPr>
    </w:p>
    <w:p w:rsidR="008B56F6" w:rsidRDefault="008B56F6" w:rsidP="00F8498D">
      <w:pPr>
        <w:spacing w:line="360" w:lineRule="auto"/>
        <w:jc w:val="both"/>
        <w:rPr>
          <w:rFonts w:cs="Arial"/>
        </w:rPr>
      </w:pPr>
      <w:r>
        <w:rPr>
          <w:rFonts w:cs="Arial"/>
          <w:b/>
          <w:bCs/>
        </w:rPr>
        <w:lastRenderedPageBreak/>
        <w:t>1.1 Artículo 15 del TOCAF:</w:t>
      </w:r>
      <w:r>
        <w:rPr>
          <w:rFonts w:cs="Arial"/>
        </w:rPr>
        <w:t xml:space="preserve"> En el Ejercicio 2016, se realizaron gastos sin contar con la disponibilidad presupuestal correspondiente.</w:t>
      </w:r>
    </w:p>
    <w:p w:rsidR="008B56F6" w:rsidRPr="00960850" w:rsidRDefault="008B56F6" w:rsidP="00F8498D">
      <w:pPr>
        <w:spacing w:line="360" w:lineRule="auto"/>
        <w:jc w:val="both"/>
        <w:rPr>
          <w:rFonts w:cs="Arial"/>
          <w:b/>
          <w:szCs w:val="20"/>
        </w:rPr>
      </w:pPr>
      <w:r>
        <w:rPr>
          <w:rFonts w:cs="Arial"/>
          <w:b/>
          <w:szCs w:val="20"/>
        </w:rPr>
        <w:t>1.2 Artículo</w:t>
      </w:r>
      <w:r w:rsidRPr="00960850">
        <w:rPr>
          <w:rFonts w:cs="Arial"/>
          <w:b/>
          <w:szCs w:val="20"/>
        </w:rPr>
        <w:t xml:space="preserve"> 33 del TOCAF</w:t>
      </w:r>
      <w:r>
        <w:rPr>
          <w:rFonts w:cs="Arial"/>
          <w:b/>
          <w:szCs w:val="20"/>
        </w:rPr>
        <w:t>:</w:t>
      </w:r>
      <w:r>
        <w:rPr>
          <w:rFonts w:cs="Arial"/>
          <w:szCs w:val="20"/>
        </w:rPr>
        <w:t xml:space="preserve"> En el E</w:t>
      </w:r>
      <w:r w:rsidRPr="00960850">
        <w:rPr>
          <w:rFonts w:cs="Arial"/>
          <w:szCs w:val="20"/>
        </w:rPr>
        <w:t>jercicio 2016 la Junta Departamental renovó contratos con una empresa que brinda servicios de amplificación, ind</w:t>
      </w:r>
      <w:r>
        <w:rPr>
          <w:rFonts w:cs="Arial"/>
          <w:szCs w:val="20"/>
        </w:rPr>
        <w:t xml:space="preserve">icando por Resolución Interna N° </w:t>
      </w:r>
      <w:r w:rsidRPr="00960850">
        <w:rPr>
          <w:rFonts w:cs="Arial"/>
          <w:szCs w:val="20"/>
        </w:rPr>
        <w:t xml:space="preserve">.20/2015, la celebración de un nuevo contrato desde el 22/12/2015 el cual se viene renovando </w:t>
      </w:r>
      <w:r>
        <w:rPr>
          <w:rFonts w:cs="Arial"/>
          <w:szCs w:val="20"/>
        </w:rPr>
        <w:t xml:space="preserve">desde </w:t>
      </w:r>
      <w:r w:rsidRPr="00960850">
        <w:rPr>
          <w:rFonts w:cs="Arial"/>
          <w:szCs w:val="20"/>
        </w:rPr>
        <w:t>el  año 2000</w:t>
      </w:r>
      <w:r>
        <w:rPr>
          <w:rFonts w:cs="Arial"/>
          <w:szCs w:val="20"/>
        </w:rPr>
        <w:t>.</w:t>
      </w:r>
    </w:p>
    <w:p w:rsidR="008B56F6" w:rsidRPr="00A100FE" w:rsidRDefault="008B56F6" w:rsidP="00F8498D">
      <w:pPr>
        <w:spacing w:line="360" w:lineRule="auto"/>
        <w:jc w:val="both"/>
      </w:pPr>
      <w:r w:rsidRPr="00A100FE">
        <w:rPr>
          <w:rFonts w:cs="Arial"/>
          <w:b/>
          <w:bCs/>
        </w:rPr>
        <w:t>1.</w:t>
      </w:r>
      <w:r>
        <w:rPr>
          <w:rFonts w:cs="Arial"/>
          <w:b/>
          <w:bCs/>
        </w:rPr>
        <w:t>3</w:t>
      </w:r>
      <w:r w:rsidRPr="00A100FE">
        <w:rPr>
          <w:rFonts w:cs="Arial"/>
          <w:b/>
          <w:bCs/>
        </w:rPr>
        <w:t xml:space="preserve"> </w:t>
      </w:r>
      <w:r w:rsidRPr="00A100FE">
        <w:rPr>
          <w:b/>
        </w:rPr>
        <w:t>Artículo 84 y 97 del TOCAF</w:t>
      </w:r>
      <w:r w:rsidRPr="00A100FE">
        <w:rPr>
          <w:rFonts w:cs="Arial"/>
          <w:b/>
          <w:bCs/>
        </w:rPr>
        <w:t>:</w:t>
      </w:r>
      <w:r w:rsidRPr="00A100FE">
        <w:rPr>
          <w:rFonts w:cs="Arial"/>
        </w:rPr>
        <w:t xml:space="preserve"> Si bien la Junta Departamental posee un inventario de bienes muebles e inmuebles, el mismo no se encuentra valuado ni actualizado.</w:t>
      </w:r>
      <w:r w:rsidRPr="00A100FE">
        <w:rPr>
          <w:rFonts w:cs="Arial"/>
          <w:b/>
          <w:bCs/>
        </w:rPr>
        <w:t xml:space="preserve"> </w:t>
      </w:r>
      <w:r w:rsidRPr="00A100FE">
        <w:rPr>
          <w:rFonts w:cs="Arial"/>
        </w:rPr>
        <w:t>Asimismo, el sistema contable no registra las existencias ni las altas y bajas.</w:t>
      </w:r>
    </w:p>
    <w:p w:rsidR="008B56F6" w:rsidRDefault="008B56F6" w:rsidP="00F8498D">
      <w:pPr>
        <w:spacing w:line="360" w:lineRule="auto"/>
        <w:jc w:val="both"/>
      </w:pPr>
      <w:r w:rsidRPr="007161F5">
        <w:rPr>
          <w:b/>
          <w:bCs/>
        </w:rPr>
        <w:t>1.</w:t>
      </w:r>
      <w:r>
        <w:rPr>
          <w:b/>
          <w:bCs/>
        </w:rPr>
        <w:t>4</w:t>
      </w:r>
      <w:r w:rsidRPr="007161F5">
        <w:rPr>
          <w:b/>
          <w:bCs/>
        </w:rPr>
        <w:t xml:space="preserve"> </w:t>
      </w:r>
      <w:r w:rsidRPr="007161F5">
        <w:rPr>
          <w:b/>
        </w:rPr>
        <w:t xml:space="preserve">Artículo 94 del TOCAF </w:t>
      </w:r>
      <w:r w:rsidRPr="007161F5">
        <w:rPr>
          <w:b/>
          <w:bCs/>
        </w:rPr>
        <w:t>y Ordenanza Nº 81 del Tribunal de Cuentas:</w:t>
      </w:r>
      <w:r w:rsidRPr="007161F5">
        <w:t xml:space="preserve"> La Junta Departamental no cuenta con un sistema contable que le permita cumplir con lo establecido por las mencionadas normas</w:t>
      </w:r>
      <w:r>
        <w:t>,</w:t>
      </w:r>
      <w:r w:rsidRPr="007161F5">
        <w:t xml:space="preserve"> en lo referente a su gestión patrimonial.</w:t>
      </w:r>
    </w:p>
    <w:p w:rsidR="008B56F6" w:rsidRDefault="008B56F6" w:rsidP="00F8498D">
      <w:pPr>
        <w:pStyle w:val="Nombredireccin"/>
        <w:spacing w:before="0" w:line="360" w:lineRule="auto"/>
      </w:pPr>
      <w:r w:rsidRPr="00CA25EE">
        <w:rPr>
          <w:b/>
        </w:rPr>
        <w:t>1.</w:t>
      </w:r>
      <w:r>
        <w:rPr>
          <w:b/>
        </w:rPr>
        <w:t>5</w:t>
      </w:r>
      <w:r w:rsidRPr="00CA25EE">
        <w:rPr>
          <w:b/>
        </w:rPr>
        <w:t xml:space="preserve"> Artículo 102 del TOCAF</w:t>
      </w:r>
      <w:r w:rsidRPr="00CA25EE">
        <w:rPr>
          <w:b/>
          <w:bCs/>
        </w:rPr>
        <w:t>:</w:t>
      </w:r>
      <w:r w:rsidRPr="00CA25EE">
        <w:t xml:space="preserve"> Al momento de comprometer los gastos, no se realiza la afectación previa de los objetos correspondientes.</w:t>
      </w:r>
    </w:p>
    <w:p w:rsidR="008B56F6" w:rsidRDefault="008B56F6" w:rsidP="00F8498D">
      <w:pPr>
        <w:spacing w:line="360" w:lineRule="auto"/>
        <w:jc w:val="both"/>
        <w:rPr>
          <w:rFonts w:cs="Arial"/>
        </w:rPr>
      </w:pPr>
      <w:r w:rsidRPr="00781CAD">
        <w:rPr>
          <w:b/>
        </w:rPr>
        <w:t>1.</w:t>
      </w:r>
      <w:r>
        <w:rPr>
          <w:b/>
        </w:rPr>
        <w:t>6</w:t>
      </w:r>
      <w:r w:rsidRPr="00781CAD">
        <w:rPr>
          <w:b/>
        </w:rPr>
        <w:t xml:space="preserve"> Resolución del Tribunal de </w:t>
      </w:r>
      <w:r>
        <w:rPr>
          <w:b/>
        </w:rPr>
        <w:t>Cuentas</w:t>
      </w:r>
      <w:r w:rsidRPr="00781CAD">
        <w:rPr>
          <w:b/>
        </w:rPr>
        <w:t xml:space="preserve"> de fecha 28/01/2004</w:t>
      </w:r>
      <w:r>
        <w:rPr>
          <w:b/>
        </w:rPr>
        <w:t xml:space="preserve">: </w:t>
      </w:r>
      <w:r>
        <w:rPr>
          <w:rFonts w:cs="Arial"/>
        </w:rPr>
        <w:t xml:space="preserve">En el Estado de Obligaciones Presupuestales Impagas </w:t>
      </w:r>
      <w:r w:rsidRPr="00671BD2">
        <w:rPr>
          <w:rFonts w:cs="Arial"/>
        </w:rPr>
        <w:t>no se di</w:t>
      </w:r>
      <w:r>
        <w:rPr>
          <w:rFonts w:cs="Arial"/>
        </w:rPr>
        <w:t>scriminan las obligaciones por E</w:t>
      </w:r>
      <w:r w:rsidRPr="00671BD2">
        <w:rPr>
          <w:rFonts w:cs="Arial"/>
        </w:rPr>
        <w:t xml:space="preserve">jercicio ni se adjuntan las certificaciones de  los </w:t>
      </w:r>
      <w:r>
        <w:rPr>
          <w:rFonts w:cs="Arial"/>
        </w:rPr>
        <w:t>O</w:t>
      </w:r>
      <w:r w:rsidRPr="00671BD2">
        <w:rPr>
          <w:rFonts w:cs="Arial"/>
        </w:rPr>
        <w:t xml:space="preserve">rganismos </w:t>
      </w:r>
      <w:r>
        <w:rPr>
          <w:rFonts w:cs="Arial"/>
        </w:rPr>
        <w:t>P</w:t>
      </w:r>
      <w:r w:rsidRPr="00671BD2">
        <w:rPr>
          <w:rFonts w:cs="Arial"/>
        </w:rPr>
        <w:t>úblicos con el detalle de la deuda</w:t>
      </w:r>
      <w:r>
        <w:rPr>
          <w:rFonts w:cs="Arial"/>
        </w:rPr>
        <w:t xml:space="preserve"> y las conciliaciones  respectivas.</w:t>
      </w:r>
    </w:p>
    <w:p w:rsidR="008B56F6" w:rsidRPr="00781CAD" w:rsidRDefault="008B56F6" w:rsidP="00F8498D">
      <w:pPr>
        <w:spacing w:line="360" w:lineRule="auto"/>
        <w:jc w:val="both"/>
        <w:rPr>
          <w:rFonts w:cs="Arial"/>
          <w:b/>
          <w:szCs w:val="20"/>
        </w:rPr>
      </w:pPr>
      <w:r w:rsidRPr="00781CAD">
        <w:rPr>
          <w:rFonts w:cs="Arial"/>
          <w:b/>
        </w:rPr>
        <w:t>1.</w:t>
      </w:r>
      <w:r>
        <w:rPr>
          <w:rFonts w:cs="Arial"/>
          <w:b/>
        </w:rPr>
        <w:t>7 Artículo</w:t>
      </w:r>
      <w:r w:rsidRPr="00781CAD">
        <w:rPr>
          <w:rFonts w:cs="Arial"/>
          <w:b/>
        </w:rPr>
        <w:t xml:space="preserve"> 19 Ley 9.515 de fecha 28/10/1935</w:t>
      </w:r>
      <w:r>
        <w:rPr>
          <w:rFonts w:cs="Arial"/>
        </w:rPr>
        <w:t xml:space="preserve"> </w:t>
      </w:r>
      <w:r>
        <w:rPr>
          <w:rFonts w:cs="Arial"/>
          <w:szCs w:val="20"/>
        </w:rPr>
        <w:t>En el E</w:t>
      </w:r>
      <w:r w:rsidRPr="00781CAD">
        <w:rPr>
          <w:rFonts w:cs="Arial"/>
          <w:szCs w:val="20"/>
        </w:rPr>
        <w:t>jercicio 2016 se abonaron gastos de amplificaciones en colaboraciones con terceros y compras de combustibles a vehículos de chapas particulares</w:t>
      </w:r>
      <w:r>
        <w:rPr>
          <w:rFonts w:cs="Arial"/>
          <w:szCs w:val="20"/>
        </w:rPr>
        <w:t>.</w:t>
      </w:r>
    </w:p>
    <w:p w:rsidR="008B56F6" w:rsidRDefault="008B56F6" w:rsidP="007F661C">
      <w:pPr>
        <w:jc w:val="right"/>
        <w:rPr>
          <w:rFonts w:cs="Arial"/>
        </w:rPr>
      </w:pPr>
      <w:r>
        <w:rPr>
          <w:rFonts w:cs="Arial"/>
        </w:rPr>
        <w:t>Montevideo, 16 de agosto de 2017</w:t>
      </w:r>
      <w:bookmarkEnd w:id="44"/>
      <w:bookmarkEnd w:id="45"/>
      <w:bookmarkEnd w:id="46"/>
    </w:p>
    <w:p w:rsidR="008B56F6" w:rsidRDefault="008B56F6" w:rsidP="007F661C">
      <w:pPr>
        <w:jc w:val="right"/>
        <w:rPr>
          <w:rFonts w:cs="Arial"/>
        </w:rPr>
      </w:pPr>
    </w:p>
    <w:p w:rsidR="008B56F6" w:rsidRDefault="008B56F6" w:rsidP="007F661C">
      <w:pPr>
        <w:jc w:val="right"/>
        <w:rPr>
          <w:rFonts w:cs="Arial"/>
        </w:rPr>
      </w:pPr>
    </w:p>
    <w:p w:rsidR="008B56F6" w:rsidRPr="000E5EFC" w:rsidRDefault="008B56F6" w:rsidP="007F661C">
      <w:pPr>
        <w:ind w:hanging="284"/>
        <w:rPr>
          <w:sz w:val="20"/>
          <w:szCs w:val="20"/>
        </w:rPr>
      </w:pPr>
      <w:proofErr w:type="gramStart"/>
      <w:r>
        <w:rPr>
          <w:rFonts w:cs="Arial"/>
        </w:rPr>
        <w:t>dc</w:t>
      </w:r>
      <w:proofErr w:type="gramEnd"/>
    </w:p>
    <w:p w:rsidR="008B56F6" w:rsidRPr="00590DB1" w:rsidRDefault="008B56F6" w:rsidP="00264CAF">
      <w:pPr>
        <w:jc w:val="center"/>
        <w:rPr>
          <w:b/>
        </w:rPr>
      </w:pPr>
      <w:bookmarkStart w:id="47" w:name="_Toc428364090"/>
      <w:r w:rsidRPr="00590DB1">
        <w:rPr>
          <w:b/>
        </w:rPr>
        <w:lastRenderedPageBreak/>
        <w:t>INFORME A LA ADMINISTRACIÓN</w:t>
      </w:r>
      <w:bookmarkEnd w:id="47"/>
    </w:p>
    <w:p w:rsidR="008B56F6" w:rsidRDefault="008B56F6" w:rsidP="00264CAF">
      <w:pPr>
        <w:pStyle w:val="Textoindependiente2"/>
        <w:jc w:val="both"/>
        <w:rPr>
          <w:rFonts w:ascii="Arial" w:hAnsi="Arial" w:cs="Arial"/>
        </w:rPr>
      </w:pPr>
    </w:p>
    <w:p w:rsidR="008B56F6" w:rsidRPr="00DF5243" w:rsidRDefault="008B56F6" w:rsidP="00264CAF">
      <w:pPr>
        <w:pStyle w:val="Textoindependiente2"/>
        <w:jc w:val="both"/>
        <w:rPr>
          <w:rFonts w:ascii="Arial" w:hAnsi="Arial" w:cs="Arial"/>
        </w:rPr>
      </w:pPr>
      <w:r w:rsidRPr="00DF5243">
        <w:rPr>
          <w:rFonts w:ascii="Arial" w:hAnsi="Arial" w:cs="Arial"/>
        </w:rPr>
        <w:t>El Tribunal de Cuentas ha examinado la Rendición de Cuentas y Balance de Ejecución P</w:t>
      </w:r>
      <w:r>
        <w:rPr>
          <w:rFonts w:ascii="Arial" w:hAnsi="Arial" w:cs="Arial"/>
        </w:rPr>
        <w:t>resupuestal correspondiente al E</w:t>
      </w:r>
      <w:r w:rsidRPr="00DF5243">
        <w:rPr>
          <w:rFonts w:ascii="Arial" w:hAnsi="Arial" w:cs="Arial"/>
        </w:rPr>
        <w:t>jercicio 201</w:t>
      </w:r>
      <w:r>
        <w:rPr>
          <w:rFonts w:ascii="Arial" w:hAnsi="Arial" w:cs="Arial"/>
        </w:rPr>
        <w:t>6</w:t>
      </w:r>
      <w:r w:rsidRPr="00DF5243">
        <w:rPr>
          <w:rFonts w:ascii="Arial" w:hAnsi="Arial" w:cs="Arial"/>
        </w:rPr>
        <w:t xml:space="preserve"> y ha emiti</w:t>
      </w:r>
      <w:r w:rsidR="00125F8D">
        <w:rPr>
          <w:rFonts w:ascii="Arial" w:hAnsi="Arial" w:cs="Arial"/>
        </w:rPr>
        <w:t>do su correspondiente Dictamen.</w:t>
      </w:r>
    </w:p>
    <w:p w:rsidR="008B56F6" w:rsidRPr="00DF5243" w:rsidRDefault="008B56F6" w:rsidP="00264CAF">
      <w:pPr>
        <w:pStyle w:val="Textoindependiente2"/>
        <w:jc w:val="both"/>
        <w:rPr>
          <w:rFonts w:ascii="Arial" w:hAnsi="Arial" w:cs="Arial"/>
        </w:rPr>
      </w:pPr>
      <w:r w:rsidRPr="00DF5243">
        <w:rPr>
          <w:rFonts w:ascii="Arial" w:hAnsi="Arial" w:cs="Arial"/>
        </w:rPr>
        <w:t xml:space="preserve">Como consecuencia del examen practicado, se incluyen en este informe comentarios que se ha entendido conveniente exponer, relacionados a la situación de determinados capítulos y rubros de los Estados examinados, obligaciones a cumplir, así como recomendaciones que deberá atender el Organismo. Se incluye además una evaluación de la forma de cumplimiento de las recomendaciones presentadas en el informe de auditoría correspondiente al </w:t>
      </w:r>
      <w:r>
        <w:rPr>
          <w:rFonts w:ascii="Arial" w:hAnsi="Arial" w:cs="Arial"/>
        </w:rPr>
        <w:t>E</w:t>
      </w:r>
      <w:r w:rsidRPr="00DF5243">
        <w:rPr>
          <w:rFonts w:ascii="Arial" w:hAnsi="Arial" w:cs="Arial"/>
        </w:rPr>
        <w:t>jercicio anterior.</w:t>
      </w:r>
    </w:p>
    <w:p w:rsidR="008B56F6" w:rsidRPr="00D37502" w:rsidRDefault="008B56F6" w:rsidP="00264CAF">
      <w:pPr>
        <w:pStyle w:val="Textoindependiente2"/>
        <w:jc w:val="both"/>
        <w:rPr>
          <w:rFonts w:ascii="Arial" w:hAnsi="Arial" w:cs="Arial"/>
          <w:color w:val="FF0000"/>
        </w:rPr>
      </w:pPr>
    </w:p>
    <w:p w:rsidR="008B56F6" w:rsidRPr="00F34A67" w:rsidRDefault="008B56F6" w:rsidP="00264CAF">
      <w:pPr>
        <w:pStyle w:val="Ttulo2"/>
        <w:rPr>
          <w:rFonts w:cs="Arial"/>
        </w:rPr>
      </w:pPr>
      <w:bookmarkStart w:id="48" w:name="_Toc76280780"/>
      <w:bookmarkStart w:id="49" w:name="_Toc269210074"/>
      <w:bookmarkStart w:id="50" w:name="_Toc304205943"/>
      <w:bookmarkStart w:id="51" w:name="_Toc428364091"/>
      <w:r w:rsidRPr="00F34A67">
        <w:rPr>
          <w:rFonts w:cs="Arial"/>
        </w:rPr>
        <w:t xml:space="preserve">1. </w:t>
      </w:r>
      <w:bookmarkEnd w:id="48"/>
      <w:r w:rsidRPr="00F34A67">
        <w:rPr>
          <w:rFonts w:cs="Arial"/>
        </w:rPr>
        <w:t>Situación en materia de fondos</w:t>
      </w:r>
      <w:bookmarkEnd w:id="49"/>
      <w:bookmarkEnd w:id="50"/>
      <w:bookmarkEnd w:id="51"/>
    </w:p>
    <w:p w:rsidR="008B56F6" w:rsidRPr="00F34A67" w:rsidRDefault="008B56F6" w:rsidP="00264CAF">
      <w:pPr>
        <w:pStyle w:val="Textoindependiente2"/>
        <w:jc w:val="both"/>
        <w:rPr>
          <w:rFonts w:ascii="Arial" w:hAnsi="Arial" w:cs="Arial"/>
        </w:rPr>
      </w:pPr>
      <w:r w:rsidRPr="00F34A67">
        <w:rPr>
          <w:rFonts w:ascii="Arial" w:hAnsi="Arial" w:cs="Arial"/>
        </w:rPr>
        <w:t>En base a los estados incluidos en la Rendición de Cuentas, se elaboró un resumen de la situación en materia de fondos de la Junta Departamental con relación a la Intendencia al 31 de diciembre de 201</w:t>
      </w:r>
      <w:r>
        <w:rPr>
          <w:rFonts w:ascii="Arial" w:hAnsi="Arial" w:cs="Arial"/>
        </w:rPr>
        <w:t>6</w:t>
      </w:r>
      <w:r w:rsidRPr="00F34A67">
        <w:rPr>
          <w:rFonts w:ascii="Arial" w:hAnsi="Arial" w:cs="Arial"/>
        </w:rPr>
        <w:t xml:space="preserve"> (en pesos uruguayos):</w:t>
      </w:r>
    </w:p>
    <w:p w:rsidR="008B56F6" w:rsidRPr="00F34A67" w:rsidRDefault="008B56F6" w:rsidP="00264CAF">
      <w:pPr>
        <w:pStyle w:val="Textoindependiente2"/>
        <w:jc w:val="both"/>
        <w:rPr>
          <w:rFonts w:ascii="Arial" w:hAnsi="Arial" w:cs="Arial"/>
        </w:rPr>
      </w:pPr>
    </w:p>
    <w:tbl>
      <w:tblPr>
        <w:tblW w:w="6000" w:type="dxa"/>
        <w:tblCellMar>
          <w:left w:w="0" w:type="dxa"/>
          <w:right w:w="0" w:type="dxa"/>
        </w:tblCellMar>
        <w:tblLook w:val="0000" w:firstRow="0" w:lastRow="0" w:firstColumn="0" w:lastColumn="0" w:noHBand="0" w:noVBand="0"/>
      </w:tblPr>
      <w:tblGrid>
        <w:gridCol w:w="2333"/>
        <w:gridCol w:w="67"/>
        <w:gridCol w:w="1200"/>
        <w:gridCol w:w="1200"/>
        <w:gridCol w:w="1200"/>
      </w:tblGrid>
      <w:tr w:rsidR="008B56F6" w:rsidRPr="00F34A67" w:rsidTr="00AE0800">
        <w:trPr>
          <w:trHeight w:val="255"/>
        </w:trPr>
        <w:tc>
          <w:tcPr>
            <w:tcW w:w="2400" w:type="dxa"/>
            <w:gridSpan w:val="2"/>
            <w:tcBorders>
              <w:top w:val="nil"/>
              <w:left w:val="nil"/>
              <w:bottom w:val="nil"/>
              <w:right w:val="nil"/>
            </w:tcBorders>
            <w:noWrap/>
            <w:tcMar>
              <w:top w:w="15" w:type="dxa"/>
              <w:left w:w="15" w:type="dxa"/>
              <w:bottom w:w="0" w:type="dxa"/>
              <w:right w:w="15" w:type="dxa"/>
            </w:tcMar>
            <w:vAlign w:val="bottom"/>
          </w:tcPr>
          <w:p w:rsidR="008B56F6" w:rsidRPr="00F34A67" w:rsidRDefault="008B56F6" w:rsidP="00AE0800">
            <w:pPr>
              <w:spacing w:line="360" w:lineRule="auto"/>
              <w:rPr>
                <w:rFonts w:eastAsia="Arial Unicode MS" w:cs="Arial"/>
                <w:sz w:val="20"/>
              </w:rPr>
            </w:pPr>
            <w:r w:rsidRPr="00F34A67">
              <w:rPr>
                <w:rFonts w:cs="Arial"/>
                <w:sz w:val="20"/>
              </w:rPr>
              <w:t xml:space="preserve">Disponibilidades </w:t>
            </w:r>
            <w:r w:rsidRPr="00564AC2">
              <w:rPr>
                <w:rFonts w:cs="Arial"/>
                <w:sz w:val="20"/>
                <w:vertAlign w:val="superscript"/>
              </w:rPr>
              <w:t>(1)</w:t>
            </w:r>
          </w:p>
        </w:tc>
        <w:tc>
          <w:tcPr>
            <w:tcW w:w="1200" w:type="dxa"/>
            <w:tcBorders>
              <w:top w:val="nil"/>
              <w:left w:val="nil"/>
              <w:bottom w:val="nil"/>
              <w:right w:val="nil"/>
            </w:tcBorders>
            <w:noWrap/>
            <w:tcMar>
              <w:top w:w="15" w:type="dxa"/>
              <w:left w:w="15" w:type="dxa"/>
              <w:bottom w:w="0" w:type="dxa"/>
              <w:right w:w="15" w:type="dxa"/>
            </w:tcMar>
            <w:vAlign w:val="bottom"/>
          </w:tcPr>
          <w:p w:rsidR="008B56F6" w:rsidRPr="00F34A67" w:rsidRDefault="008B56F6" w:rsidP="00AE0800">
            <w:pPr>
              <w:spacing w:line="360" w:lineRule="auto"/>
              <w:rPr>
                <w:rFonts w:eastAsia="Arial Unicode MS" w:cs="Arial"/>
                <w:sz w:val="20"/>
              </w:rPr>
            </w:pPr>
          </w:p>
        </w:tc>
        <w:tc>
          <w:tcPr>
            <w:tcW w:w="1200" w:type="dxa"/>
            <w:tcBorders>
              <w:top w:val="nil"/>
              <w:left w:val="nil"/>
              <w:bottom w:val="nil"/>
              <w:right w:val="nil"/>
            </w:tcBorders>
            <w:noWrap/>
            <w:tcMar>
              <w:top w:w="15" w:type="dxa"/>
              <w:left w:w="15" w:type="dxa"/>
              <w:bottom w:w="0" w:type="dxa"/>
              <w:right w:w="15" w:type="dxa"/>
            </w:tcMar>
            <w:vAlign w:val="bottom"/>
          </w:tcPr>
          <w:p w:rsidR="008B56F6" w:rsidRPr="00F34A67" w:rsidRDefault="008B56F6" w:rsidP="00AE0800">
            <w:pPr>
              <w:spacing w:line="360" w:lineRule="auto"/>
              <w:rPr>
                <w:rFonts w:eastAsia="Arial Unicode MS" w:cs="Arial"/>
                <w:sz w:val="20"/>
              </w:rPr>
            </w:pPr>
          </w:p>
        </w:tc>
        <w:tc>
          <w:tcPr>
            <w:tcW w:w="1200" w:type="dxa"/>
            <w:tcBorders>
              <w:top w:val="nil"/>
              <w:left w:val="nil"/>
              <w:bottom w:val="nil"/>
              <w:right w:val="nil"/>
            </w:tcBorders>
            <w:noWrap/>
            <w:tcMar>
              <w:top w:w="15" w:type="dxa"/>
              <w:left w:w="15" w:type="dxa"/>
              <w:bottom w:w="0" w:type="dxa"/>
              <w:right w:w="15" w:type="dxa"/>
            </w:tcMar>
            <w:vAlign w:val="bottom"/>
          </w:tcPr>
          <w:p w:rsidR="008B56F6" w:rsidRPr="00F34A67" w:rsidRDefault="008B56F6" w:rsidP="00AE0800">
            <w:pPr>
              <w:spacing w:line="360" w:lineRule="auto"/>
              <w:rPr>
                <w:rFonts w:eastAsia="Arial Unicode MS" w:cs="Arial"/>
                <w:sz w:val="20"/>
              </w:rPr>
            </w:pPr>
            <w:r w:rsidRPr="00F34A67">
              <w:rPr>
                <w:rFonts w:cs="Arial"/>
                <w:sz w:val="20"/>
              </w:rPr>
              <w:t xml:space="preserve">        </w:t>
            </w:r>
            <w:r>
              <w:rPr>
                <w:rFonts w:cs="Arial"/>
                <w:sz w:val="20"/>
              </w:rPr>
              <w:t xml:space="preserve">    2:265.849</w:t>
            </w:r>
            <w:r w:rsidRPr="00F34A67">
              <w:rPr>
                <w:rFonts w:cs="Arial"/>
                <w:sz w:val="20"/>
              </w:rPr>
              <w:t xml:space="preserve"> </w:t>
            </w:r>
          </w:p>
        </w:tc>
      </w:tr>
      <w:tr w:rsidR="008B56F6" w:rsidRPr="00F34A67" w:rsidTr="00AE0800">
        <w:trPr>
          <w:trHeight w:val="255"/>
        </w:trPr>
        <w:tc>
          <w:tcPr>
            <w:tcW w:w="0" w:type="auto"/>
            <w:tcBorders>
              <w:top w:val="nil"/>
              <w:left w:val="nil"/>
              <w:bottom w:val="nil"/>
              <w:right w:val="nil"/>
            </w:tcBorders>
            <w:noWrap/>
            <w:tcMar>
              <w:top w:w="15" w:type="dxa"/>
              <w:left w:w="15" w:type="dxa"/>
              <w:bottom w:w="0" w:type="dxa"/>
              <w:right w:w="15" w:type="dxa"/>
            </w:tcMar>
            <w:vAlign w:val="bottom"/>
          </w:tcPr>
          <w:p w:rsidR="008B56F6" w:rsidRPr="00F34A67" w:rsidRDefault="008B56F6" w:rsidP="00AE0800">
            <w:pPr>
              <w:spacing w:line="360" w:lineRule="auto"/>
              <w:rPr>
                <w:rFonts w:eastAsia="Arial Unicode MS" w:cs="Arial"/>
                <w:sz w:val="20"/>
              </w:rPr>
            </w:pPr>
            <w:r w:rsidRPr="00F34A67">
              <w:rPr>
                <w:rFonts w:cs="Arial"/>
                <w:sz w:val="20"/>
              </w:rPr>
              <w:t xml:space="preserve"> Menos: </w:t>
            </w:r>
          </w:p>
        </w:tc>
        <w:tc>
          <w:tcPr>
            <w:tcW w:w="0" w:type="auto"/>
            <w:tcBorders>
              <w:top w:val="nil"/>
              <w:left w:val="nil"/>
              <w:bottom w:val="nil"/>
              <w:right w:val="nil"/>
            </w:tcBorders>
            <w:noWrap/>
            <w:tcMar>
              <w:top w:w="15" w:type="dxa"/>
              <w:left w:w="15" w:type="dxa"/>
              <w:bottom w:w="0" w:type="dxa"/>
              <w:right w:w="15" w:type="dxa"/>
            </w:tcMar>
            <w:vAlign w:val="bottom"/>
          </w:tcPr>
          <w:p w:rsidR="008B56F6" w:rsidRPr="00F34A67" w:rsidRDefault="008B56F6" w:rsidP="00AE0800">
            <w:pPr>
              <w:spacing w:line="360" w:lineRule="auto"/>
              <w:rPr>
                <w:rFonts w:eastAsia="Arial Unicode MS" w:cs="Arial"/>
                <w:sz w:val="20"/>
              </w:rPr>
            </w:pPr>
          </w:p>
        </w:tc>
        <w:tc>
          <w:tcPr>
            <w:tcW w:w="0" w:type="auto"/>
            <w:tcBorders>
              <w:top w:val="nil"/>
              <w:left w:val="nil"/>
              <w:bottom w:val="nil"/>
              <w:right w:val="nil"/>
            </w:tcBorders>
            <w:noWrap/>
            <w:tcMar>
              <w:top w:w="15" w:type="dxa"/>
              <w:left w:w="15" w:type="dxa"/>
              <w:bottom w:w="0" w:type="dxa"/>
              <w:right w:w="15" w:type="dxa"/>
            </w:tcMar>
            <w:vAlign w:val="bottom"/>
          </w:tcPr>
          <w:p w:rsidR="008B56F6" w:rsidRPr="00F34A67" w:rsidRDefault="008B56F6" w:rsidP="00AE0800">
            <w:pPr>
              <w:spacing w:line="360" w:lineRule="auto"/>
              <w:rPr>
                <w:rFonts w:eastAsia="Arial Unicode MS" w:cs="Arial"/>
                <w:sz w:val="20"/>
              </w:rPr>
            </w:pPr>
          </w:p>
        </w:tc>
        <w:tc>
          <w:tcPr>
            <w:tcW w:w="0" w:type="auto"/>
            <w:tcBorders>
              <w:top w:val="nil"/>
              <w:left w:val="nil"/>
              <w:bottom w:val="nil"/>
              <w:right w:val="nil"/>
            </w:tcBorders>
            <w:noWrap/>
            <w:tcMar>
              <w:top w:w="15" w:type="dxa"/>
              <w:left w:w="15" w:type="dxa"/>
              <w:bottom w:w="0" w:type="dxa"/>
              <w:right w:w="15" w:type="dxa"/>
            </w:tcMar>
            <w:vAlign w:val="bottom"/>
          </w:tcPr>
          <w:p w:rsidR="008B56F6" w:rsidRPr="00F34A67" w:rsidRDefault="008B56F6" w:rsidP="00AE0800">
            <w:pPr>
              <w:spacing w:line="360" w:lineRule="auto"/>
              <w:rPr>
                <w:rFonts w:eastAsia="Arial Unicode MS" w:cs="Arial"/>
                <w:sz w:val="20"/>
              </w:rPr>
            </w:pPr>
          </w:p>
        </w:tc>
        <w:tc>
          <w:tcPr>
            <w:tcW w:w="0" w:type="auto"/>
            <w:tcBorders>
              <w:top w:val="nil"/>
              <w:left w:val="nil"/>
              <w:bottom w:val="nil"/>
              <w:right w:val="nil"/>
            </w:tcBorders>
            <w:noWrap/>
            <w:tcMar>
              <w:top w:w="15" w:type="dxa"/>
              <w:left w:w="15" w:type="dxa"/>
              <w:bottom w:w="0" w:type="dxa"/>
              <w:right w:w="15" w:type="dxa"/>
            </w:tcMar>
            <w:vAlign w:val="bottom"/>
          </w:tcPr>
          <w:p w:rsidR="008B56F6" w:rsidRPr="00F34A67" w:rsidRDefault="008B56F6" w:rsidP="00AE0800">
            <w:pPr>
              <w:spacing w:line="360" w:lineRule="auto"/>
              <w:rPr>
                <w:rFonts w:eastAsia="Arial Unicode MS" w:cs="Arial"/>
                <w:sz w:val="20"/>
              </w:rPr>
            </w:pPr>
          </w:p>
        </w:tc>
      </w:tr>
      <w:tr w:rsidR="008B56F6" w:rsidRPr="00F34A67" w:rsidTr="00AE0800">
        <w:trPr>
          <w:trHeight w:val="255"/>
        </w:trPr>
        <w:tc>
          <w:tcPr>
            <w:tcW w:w="0" w:type="auto"/>
            <w:gridSpan w:val="3"/>
            <w:tcBorders>
              <w:top w:val="nil"/>
              <w:left w:val="nil"/>
              <w:bottom w:val="nil"/>
              <w:right w:val="nil"/>
            </w:tcBorders>
            <w:noWrap/>
            <w:tcMar>
              <w:top w:w="15" w:type="dxa"/>
              <w:left w:w="15" w:type="dxa"/>
              <w:bottom w:w="0" w:type="dxa"/>
              <w:right w:w="15" w:type="dxa"/>
            </w:tcMar>
            <w:vAlign w:val="bottom"/>
          </w:tcPr>
          <w:p w:rsidR="008B56F6" w:rsidRPr="00F34A67" w:rsidRDefault="008B56F6" w:rsidP="00AE0800">
            <w:pPr>
              <w:spacing w:line="360" w:lineRule="auto"/>
              <w:rPr>
                <w:rFonts w:eastAsia="Arial Unicode MS" w:cs="Arial"/>
                <w:sz w:val="20"/>
              </w:rPr>
            </w:pPr>
            <w:r w:rsidRPr="00F34A67">
              <w:rPr>
                <w:rFonts w:cs="Arial"/>
                <w:sz w:val="20"/>
              </w:rPr>
              <w:t xml:space="preserve"> Obligaciones presupuestales impagas </w:t>
            </w:r>
          </w:p>
        </w:tc>
        <w:tc>
          <w:tcPr>
            <w:tcW w:w="0" w:type="auto"/>
            <w:tcBorders>
              <w:top w:val="nil"/>
              <w:left w:val="nil"/>
              <w:bottom w:val="nil"/>
              <w:right w:val="nil"/>
            </w:tcBorders>
            <w:noWrap/>
            <w:tcMar>
              <w:top w:w="15" w:type="dxa"/>
              <w:left w:w="15" w:type="dxa"/>
              <w:bottom w:w="0" w:type="dxa"/>
              <w:right w:w="15" w:type="dxa"/>
            </w:tcMar>
            <w:vAlign w:val="bottom"/>
          </w:tcPr>
          <w:p w:rsidR="008B56F6" w:rsidRPr="00F34A67" w:rsidRDefault="008B56F6" w:rsidP="00AE0800">
            <w:pPr>
              <w:spacing w:line="360" w:lineRule="auto"/>
              <w:rPr>
                <w:rFonts w:eastAsia="Arial Unicode MS" w:cs="Arial"/>
                <w:sz w:val="20"/>
              </w:rPr>
            </w:pPr>
            <w:r w:rsidRPr="00F34A67">
              <w:rPr>
                <w:rFonts w:cs="Arial"/>
                <w:sz w:val="20"/>
              </w:rPr>
              <w:t xml:space="preserve">   </w:t>
            </w:r>
            <w:r>
              <w:rPr>
                <w:rFonts w:cs="Arial"/>
                <w:sz w:val="20"/>
              </w:rPr>
              <w:t>1</w:t>
            </w:r>
            <w:r w:rsidRPr="00F34A67">
              <w:rPr>
                <w:rFonts w:cs="Arial"/>
                <w:sz w:val="20"/>
              </w:rPr>
              <w:t>.</w:t>
            </w:r>
            <w:r>
              <w:rPr>
                <w:rFonts w:cs="Arial"/>
                <w:sz w:val="20"/>
              </w:rPr>
              <w:t>365</w:t>
            </w:r>
            <w:r w:rsidRPr="00F34A67">
              <w:rPr>
                <w:rFonts w:cs="Arial"/>
                <w:sz w:val="20"/>
              </w:rPr>
              <w:t>.</w:t>
            </w:r>
            <w:r>
              <w:rPr>
                <w:rFonts w:cs="Arial"/>
                <w:sz w:val="20"/>
              </w:rPr>
              <w:t>414</w:t>
            </w:r>
            <w:r w:rsidRPr="00F34A67">
              <w:rPr>
                <w:rFonts w:cs="Arial"/>
                <w:sz w:val="20"/>
              </w:rPr>
              <w:t xml:space="preserve"> </w:t>
            </w:r>
          </w:p>
        </w:tc>
        <w:tc>
          <w:tcPr>
            <w:tcW w:w="0" w:type="auto"/>
            <w:tcBorders>
              <w:top w:val="nil"/>
              <w:left w:val="nil"/>
              <w:bottom w:val="nil"/>
              <w:right w:val="nil"/>
            </w:tcBorders>
            <w:noWrap/>
            <w:tcMar>
              <w:top w:w="15" w:type="dxa"/>
              <w:left w:w="15" w:type="dxa"/>
              <w:bottom w:w="0" w:type="dxa"/>
              <w:right w:w="15" w:type="dxa"/>
            </w:tcMar>
            <w:vAlign w:val="bottom"/>
          </w:tcPr>
          <w:p w:rsidR="008B56F6" w:rsidRPr="00F34A67" w:rsidRDefault="008B56F6" w:rsidP="00AE0800">
            <w:pPr>
              <w:spacing w:line="360" w:lineRule="auto"/>
              <w:rPr>
                <w:rFonts w:eastAsia="Arial Unicode MS" w:cs="Arial"/>
                <w:sz w:val="20"/>
              </w:rPr>
            </w:pPr>
          </w:p>
        </w:tc>
      </w:tr>
      <w:tr w:rsidR="008B56F6" w:rsidRPr="00F34A67" w:rsidTr="00AE0800">
        <w:trPr>
          <w:trHeight w:val="300"/>
        </w:trPr>
        <w:tc>
          <w:tcPr>
            <w:tcW w:w="0" w:type="auto"/>
            <w:tcBorders>
              <w:top w:val="nil"/>
              <w:left w:val="nil"/>
              <w:bottom w:val="nil"/>
              <w:right w:val="nil"/>
            </w:tcBorders>
            <w:noWrap/>
            <w:tcMar>
              <w:top w:w="15" w:type="dxa"/>
              <w:left w:w="15" w:type="dxa"/>
              <w:bottom w:w="0" w:type="dxa"/>
              <w:right w:w="15" w:type="dxa"/>
            </w:tcMar>
            <w:vAlign w:val="bottom"/>
          </w:tcPr>
          <w:p w:rsidR="008B56F6" w:rsidRPr="00F34A67" w:rsidRDefault="008B56F6" w:rsidP="00AE0800">
            <w:pPr>
              <w:spacing w:line="360" w:lineRule="auto"/>
              <w:rPr>
                <w:rFonts w:eastAsia="Arial Unicode MS" w:cs="Arial"/>
                <w:sz w:val="20"/>
              </w:rPr>
            </w:pPr>
            <w:r w:rsidRPr="00F34A67">
              <w:rPr>
                <w:rFonts w:cs="Arial"/>
                <w:sz w:val="20"/>
              </w:rPr>
              <w:t xml:space="preserve"> Indisponibles </w:t>
            </w:r>
          </w:p>
        </w:tc>
        <w:tc>
          <w:tcPr>
            <w:tcW w:w="0" w:type="auto"/>
            <w:tcBorders>
              <w:top w:val="nil"/>
              <w:left w:val="nil"/>
              <w:bottom w:val="nil"/>
              <w:right w:val="nil"/>
            </w:tcBorders>
            <w:noWrap/>
            <w:tcMar>
              <w:top w:w="15" w:type="dxa"/>
              <w:left w:w="15" w:type="dxa"/>
              <w:bottom w:w="0" w:type="dxa"/>
              <w:right w:w="15" w:type="dxa"/>
            </w:tcMar>
            <w:vAlign w:val="bottom"/>
          </w:tcPr>
          <w:p w:rsidR="008B56F6" w:rsidRPr="00F34A67" w:rsidRDefault="008B56F6" w:rsidP="00AE0800">
            <w:pPr>
              <w:spacing w:line="360" w:lineRule="auto"/>
              <w:rPr>
                <w:rFonts w:eastAsia="Arial Unicode MS" w:cs="Arial"/>
                <w:sz w:val="20"/>
              </w:rPr>
            </w:pPr>
          </w:p>
        </w:tc>
        <w:tc>
          <w:tcPr>
            <w:tcW w:w="0" w:type="auto"/>
            <w:tcBorders>
              <w:top w:val="nil"/>
              <w:left w:val="nil"/>
              <w:bottom w:val="nil"/>
              <w:right w:val="nil"/>
            </w:tcBorders>
            <w:noWrap/>
            <w:tcMar>
              <w:top w:w="15" w:type="dxa"/>
              <w:left w:w="15" w:type="dxa"/>
              <w:bottom w:w="0" w:type="dxa"/>
              <w:right w:w="15" w:type="dxa"/>
            </w:tcMar>
            <w:vAlign w:val="bottom"/>
          </w:tcPr>
          <w:p w:rsidR="008B56F6" w:rsidRPr="00F34A67" w:rsidRDefault="008B56F6" w:rsidP="00AE0800">
            <w:pPr>
              <w:spacing w:line="360" w:lineRule="auto"/>
              <w:rPr>
                <w:rFonts w:eastAsia="Arial Unicode MS" w:cs="Arial"/>
                <w:sz w:val="20"/>
              </w:rPr>
            </w:pPr>
          </w:p>
        </w:tc>
        <w:tc>
          <w:tcPr>
            <w:tcW w:w="0" w:type="auto"/>
            <w:tcBorders>
              <w:top w:val="nil"/>
              <w:left w:val="nil"/>
              <w:bottom w:val="nil"/>
              <w:right w:val="nil"/>
            </w:tcBorders>
            <w:noWrap/>
            <w:tcMar>
              <w:top w:w="15" w:type="dxa"/>
              <w:left w:w="15" w:type="dxa"/>
              <w:bottom w:w="0" w:type="dxa"/>
              <w:right w:w="15" w:type="dxa"/>
            </w:tcMar>
            <w:vAlign w:val="bottom"/>
          </w:tcPr>
          <w:p w:rsidR="008B56F6" w:rsidRPr="00F34A67" w:rsidRDefault="008B56F6" w:rsidP="00AE0800">
            <w:pPr>
              <w:spacing w:line="360" w:lineRule="auto"/>
              <w:rPr>
                <w:rFonts w:eastAsia="Arial Unicode MS" w:cs="Arial"/>
                <w:sz w:val="20"/>
                <w:u w:val="single"/>
              </w:rPr>
            </w:pPr>
            <w:r w:rsidRPr="00F34A67">
              <w:rPr>
                <w:rFonts w:cs="Arial"/>
                <w:sz w:val="20"/>
                <w:u w:val="single"/>
              </w:rPr>
              <w:t xml:space="preserve">      </w:t>
            </w:r>
            <w:r>
              <w:rPr>
                <w:rFonts w:cs="Arial"/>
                <w:sz w:val="20"/>
                <w:u w:val="single"/>
              </w:rPr>
              <w:t>991</w:t>
            </w:r>
            <w:r w:rsidRPr="00F34A67">
              <w:rPr>
                <w:rFonts w:cs="Arial"/>
                <w:sz w:val="20"/>
                <w:u w:val="single"/>
              </w:rPr>
              <w:t>.</w:t>
            </w:r>
            <w:r>
              <w:rPr>
                <w:rFonts w:cs="Arial"/>
                <w:sz w:val="20"/>
                <w:u w:val="single"/>
              </w:rPr>
              <w:t>893</w:t>
            </w:r>
            <w:r w:rsidRPr="00F34A67">
              <w:rPr>
                <w:rFonts w:cs="Arial"/>
                <w:sz w:val="20"/>
                <w:u w:val="single"/>
              </w:rPr>
              <w:t xml:space="preserve"> </w:t>
            </w:r>
          </w:p>
        </w:tc>
        <w:tc>
          <w:tcPr>
            <w:tcW w:w="0" w:type="auto"/>
            <w:tcBorders>
              <w:top w:val="nil"/>
              <w:left w:val="nil"/>
              <w:bottom w:val="nil"/>
              <w:right w:val="nil"/>
            </w:tcBorders>
            <w:noWrap/>
            <w:tcMar>
              <w:top w:w="15" w:type="dxa"/>
              <w:left w:w="15" w:type="dxa"/>
              <w:bottom w:w="0" w:type="dxa"/>
              <w:right w:w="15" w:type="dxa"/>
            </w:tcMar>
            <w:vAlign w:val="bottom"/>
          </w:tcPr>
          <w:p w:rsidR="008B56F6" w:rsidRPr="00F34A67" w:rsidRDefault="008B56F6" w:rsidP="00AE0800">
            <w:pPr>
              <w:spacing w:line="360" w:lineRule="auto"/>
              <w:rPr>
                <w:rFonts w:eastAsia="Arial Unicode MS" w:cs="Arial"/>
                <w:sz w:val="20"/>
                <w:u w:val="single"/>
              </w:rPr>
            </w:pPr>
            <w:r w:rsidRPr="00F34A67">
              <w:rPr>
                <w:rFonts w:cs="Arial"/>
                <w:sz w:val="20"/>
                <w:u w:val="single"/>
              </w:rPr>
              <w:t>(</w:t>
            </w:r>
            <w:r>
              <w:rPr>
                <w:rFonts w:cs="Arial"/>
                <w:sz w:val="20"/>
                <w:u w:val="single"/>
              </w:rPr>
              <w:t>2</w:t>
            </w:r>
            <w:r w:rsidRPr="00F34A67">
              <w:rPr>
                <w:rFonts w:cs="Arial"/>
                <w:sz w:val="20"/>
                <w:u w:val="single"/>
              </w:rPr>
              <w:t>.</w:t>
            </w:r>
            <w:r>
              <w:rPr>
                <w:rFonts w:cs="Arial"/>
                <w:sz w:val="20"/>
                <w:u w:val="single"/>
              </w:rPr>
              <w:t>357</w:t>
            </w:r>
            <w:r w:rsidRPr="00F34A67">
              <w:rPr>
                <w:rFonts w:cs="Arial"/>
                <w:sz w:val="20"/>
                <w:u w:val="single"/>
              </w:rPr>
              <w:t>.</w:t>
            </w:r>
            <w:r>
              <w:rPr>
                <w:rFonts w:cs="Arial"/>
                <w:sz w:val="20"/>
                <w:u w:val="single"/>
              </w:rPr>
              <w:t>307)</w:t>
            </w:r>
          </w:p>
        </w:tc>
      </w:tr>
      <w:tr w:rsidR="008B56F6" w:rsidRPr="00F34A67" w:rsidTr="00AE0800">
        <w:trPr>
          <w:trHeight w:val="270"/>
        </w:trPr>
        <w:tc>
          <w:tcPr>
            <w:tcW w:w="0" w:type="auto"/>
            <w:gridSpan w:val="2"/>
            <w:tcBorders>
              <w:top w:val="nil"/>
              <w:left w:val="nil"/>
              <w:bottom w:val="nil"/>
              <w:right w:val="nil"/>
            </w:tcBorders>
            <w:noWrap/>
            <w:tcMar>
              <w:top w:w="15" w:type="dxa"/>
              <w:left w:w="15" w:type="dxa"/>
              <w:bottom w:w="0" w:type="dxa"/>
              <w:right w:w="15" w:type="dxa"/>
            </w:tcMar>
            <w:vAlign w:val="bottom"/>
          </w:tcPr>
          <w:p w:rsidR="008B56F6" w:rsidRPr="00F34A67" w:rsidRDefault="008B56F6" w:rsidP="00AE0800">
            <w:pPr>
              <w:spacing w:line="360" w:lineRule="auto"/>
              <w:rPr>
                <w:rFonts w:eastAsia="Arial Unicode MS" w:cs="Arial"/>
                <w:sz w:val="20"/>
              </w:rPr>
            </w:pPr>
            <w:r w:rsidRPr="00F34A67">
              <w:rPr>
                <w:rFonts w:cs="Arial"/>
                <w:sz w:val="20"/>
              </w:rPr>
              <w:t xml:space="preserve"> Saldo a favor de la </w:t>
            </w:r>
            <w:r>
              <w:rPr>
                <w:rFonts w:cs="Arial"/>
                <w:sz w:val="20"/>
              </w:rPr>
              <w:t>Junta</w:t>
            </w:r>
            <w:r w:rsidRPr="00F34A67">
              <w:rPr>
                <w:rFonts w:cs="Arial"/>
                <w:sz w:val="20"/>
              </w:rPr>
              <w:t xml:space="preserve"> </w:t>
            </w:r>
          </w:p>
        </w:tc>
        <w:tc>
          <w:tcPr>
            <w:tcW w:w="0" w:type="auto"/>
            <w:tcBorders>
              <w:top w:val="nil"/>
              <w:left w:val="nil"/>
              <w:bottom w:val="nil"/>
              <w:right w:val="nil"/>
            </w:tcBorders>
            <w:noWrap/>
            <w:tcMar>
              <w:top w:w="15" w:type="dxa"/>
              <w:left w:w="15" w:type="dxa"/>
              <w:bottom w:w="0" w:type="dxa"/>
              <w:right w:w="15" w:type="dxa"/>
            </w:tcMar>
            <w:vAlign w:val="bottom"/>
          </w:tcPr>
          <w:p w:rsidR="008B56F6" w:rsidRPr="00F34A67" w:rsidRDefault="008B56F6" w:rsidP="00AE0800">
            <w:pPr>
              <w:spacing w:line="360" w:lineRule="auto"/>
              <w:rPr>
                <w:rFonts w:eastAsia="Arial Unicode MS" w:cs="Arial"/>
                <w:sz w:val="20"/>
              </w:rPr>
            </w:pPr>
          </w:p>
        </w:tc>
        <w:tc>
          <w:tcPr>
            <w:tcW w:w="0" w:type="auto"/>
            <w:tcBorders>
              <w:top w:val="nil"/>
              <w:left w:val="nil"/>
              <w:bottom w:val="nil"/>
              <w:right w:val="nil"/>
            </w:tcBorders>
            <w:noWrap/>
            <w:tcMar>
              <w:top w:w="15" w:type="dxa"/>
              <w:left w:w="15" w:type="dxa"/>
              <w:bottom w:w="0" w:type="dxa"/>
              <w:right w:w="15" w:type="dxa"/>
            </w:tcMar>
            <w:vAlign w:val="bottom"/>
          </w:tcPr>
          <w:p w:rsidR="008B56F6" w:rsidRPr="00F34A67" w:rsidRDefault="008B56F6" w:rsidP="00AE0800">
            <w:pPr>
              <w:spacing w:line="360" w:lineRule="auto"/>
              <w:rPr>
                <w:rFonts w:eastAsia="Arial Unicode MS" w:cs="Arial"/>
                <w:sz w:val="20"/>
              </w:rPr>
            </w:pPr>
          </w:p>
        </w:tc>
        <w:tc>
          <w:tcPr>
            <w:tcW w:w="0" w:type="auto"/>
            <w:tcBorders>
              <w:top w:val="nil"/>
              <w:left w:val="nil"/>
              <w:bottom w:val="double" w:sz="6" w:space="0" w:color="auto"/>
              <w:right w:val="nil"/>
            </w:tcBorders>
            <w:noWrap/>
            <w:tcMar>
              <w:top w:w="15" w:type="dxa"/>
              <w:left w:w="15" w:type="dxa"/>
              <w:bottom w:w="0" w:type="dxa"/>
              <w:right w:w="15" w:type="dxa"/>
            </w:tcMar>
            <w:vAlign w:val="bottom"/>
          </w:tcPr>
          <w:p w:rsidR="008B56F6" w:rsidRPr="00F34A67" w:rsidRDefault="008B56F6" w:rsidP="00AE0800">
            <w:pPr>
              <w:spacing w:line="360" w:lineRule="auto"/>
              <w:rPr>
                <w:rFonts w:eastAsia="Arial Unicode MS" w:cs="Arial"/>
                <w:sz w:val="20"/>
              </w:rPr>
            </w:pPr>
            <w:r>
              <w:rPr>
                <w:rFonts w:cs="Arial"/>
                <w:sz w:val="20"/>
              </w:rPr>
              <w:t xml:space="preserve">     (91.458)</w:t>
            </w:r>
          </w:p>
        </w:tc>
      </w:tr>
    </w:tbl>
    <w:p w:rsidR="008B56F6" w:rsidRDefault="008B56F6" w:rsidP="00264CAF">
      <w:pPr>
        <w:pStyle w:val="Textoindependiente2"/>
        <w:jc w:val="both"/>
        <w:rPr>
          <w:rFonts w:ascii="Arial" w:hAnsi="Arial" w:cs="Arial"/>
          <w:color w:val="FF0000"/>
          <w:lang w:val="es-ES_tradnl"/>
        </w:rPr>
      </w:pPr>
    </w:p>
    <w:p w:rsidR="008B56F6" w:rsidRPr="00B62E30" w:rsidRDefault="008B56F6" w:rsidP="008B56F6">
      <w:pPr>
        <w:pStyle w:val="Textoindependiente2"/>
        <w:numPr>
          <w:ilvl w:val="0"/>
          <w:numId w:val="4"/>
        </w:numPr>
        <w:jc w:val="both"/>
        <w:rPr>
          <w:rFonts w:ascii="Arial" w:hAnsi="Arial" w:cs="Arial"/>
          <w:lang w:val="es-ES_tradnl"/>
        </w:rPr>
      </w:pPr>
      <w:r>
        <w:rPr>
          <w:rFonts w:ascii="Arial" w:hAnsi="Arial" w:cs="Arial"/>
          <w:lang w:val="es-ES_tradnl"/>
        </w:rPr>
        <w:t>Las disp</w:t>
      </w:r>
      <w:r w:rsidRPr="00B62E30">
        <w:rPr>
          <w:rFonts w:ascii="Arial" w:hAnsi="Arial" w:cs="Arial"/>
          <w:lang w:val="es-ES_tradnl"/>
        </w:rPr>
        <w:t>onibilidades expone</w:t>
      </w:r>
      <w:r>
        <w:rPr>
          <w:rFonts w:ascii="Arial" w:hAnsi="Arial" w:cs="Arial"/>
          <w:lang w:val="es-ES_tradnl"/>
        </w:rPr>
        <w:t>n</w:t>
      </w:r>
      <w:r w:rsidRPr="00B62E30">
        <w:rPr>
          <w:rFonts w:ascii="Arial" w:hAnsi="Arial" w:cs="Arial"/>
          <w:lang w:val="es-ES_tradnl"/>
        </w:rPr>
        <w:t xml:space="preserve"> el saldo </w:t>
      </w:r>
      <w:r>
        <w:rPr>
          <w:rFonts w:ascii="Arial" w:hAnsi="Arial" w:cs="Arial"/>
          <w:lang w:val="es-ES_tradnl"/>
        </w:rPr>
        <w:t xml:space="preserve">en la cuenta del </w:t>
      </w:r>
      <w:r w:rsidRPr="00B62E30">
        <w:rPr>
          <w:rFonts w:ascii="Arial" w:hAnsi="Arial" w:cs="Arial"/>
          <w:lang w:val="es-ES_tradnl"/>
        </w:rPr>
        <w:t>BROU que surge de contabilizar</w:t>
      </w:r>
      <w:r>
        <w:rPr>
          <w:rFonts w:ascii="Arial" w:hAnsi="Arial" w:cs="Arial"/>
          <w:lang w:val="es-ES_tradnl"/>
        </w:rPr>
        <w:t xml:space="preserve"> los cheques pendientes de cobro.</w:t>
      </w:r>
    </w:p>
    <w:p w:rsidR="008B56F6" w:rsidRPr="00D37502" w:rsidRDefault="008B56F6" w:rsidP="00264CAF">
      <w:pPr>
        <w:pStyle w:val="Textoindependiente2"/>
        <w:jc w:val="both"/>
        <w:rPr>
          <w:rFonts w:ascii="Arial" w:hAnsi="Arial" w:cs="Arial"/>
          <w:color w:val="FF0000"/>
          <w:lang w:val="es-ES_tradnl"/>
        </w:rPr>
      </w:pPr>
    </w:p>
    <w:p w:rsidR="008B56F6" w:rsidRPr="0093613A" w:rsidRDefault="008B56F6" w:rsidP="00264CAF">
      <w:pPr>
        <w:pStyle w:val="Ttulo2"/>
        <w:rPr>
          <w:b w:val="0"/>
          <w:kern w:val="0"/>
          <w:szCs w:val="24"/>
        </w:rPr>
      </w:pPr>
      <w:bookmarkStart w:id="52" w:name="_Toc266364292"/>
      <w:bookmarkStart w:id="53" w:name="_Toc304205944"/>
      <w:bookmarkStart w:id="54" w:name="_Toc428364092"/>
      <w:bookmarkStart w:id="55" w:name="_Toc239137549"/>
      <w:r w:rsidRPr="00F34A67">
        <w:lastRenderedPageBreak/>
        <w:t>2</w:t>
      </w:r>
      <w:r>
        <w:t>.</w:t>
      </w:r>
      <w:r w:rsidRPr="00F34A67">
        <w:t xml:space="preserve"> </w:t>
      </w:r>
      <w:bookmarkEnd w:id="52"/>
      <w:bookmarkEnd w:id="53"/>
      <w:bookmarkEnd w:id="54"/>
      <w:r>
        <w:t>Constataciones que no afectan la opinión</w:t>
      </w:r>
    </w:p>
    <w:p w:rsidR="008B56F6" w:rsidRPr="00844634" w:rsidRDefault="008B56F6" w:rsidP="00264CAF">
      <w:pPr>
        <w:pStyle w:val="Textoindependiente"/>
        <w:spacing w:after="0" w:line="360" w:lineRule="auto"/>
        <w:rPr>
          <w:lang w:val="es-MX"/>
        </w:rPr>
      </w:pPr>
      <w:r>
        <w:rPr>
          <w:kern w:val="0"/>
          <w:szCs w:val="24"/>
          <w:lang w:val="es-ES"/>
        </w:rPr>
        <w:t>Las</w:t>
      </w:r>
      <w:r w:rsidRPr="000C5F69">
        <w:rPr>
          <w:kern w:val="0"/>
          <w:szCs w:val="24"/>
          <w:lang w:val="es-ES"/>
        </w:rPr>
        <w:t xml:space="preserve"> certificaciones de los saldos bancarios al 31/12/16</w:t>
      </w:r>
      <w:r>
        <w:rPr>
          <w:kern w:val="0"/>
          <w:szCs w:val="24"/>
          <w:lang w:val="es-ES"/>
        </w:rPr>
        <w:t xml:space="preserve">, </w:t>
      </w:r>
      <w:r w:rsidRPr="000C5F69">
        <w:rPr>
          <w:kern w:val="0"/>
          <w:szCs w:val="24"/>
          <w:lang w:val="es-ES"/>
        </w:rPr>
        <w:t xml:space="preserve">las conciliaciones </w:t>
      </w:r>
      <w:r>
        <w:rPr>
          <w:kern w:val="0"/>
          <w:szCs w:val="24"/>
          <w:lang w:val="es-ES"/>
        </w:rPr>
        <w:t xml:space="preserve">respectivas y las Actas de Arqueo de fondos al 31/12/16 </w:t>
      </w:r>
      <w:bookmarkStart w:id="56" w:name="_Toc404767927"/>
      <w:r w:rsidRPr="00844634">
        <w:rPr>
          <w:lang w:val="es-MX"/>
        </w:rPr>
        <w:t>fueron proporcionadas con posterioridad</w:t>
      </w:r>
      <w:r>
        <w:rPr>
          <w:lang w:val="es-MX"/>
        </w:rPr>
        <w:t xml:space="preserve"> a la remisión de la Rendición de Cuentas de la Junta Departamental al 31/12/16.</w:t>
      </w:r>
    </w:p>
    <w:p w:rsidR="008B56F6" w:rsidRPr="000C5F69" w:rsidRDefault="008B56F6" w:rsidP="00264CAF">
      <w:pPr>
        <w:pStyle w:val="Textoindependiente"/>
        <w:spacing w:after="0" w:line="360" w:lineRule="auto"/>
        <w:ind w:left="360"/>
        <w:rPr>
          <w:b/>
          <w:lang w:val="es-MX"/>
        </w:rPr>
      </w:pPr>
    </w:p>
    <w:p w:rsidR="008B56F6" w:rsidRPr="00D31784" w:rsidRDefault="008B56F6" w:rsidP="00264CAF">
      <w:pPr>
        <w:pStyle w:val="Ttulo2"/>
        <w:ind w:left="720" w:hanging="720"/>
        <w:jc w:val="both"/>
        <w:rPr>
          <w:lang w:val="es-MX"/>
        </w:rPr>
      </w:pPr>
      <w:r>
        <w:rPr>
          <w:lang w:val="es-MX"/>
        </w:rPr>
        <w:t>3</w:t>
      </w:r>
      <w:r w:rsidRPr="00D31784">
        <w:rPr>
          <w:lang w:val="es-MX"/>
        </w:rPr>
        <w:t xml:space="preserve">. </w:t>
      </w:r>
      <w:bookmarkStart w:id="57" w:name="_Toc404767930"/>
      <w:bookmarkEnd w:id="56"/>
      <w:r w:rsidRPr="00D31784">
        <w:rPr>
          <w:lang w:val="es-MX"/>
        </w:rPr>
        <w:t>Debilidades de Control Interno</w:t>
      </w:r>
      <w:bookmarkEnd w:id="57"/>
    </w:p>
    <w:p w:rsidR="008B56F6" w:rsidRPr="00671BD2" w:rsidRDefault="008B56F6" w:rsidP="00264CAF">
      <w:pPr>
        <w:pStyle w:val="Ttulo2"/>
      </w:pPr>
      <w:bookmarkStart w:id="58" w:name="_Toc333239819"/>
      <w:r>
        <w:t>3</w:t>
      </w:r>
      <w:r w:rsidRPr="00671BD2">
        <w:t>.</w:t>
      </w:r>
      <w:r>
        <w:t>1</w:t>
      </w:r>
      <w:r w:rsidRPr="00671BD2">
        <w:t xml:space="preserve"> </w:t>
      </w:r>
      <w:r>
        <w:t>Saldos</w:t>
      </w:r>
      <w:r w:rsidRPr="00671BD2">
        <w:t xml:space="preserve"> con Organismos Públicos</w:t>
      </w:r>
      <w:bookmarkEnd w:id="58"/>
    </w:p>
    <w:p w:rsidR="008B56F6" w:rsidRDefault="008B56F6" w:rsidP="00264CAF">
      <w:pPr>
        <w:spacing w:line="360" w:lineRule="auto"/>
        <w:rPr>
          <w:rFonts w:cs="Arial"/>
          <w:bCs/>
        </w:rPr>
      </w:pPr>
      <w:r w:rsidRPr="00671BD2">
        <w:rPr>
          <w:rFonts w:cs="Arial"/>
          <w:bCs/>
        </w:rPr>
        <w:t xml:space="preserve">No se han realizado </w:t>
      </w:r>
      <w:proofErr w:type="spellStart"/>
      <w:r w:rsidRPr="00671BD2">
        <w:rPr>
          <w:rFonts w:cs="Arial"/>
          <w:bCs/>
        </w:rPr>
        <w:t>circularizaciones</w:t>
      </w:r>
      <w:proofErr w:type="spellEnd"/>
      <w:r w:rsidRPr="00671BD2">
        <w:rPr>
          <w:rFonts w:cs="Arial"/>
          <w:bCs/>
        </w:rPr>
        <w:t xml:space="preserve"> ni c</w:t>
      </w:r>
      <w:r w:rsidR="00125F8D">
        <w:rPr>
          <w:rFonts w:cs="Arial"/>
          <w:bCs/>
        </w:rPr>
        <w:t>onciliaciones de dichos saldos.</w:t>
      </w:r>
    </w:p>
    <w:p w:rsidR="008B56F6" w:rsidRPr="00671BD2" w:rsidRDefault="008B56F6" w:rsidP="00264CAF">
      <w:pPr>
        <w:spacing w:line="360" w:lineRule="auto"/>
        <w:rPr>
          <w:rFonts w:cs="Arial"/>
          <w:bCs/>
        </w:rPr>
      </w:pPr>
    </w:p>
    <w:p w:rsidR="008B56F6" w:rsidRPr="001F2DA5" w:rsidRDefault="008B56F6" w:rsidP="00264CAF">
      <w:pPr>
        <w:pStyle w:val="Ttulo2"/>
        <w:spacing w:after="0"/>
        <w:rPr>
          <w:rFonts w:cs="Arial"/>
        </w:rPr>
      </w:pPr>
      <w:bookmarkStart w:id="59" w:name="_Toc304205957"/>
      <w:bookmarkStart w:id="60" w:name="_Toc428364097"/>
      <w:bookmarkStart w:id="61" w:name="_Toc266364306"/>
      <w:bookmarkStart w:id="62" w:name="_Toc55043942"/>
      <w:bookmarkEnd w:id="55"/>
      <w:r>
        <w:rPr>
          <w:rFonts w:cs="Arial"/>
        </w:rPr>
        <w:t>4.</w:t>
      </w:r>
      <w:r w:rsidRPr="001F2DA5">
        <w:rPr>
          <w:rFonts w:cs="Arial"/>
        </w:rPr>
        <w:t xml:space="preserve"> Recomendaciones</w:t>
      </w:r>
      <w:bookmarkEnd w:id="59"/>
      <w:bookmarkEnd w:id="60"/>
      <w:bookmarkEnd w:id="61"/>
    </w:p>
    <w:p w:rsidR="008B56F6" w:rsidRPr="000E5EFC" w:rsidRDefault="008B56F6" w:rsidP="00264CAF">
      <w:pPr>
        <w:pStyle w:val="Ttulo2"/>
      </w:pPr>
      <w:bookmarkStart w:id="63" w:name="_Toc304205958"/>
      <w:bookmarkStart w:id="64" w:name="_Toc428364102"/>
      <w:bookmarkStart w:id="65" w:name="_Toc266364307"/>
      <w:bookmarkStart w:id="66" w:name="_Toc239137568"/>
      <w:r>
        <w:t>4</w:t>
      </w:r>
      <w:r w:rsidRPr="000E5EFC">
        <w:t>.</w:t>
      </w:r>
      <w:r>
        <w:t>1 Recomendaciones del E</w:t>
      </w:r>
      <w:r w:rsidRPr="000E5EFC">
        <w:t>jercicio anterior no cumplidas</w:t>
      </w:r>
      <w:bookmarkEnd w:id="63"/>
      <w:bookmarkEnd w:id="64"/>
    </w:p>
    <w:p w:rsidR="008B56F6" w:rsidRPr="000E5EFC" w:rsidRDefault="008B56F6" w:rsidP="00264CAF">
      <w:pPr>
        <w:pStyle w:val="Ttulo2"/>
        <w:spacing w:after="0"/>
      </w:pPr>
      <w:bookmarkStart w:id="67" w:name="_Toc304205959"/>
      <w:bookmarkStart w:id="68" w:name="_Toc428364103"/>
      <w:r>
        <w:t>4</w:t>
      </w:r>
      <w:r w:rsidRPr="000E5EFC">
        <w:t>.</w:t>
      </w:r>
      <w:r>
        <w:t>1</w:t>
      </w:r>
      <w:r w:rsidRPr="000E5EFC">
        <w:t>.1 Sistema contable</w:t>
      </w:r>
      <w:bookmarkEnd w:id="65"/>
      <w:bookmarkEnd w:id="67"/>
      <w:bookmarkEnd w:id="68"/>
    </w:p>
    <w:p w:rsidR="008B56F6" w:rsidRDefault="008B56F6" w:rsidP="00264CAF">
      <w:pPr>
        <w:spacing w:line="360" w:lineRule="auto"/>
        <w:jc w:val="both"/>
      </w:pPr>
      <w:bookmarkStart w:id="69" w:name="_Toc210552577"/>
      <w:bookmarkStart w:id="70" w:name="_Toc266364309"/>
      <w:bookmarkStart w:id="71" w:name="_Toc304205961"/>
      <w:bookmarkEnd w:id="66"/>
      <w:r w:rsidRPr="000E5EFC">
        <w:t xml:space="preserve">La Junta Departamental deberá implementar un sistema contable que le permita tener la contabilidad presupuestal y patrimonial en forma conjunta, a los efectos de cumplir con lo establecido en el Artículo </w:t>
      </w:r>
      <w:r w:rsidRPr="000E5EFC">
        <w:rPr>
          <w:bCs/>
        </w:rPr>
        <w:t xml:space="preserve">94 del TOCAF </w:t>
      </w:r>
      <w:r w:rsidRPr="000E5EFC">
        <w:t xml:space="preserve">y la Ordenanza </w:t>
      </w:r>
      <w:r>
        <w:t xml:space="preserve">Nº </w:t>
      </w:r>
      <w:r w:rsidRPr="000E5EFC">
        <w:t>81 de este Tribunal.</w:t>
      </w:r>
    </w:p>
    <w:p w:rsidR="008B56F6" w:rsidRPr="000E5EFC" w:rsidRDefault="008B56F6" w:rsidP="00264CAF">
      <w:pPr>
        <w:spacing w:line="360" w:lineRule="auto"/>
        <w:jc w:val="both"/>
      </w:pPr>
    </w:p>
    <w:p w:rsidR="008B56F6" w:rsidRPr="000E5EFC" w:rsidRDefault="008B56F6" w:rsidP="00264CAF">
      <w:pPr>
        <w:pStyle w:val="Ttulo2"/>
        <w:spacing w:after="0"/>
      </w:pPr>
      <w:bookmarkStart w:id="72" w:name="_Toc329609860"/>
      <w:bookmarkStart w:id="73" w:name="_Toc428364104"/>
      <w:bookmarkEnd w:id="69"/>
      <w:bookmarkEnd w:id="70"/>
      <w:bookmarkEnd w:id="71"/>
      <w:r>
        <w:t>4</w:t>
      </w:r>
      <w:r w:rsidRPr="000E5EFC">
        <w:t>.</w:t>
      </w:r>
      <w:r>
        <w:t>1</w:t>
      </w:r>
      <w:r w:rsidRPr="000E5EFC">
        <w:t>.2 Inventario de bienes de uso</w:t>
      </w:r>
      <w:bookmarkEnd w:id="72"/>
      <w:bookmarkEnd w:id="73"/>
    </w:p>
    <w:p w:rsidR="008B56F6" w:rsidRDefault="008B56F6" w:rsidP="00264CAF">
      <w:pPr>
        <w:pStyle w:val="Textoindependiente"/>
        <w:spacing w:line="360" w:lineRule="auto"/>
        <w:rPr>
          <w:kern w:val="0"/>
        </w:rPr>
      </w:pPr>
      <w:r w:rsidRPr="000E5EFC">
        <w:rPr>
          <w:kern w:val="0"/>
        </w:rPr>
        <w:t>De acuerdo con lo dispuesto por el Artículo 97 del TOCAF deberá mantenerse un registro permanente y valuado de los bienes de uso que integran el patrimonio de la Corporación.</w:t>
      </w:r>
    </w:p>
    <w:p w:rsidR="00125F8D" w:rsidRDefault="00125F8D" w:rsidP="00264CAF">
      <w:pPr>
        <w:pStyle w:val="Textoindependiente"/>
        <w:spacing w:line="360" w:lineRule="auto"/>
        <w:rPr>
          <w:kern w:val="0"/>
        </w:rPr>
      </w:pPr>
    </w:p>
    <w:p w:rsidR="008B56F6" w:rsidRPr="000E5EFC" w:rsidRDefault="008B56F6" w:rsidP="00264CAF">
      <w:pPr>
        <w:pStyle w:val="Ttulo2"/>
        <w:spacing w:after="0"/>
      </w:pPr>
      <w:bookmarkStart w:id="74" w:name="_Toc428364105"/>
      <w:bookmarkStart w:id="75" w:name="_Toc304205962"/>
      <w:r>
        <w:lastRenderedPageBreak/>
        <w:t>4</w:t>
      </w:r>
      <w:r w:rsidRPr="000E5EFC">
        <w:t>.</w:t>
      </w:r>
      <w:r>
        <w:t>1</w:t>
      </w:r>
      <w:r w:rsidRPr="000E5EFC">
        <w:t>.3 Imputación previa</w:t>
      </w:r>
      <w:bookmarkEnd w:id="74"/>
      <w:r>
        <w:t xml:space="preserve"> (Artículo 102 numeral 3º TOCAF)</w:t>
      </w:r>
    </w:p>
    <w:p w:rsidR="008B56F6" w:rsidRPr="000E5EFC" w:rsidRDefault="008B56F6" w:rsidP="00264CAF">
      <w:pPr>
        <w:pStyle w:val="Textoindependiente"/>
        <w:spacing w:line="360" w:lineRule="auto"/>
        <w:rPr>
          <w:kern w:val="0"/>
        </w:rPr>
      </w:pPr>
      <w:r>
        <w:rPr>
          <w:kern w:val="0"/>
        </w:rPr>
        <w:t>L</w:t>
      </w:r>
      <w:r w:rsidRPr="000E5EFC">
        <w:rPr>
          <w:kern w:val="0"/>
        </w:rPr>
        <w:t>a Junta deberá realizar la imputación previa al objeto correspondiente, de los gas</w:t>
      </w:r>
      <w:r>
        <w:rPr>
          <w:kern w:val="0"/>
        </w:rPr>
        <w:t>tos autorizados en el Ejercicio, a efectos de verificar el cumplimiento de lo dispuesto en el Artículo 15 del TOCAF.</w:t>
      </w:r>
    </w:p>
    <w:p w:rsidR="008B56F6" w:rsidRPr="0094674C" w:rsidRDefault="008B56F6" w:rsidP="00264CAF">
      <w:pPr>
        <w:pStyle w:val="Ttulo2"/>
        <w:spacing w:after="0"/>
      </w:pPr>
      <w:bookmarkStart w:id="76" w:name="_Toc428364106"/>
      <w:r>
        <w:t>4</w:t>
      </w:r>
      <w:r w:rsidRPr="0094674C">
        <w:t>.</w:t>
      </w:r>
      <w:r>
        <w:t>1</w:t>
      </w:r>
      <w:r w:rsidRPr="0094674C">
        <w:t>.4 Resolución del Tribunal de Cuentas de 28/01/04</w:t>
      </w:r>
      <w:bookmarkEnd w:id="76"/>
    </w:p>
    <w:p w:rsidR="008B56F6" w:rsidRPr="0094674C" w:rsidRDefault="008B56F6" w:rsidP="00264CAF">
      <w:pPr>
        <w:pStyle w:val="Textoindependiente"/>
        <w:spacing w:after="0" w:line="360" w:lineRule="auto"/>
        <w:rPr>
          <w:lang w:val="es-ES"/>
        </w:rPr>
      </w:pPr>
      <w:r w:rsidRPr="0094674C">
        <w:rPr>
          <w:kern w:val="0"/>
        </w:rPr>
        <w:t xml:space="preserve">La Junta Departamental deberá ajustar la forma de presentación del Estado </w:t>
      </w:r>
      <w:r>
        <w:t>Nº</w:t>
      </w:r>
      <w:r w:rsidRPr="0094674C">
        <w:t>8 (Evolución de obligaciones presupuestales impagas y detalle de obligaciones presupuestales impagas) a lo establecido por esta Resolución.</w:t>
      </w:r>
    </w:p>
    <w:p w:rsidR="008B56F6" w:rsidRPr="0094674C" w:rsidRDefault="008B56F6" w:rsidP="00264CAF">
      <w:pPr>
        <w:pStyle w:val="Textoindependiente"/>
        <w:spacing w:after="0" w:line="360" w:lineRule="auto"/>
      </w:pPr>
      <w:r w:rsidRPr="0094674C">
        <w:t xml:space="preserve">Asimismo, deberá presentar como información complementaria en el documento </w:t>
      </w:r>
      <w:r w:rsidRPr="0094674C">
        <w:rPr>
          <w:rFonts w:cs="Arial"/>
        </w:rPr>
        <w:t xml:space="preserve">las certificaciones bancarias con sus respectivas conciliaciones y </w:t>
      </w:r>
      <w:r>
        <w:rPr>
          <w:rFonts w:cs="Arial"/>
        </w:rPr>
        <w:t xml:space="preserve">el </w:t>
      </w:r>
      <w:r w:rsidRPr="0094674C">
        <w:rPr>
          <w:rFonts w:cs="Arial"/>
        </w:rPr>
        <w:t xml:space="preserve">Acta de </w:t>
      </w:r>
      <w:r>
        <w:rPr>
          <w:rFonts w:cs="Arial"/>
        </w:rPr>
        <w:t>Arqueo realizada al cierre del E</w:t>
      </w:r>
      <w:r w:rsidRPr="0094674C">
        <w:rPr>
          <w:rFonts w:cs="Arial"/>
        </w:rPr>
        <w:t>jercicio.</w:t>
      </w:r>
    </w:p>
    <w:p w:rsidR="008B56F6" w:rsidRPr="00D37502" w:rsidRDefault="008B56F6" w:rsidP="00264CAF">
      <w:pPr>
        <w:pStyle w:val="Textoindependiente"/>
        <w:spacing w:after="0" w:line="360" w:lineRule="auto"/>
        <w:rPr>
          <w:color w:val="FF0000"/>
        </w:rPr>
      </w:pPr>
    </w:p>
    <w:p w:rsidR="008B56F6" w:rsidRPr="000E5EFC" w:rsidRDefault="008B56F6" w:rsidP="000E78C7">
      <w:pPr>
        <w:pStyle w:val="Ttulo2"/>
        <w:spacing w:after="0"/>
      </w:pPr>
      <w:bookmarkStart w:id="77" w:name="_Toc428364107"/>
      <w:r>
        <w:t>4</w:t>
      </w:r>
      <w:r w:rsidRPr="000E5EFC">
        <w:t>.</w:t>
      </w:r>
      <w:r>
        <w:t>1</w:t>
      </w:r>
      <w:r w:rsidRPr="000E5EFC">
        <w:t xml:space="preserve">.5 </w:t>
      </w:r>
      <w:proofErr w:type="spellStart"/>
      <w:r w:rsidRPr="000E5EFC">
        <w:t>Circularización</w:t>
      </w:r>
      <w:proofErr w:type="spellEnd"/>
      <w:r w:rsidRPr="000E5EFC">
        <w:t xml:space="preserve"> a proveedores</w:t>
      </w:r>
      <w:bookmarkEnd w:id="77"/>
    </w:p>
    <w:p w:rsidR="008B56F6" w:rsidRDefault="008B56F6" w:rsidP="000E78C7">
      <w:pPr>
        <w:pStyle w:val="Textoindependiente"/>
        <w:spacing w:after="0" w:line="360" w:lineRule="auto"/>
        <w:rPr>
          <w:kern w:val="0"/>
        </w:rPr>
      </w:pPr>
      <w:r w:rsidRPr="000E5EFC">
        <w:rPr>
          <w:kern w:val="0"/>
        </w:rPr>
        <w:t xml:space="preserve">El Legislativo Departamental deberá implementar como práctica habitual la  </w:t>
      </w:r>
      <w:proofErr w:type="spellStart"/>
      <w:r w:rsidRPr="000E5EFC">
        <w:rPr>
          <w:kern w:val="0"/>
        </w:rPr>
        <w:t>circularización</w:t>
      </w:r>
      <w:proofErr w:type="spellEnd"/>
      <w:r w:rsidRPr="000E5EFC">
        <w:rPr>
          <w:kern w:val="0"/>
        </w:rPr>
        <w:t xml:space="preserve"> a los proveedores para corregir los casos en los que existan errores o diferencias, incluidos los Organismos Públicos.</w:t>
      </w:r>
    </w:p>
    <w:p w:rsidR="00403967" w:rsidRDefault="00403967" w:rsidP="000E78C7">
      <w:pPr>
        <w:pStyle w:val="Textoindependiente"/>
        <w:spacing w:after="0" w:line="360" w:lineRule="auto"/>
        <w:rPr>
          <w:kern w:val="0"/>
        </w:rPr>
      </w:pPr>
    </w:p>
    <w:p w:rsidR="008B56F6" w:rsidRPr="000E5EFC" w:rsidRDefault="008B56F6" w:rsidP="00264CAF">
      <w:pPr>
        <w:pStyle w:val="Ttulo2"/>
        <w:spacing w:after="0"/>
      </w:pPr>
      <w:bookmarkStart w:id="78" w:name="_Toc428364108"/>
      <w:r>
        <w:t>4</w:t>
      </w:r>
      <w:r w:rsidRPr="000E5EFC">
        <w:t>.</w:t>
      </w:r>
      <w:r>
        <w:t>2</w:t>
      </w:r>
      <w:r w:rsidRPr="000E5EFC">
        <w:t xml:space="preserve"> Recomendac</w:t>
      </w:r>
      <w:r>
        <w:t>iones del E</w:t>
      </w:r>
      <w:r w:rsidRPr="000E5EFC">
        <w:t>jercicio</w:t>
      </w:r>
      <w:bookmarkEnd w:id="75"/>
      <w:bookmarkEnd w:id="78"/>
    </w:p>
    <w:bookmarkEnd w:id="62"/>
    <w:p w:rsidR="008B56F6" w:rsidRDefault="008B56F6" w:rsidP="00264CAF">
      <w:pPr>
        <w:spacing w:line="360" w:lineRule="auto"/>
        <w:jc w:val="both"/>
        <w:rPr>
          <w:rFonts w:cs="Arial"/>
        </w:rPr>
      </w:pPr>
      <w:r w:rsidRPr="000E5EFC">
        <w:t xml:space="preserve">Se reiteran las recomendaciones a que se hace referencia en </w:t>
      </w:r>
      <w:r>
        <w:t>4</w:t>
      </w:r>
      <w:r w:rsidRPr="000E5EFC">
        <w:t>.</w:t>
      </w:r>
      <w:r>
        <w:t>1.</w:t>
      </w:r>
    </w:p>
    <w:p w:rsidR="008B56F6" w:rsidRDefault="008B56F6" w:rsidP="00264CAF">
      <w:pPr>
        <w:jc w:val="right"/>
        <w:rPr>
          <w:rFonts w:cs="Arial"/>
          <w:kern w:val="18"/>
        </w:rPr>
      </w:pPr>
      <w:r w:rsidRPr="000E5EFC">
        <w:rPr>
          <w:rFonts w:cs="Arial"/>
          <w:kern w:val="18"/>
        </w:rPr>
        <w:t xml:space="preserve">Montevideo, </w:t>
      </w:r>
      <w:r>
        <w:rPr>
          <w:rFonts w:cs="Arial"/>
          <w:kern w:val="18"/>
        </w:rPr>
        <w:t>16</w:t>
      </w:r>
      <w:r w:rsidRPr="000E5EFC">
        <w:rPr>
          <w:rFonts w:cs="Arial"/>
          <w:kern w:val="18"/>
        </w:rPr>
        <w:t xml:space="preserve"> de </w:t>
      </w:r>
      <w:r>
        <w:rPr>
          <w:rFonts w:cs="Arial"/>
          <w:kern w:val="18"/>
        </w:rPr>
        <w:t>agosto</w:t>
      </w:r>
      <w:r w:rsidRPr="000E5EFC">
        <w:rPr>
          <w:rFonts w:cs="Arial"/>
          <w:kern w:val="18"/>
        </w:rPr>
        <w:t xml:space="preserve"> de 201</w:t>
      </w:r>
      <w:r>
        <w:rPr>
          <w:rFonts w:cs="Arial"/>
          <w:kern w:val="18"/>
        </w:rPr>
        <w:t>7</w:t>
      </w:r>
    </w:p>
    <w:p w:rsidR="008B56F6" w:rsidRDefault="008B56F6" w:rsidP="00264CAF">
      <w:pPr>
        <w:jc w:val="right"/>
        <w:rPr>
          <w:rFonts w:cs="Arial"/>
          <w:kern w:val="18"/>
        </w:rPr>
      </w:pPr>
    </w:p>
    <w:p w:rsidR="008B56F6" w:rsidRDefault="008B56F6" w:rsidP="00264CAF">
      <w:pPr>
        <w:jc w:val="right"/>
        <w:rPr>
          <w:rFonts w:cs="Arial"/>
          <w:kern w:val="18"/>
        </w:rPr>
      </w:pPr>
    </w:p>
    <w:p w:rsidR="008B56F6" w:rsidRDefault="008B56F6" w:rsidP="00264CAF">
      <w:pPr>
        <w:jc w:val="right"/>
        <w:rPr>
          <w:rFonts w:cs="Arial"/>
          <w:kern w:val="18"/>
        </w:rPr>
      </w:pPr>
    </w:p>
    <w:p w:rsidR="008B56F6" w:rsidRDefault="008B56F6" w:rsidP="00264CAF">
      <w:pPr>
        <w:jc w:val="right"/>
        <w:rPr>
          <w:rFonts w:cs="Arial"/>
          <w:kern w:val="18"/>
        </w:rPr>
      </w:pPr>
    </w:p>
    <w:p w:rsidR="008B56F6" w:rsidRPr="008B56F6" w:rsidRDefault="008B56F6" w:rsidP="008B56F6">
      <w:pPr>
        <w:ind w:hanging="284"/>
        <w:rPr>
          <w:color w:val="FF0000"/>
          <w:sz w:val="20"/>
          <w:szCs w:val="20"/>
        </w:rPr>
      </w:pPr>
      <w:proofErr w:type="gramStart"/>
      <w:r>
        <w:rPr>
          <w:rFonts w:cs="Arial"/>
          <w:kern w:val="18"/>
        </w:rPr>
        <w:t>dc</w:t>
      </w:r>
      <w:proofErr w:type="gramEnd"/>
    </w:p>
    <w:sectPr w:rsidR="008B56F6" w:rsidRPr="008B56F6" w:rsidSect="00A22C69">
      <w:pgSz w:w="12240" w:h="15840" w:code="1"/>
      <w:pgMar w:top="3289" w:right="1701" w:bottom="1701" w:left="1701" w:header="720" w:footer="720" w:gutter="0"/>
      <w:paperSrc w:first="4" w:other="4"/>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52ECBF56"/>
    <w:lvl w:ilvl="0">
      <w:numFmt w:val="bullet"/>
      <w:lvlText w:val="*"/>
      <w:lvlJc w:val="left"/>
    </w:lvl>
  </w:abstractNum>
  <w:abstractNum w:abstractNumId="1">
    <w:nsid w:val="37F44B5D"/>
    <w:multiLevelType w:val="hybridMultilevel"/>
    <w:tmpl w:val="E7EAB354"/>
    <w:lvl w:ilvl="0" w:tplc="3F10DD8A">
      <w:start w:val="1"/>
      <w:numFmt w:val="decimal"/>
      <w:lvlText w:val="%1)"/>
      <w:lvlJc w:val="left"/>
      <w:pPr>
        <w:ind w:left="360" w:hanging="360"/>
      </w:pPr>
      <w:rPr>
        <w:rFonts w:ascii="Arial" w:eastAsia="Times New Roman" w:hAnsi="Arial" w:cs="Arial"/>
        <w:b/>
      </w:rPr>
    </w:lvl>
    <w:lvl w:ilvl="1" w:tplc="380A0019">
      <w:start w:val="1"/>
      <w:numFmt w:val="lowerLetter"/>
      <w:lvlText w:val="%2."/>
      <w:lvlJc w:val="left"/>
      <w:pPr>
        <w:ind w:left="1080" w:hanging="360"/>
      </w:pPr>
      <w:rPr>
        <w:rFonts w:cs="Times New Roman"/>
      </w:rPr>
    </w:lvl>
    <w:lvl w:ilvl="2" w:tplc="380A001B">
      <w:start w:val="1"/>
      <w:numFmt w:val="lowerRoman"/>
      <w:lvlText w:val="%3."/>
      <w:lvlJc w:val="right"/>
      <w:pPr>
        <w:ind w:left="1800" w:hanging="180"/>
      </w:pPr>
      <w:rPr>
        <w:rFonts w:cs="Times New Roman"/>
      </w:rPr>
    </w:lvl>
    <w:lvl w:ilvl="3" w:tplc="380A000F">
      <w:start w:val="1"/>
      <w:numFmt w:val="decimal"/>
      <w:lvlText w:val="%4."/>
      <w:lvlJc w:val="left"/>
      <w:pPr>
        <w:ind w:left="2520" w:hanging="360"/>
      </w:pPr>
      <w:rPr>
        <w:rFonts w:cs="Times New Roman"/>
      </w:rPr>
    </w:lvl>
    <w:lvl w:ilvl="4" w:tplc="380A0019">
      <w:start w:val="1"/>
      <w:numFmt w:val="lowerLetter"/>
      <w:lvlText w:val="%5."/>
      <w:lvlJc w:val="left"/>
      <w:pPr>
        <w:ind w:left="3240" w:hanging="360"/>
      </w:pPr>
      <w:rPr>
        <w:rFonts w:cs="Times New Roman"/>
      </w:rPr>
    </w:lvl>
    <w:lvl w:ilvl="5" w:tplc="380A001B">
      <w:start w:val="1"/>
      <w:numFmt w:val="lowerRoman"/>
      <w:lvlText w:val="%6."/>
      <w:lvlJc w:val="right"/>
      <w:pPr>
        <w:ind w:left="3960" w:hanging="180"/>
      </w:pPr>
      <w:rPr>
        <w:rFonts w:cs="Times New Roman"/>
      </w:rPr>
    </w:lvl>
    <w:lvl w:ilvl="6" w:tplc="380A000F">
      <w:start w:val="1"/>
      <w:numFmt w:val="decimal"/>
      <w:lvlText w:val="%7."/>
      <w:lvlJc w:val="left"/>
      <w:pPr>
        <w:ind w:left="4680" w:hanging="360"/>
      </w:pPr>
      <w:rPr>
        <w:rFonts w:cs="Times New Roman"/>
      </w:rPr>
    </w:lvl>
    <w:lvl w:ilvl="7" w:tplc="380A0019">
      <w:start w:val="1"/>
      <w:numFmt w:val="lowerLetter"/>
      <w:lvlText w:val="%8."/>
      <w:lvlJc w:val="left"/>
      <w:pPr>
        <w:ind w:left="5400" w:hanging="360"/>
      </w:pPr>
      <w:rPr>
        <w:rFonts w:cs="Times New Roman"/>
      </w:rPr>
    </w:lvl>
    <w:lvl w:ilvl="8" w:tplc="380A001B">
      <w:start w:val="1"/>
      <w:numFmt w:val="lowerRoman"/>
      <w:lvlText w:val="%9."/>
      <w:lvlJc w:val="right"/>
      <w:pPr>
        <w:ind w:left="6120" w:hanging="180"/>
      </w:pPr>
      <w:rPr>
        <w:rFonts w:cs="Times New Roman"/>
      </w:rPr>
    </w:lvl>
  </w:abstractNum>
  <w:abstractNum w:abstractNumId="2">
    <w:nsid w:val="542A20CD"/>
    <w:multiLevelType w:val="hybridMultilevel"/>
    <w:tmpl w:val="5FE2CCEA"/>
    <w:lvl w:ilvl="0" w:tplc="CD1AFED8">
      <w:start w:val="1"/>
      <w:numFmt w:val="decimal"/>
      <w:lvlText w:val="(%1)"/>
      <w:lvlJc w:val="left"/>
      <w:pPr>
        <w:ind w:left="786" w:hanging="360"/>
      </w:pPr>
      <w:rPr>
        <w:rFonts w:hint="default"/>
        <w:vertAlign w:val="superscrip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3">
    <w:nsid w:val="5FC97FF8"/>
    <w:multiLevelType w:val="hybridMultilevel"/>
    <w:tmpl w:val="F9EC9334"/>
    <w:lvl w:ilvl="0" w:tplc="ADAAEDEC">
      <w:start w:val="1"/>
      <w:numFmt w:val="decimal"/>
      <w:lvlText w:val="%1)"/>
      <w:lvlJc w:val="left"/>
      <w:pPr>
        <w:ind w:left="720" w:hanging="360"/>
      </w:pPr>
      <w:rPr>
        <w:rFonts w:hint="default"/>
        <w:b/>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0"/>
    <w:lvlOverride w:ilvl="0">
      <w:lvl w:ilvl="0">
        <w:start w:val="1"/>
        <w:numFmt w:val="decimal"/>
        <w:lvlText w:val="%1)"/>
        <w:legacy w:legacy="1" w:legacySpace="0" w:legacyIndent="360"/>
        <w:lvlJc w:val="left"/>
        <w:rPr>
          <w:rFonts w:ascii="Arial" w:eastAsia="Times New Roman" w:hAnsi="Arial" w:cs="Arial"/>
        </w:rPr>
      </w:lvl>
    </w:lvlOverride>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20"/>
  <w:displayHorizontalDrawingGridEvery w:val="2"/>
  <w:displayVerticalDrawingGridEvery w:val="2"/>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D61"/>
    <w:rsid w:val="00125F8D"/>
    <w:rsid w:val="00330727"/>
    <w:rsid w:val="00403967"/>
    <w:rsid w:val="008B56F6"/>
    <w:rsid w:val="009D365A"/>
    <w:rsid w:val="00A22C69"/>
    <w:rsid w:val="00B31D61"/>
    <w:rsid w:val="00F32D91"/>
    <w:rsid w:val="00F86359"/>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AR" w:eastAsia="es-A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1D61"/>
    <w:rPr>
      <w:rFonts w:ascii="Arial" w:hAnsi="Arial"/>
      <w:sz w:val="24"/>
      <w:szCs w:val="24"/>
      <w:lang w:val="es-ES" w:eastAsia="es-ES"/>
    </w:rPr>
  </w:style>
  <w:style w:type="paragraph" w:styleId="Ttulo2">
    <w:name w:val="heading 2"/>
    <w:basedOn w:val="Normal"/>
    <w:next w:val="Textoindependiente"/>
    <w:link w:val="Ttulo2Car"/>
    <w:qFormat/>
    <w:rsid w:val="008B56F6"/>
    <w:pPr>
      <w:spacing w:after="170" w:line="360" w:lineRule="auto"/>
      <w:outlineLvl w:val="1"/>
    </w:pPr>
    <w:rPr>
      <w:b/>
      <w:kern w:val="18"/>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31D61"/>
    <w:pPr>
      <w:ind w:left="720"/>
      <w:contextualSpacing/>
    </w:pPr>
  </w:style>
  <w:style w:type="paragraph" w:customStyle="1" w:styleId="Nombredireccin">
    <w:name w:val="Nombre dirección"/>
    <w:basedOn w:val="Normal"/>
    <w:next w:val="Normal"/>
    <w:rsid w:val="008B56F6"/>
    <w:pPr>
      <w:spacing w:before="220" w:line="240" w:lineRule="atLeast"/>
      <w:jc w:val="both"/>
    </w:pPr>
    <w:rPr>
      <w:kern w:val="18"/>
      <w:szCs w:val="20"/>
    </w:rPr>
  </w:style>
  <w:style w:type="paragraph" w:styleId="Subttulo">
    <w:name w:val="Subtitle"/>
    <w:basedOn w:val="Normal"/>
    <w:link w:val="SubttuloCar"/>
    <w:qFormat/>
    <w:rsid w:val="008B56F6"/>
    <w:pPr>
      <w:spacing w:line="360" w:lineRule="auto"/>
      <w:jc w:val="both"/>
    </w:pPr>
    <w:rPr>
      <w:rFonts w:ascii="Bookman Old Style" w:hAnsi="Bookman Old Style"/>
      <w:b/>
      <w:kern w:val="18"/>
      <w:szCs w:val="20"/>
    </w:rPr>
  </w:style>
  <w:style w:type="character" w:customStyle="1" w:styleId="SubttuloCar">
    <w:name w:val="Subtítulo Car"/>
    <w:basedOn w:val="Fuentedeprrafopredeter"/>
    <w:link w:val="Subttulo"/>
    <w:rsid w:val="008B56F6"/>
    <w:rPr>
      <w:rFonts w:ascii="Bookman Old Style" w:hAnsi="Bookman Old Style"/>
      <w:b/>
      <w:kern w:val="18"/>
      <w:sz w:val="24"/>
      <w:lang w:val="es-ES" w:eastAsia="es-ES"/>
    </w:rPr>
  </w:style>
  <w:style w:type="character" w:customStyle="1" w:styleId="Ttulo2Car">
    <w:name w:val="Título 2 Car"/>
    <w:basedOn w:val="Fuentedeprrafopredeter"/>
    <w:link w:val="Ttulo2"/>
    <w:rsid w:val="008B56F6"/>
    <w:rPr>
      <w:rFonts w:ascii="Arial" w:hAnsi="Arial"/>
      <w:b/>
      <w:kern w:val="18"/>
      <w:sz w:val="24"/>
      <w:lang w:val="es-ES" w:eastAsia="es-ES"/>
    </w:rPr>
  </w:style>
  <w:style w:type="paragraph" w:styleId="Textoindependiente">
    <w:name w:val="Body Text"/>
    <w:basedOn w:val="Normal"/>
    <w:link w:val="TextoindependienteCar"/>
    <w:semiHidden/>
    <w:rsid w:val="008B56F6"/>
    <w:pPr>
      <w:spacing w:after="240" w:line="240" w:lineRule="atLeast"/>
      <w:jc w:val="both"/>
    </w:pPr>
    <w:rPr>
      <w:kern w:val="18"/>
      <w:szCs w:val="20"/>
      <w:lang w:val="es-ES_tradnl"/>
    </w:rPr>
  </w:style>
  <w:style w:type="character" w:customStyle="1" w:styleId="TextoindependienteCar">
    <w:name w:val="Texto independiente Car"/>
    <w:basedOn w:val="Fuentedeprrafopredeter"/>
    <w:link w:val="Textoindependiente"/>
    <w:semiHidden/>
    <w:rsid w:val="008B56F6"/>
    <w:rPr>
      <w:rFonts w:ascii="Arial" w:hAnsi="Arial"/>
      <w:kern w:val="18"/>
      <w:sz w:val="24"/>
      <w:lang w:val="es-ES_tradnl" w:eastAsia="es-ES"/>
    </w:rPr>
  </w:style>
  <w:style w:type="paragraph" w:styleId="Textoindependiente2">
    <w:name w:val="Body Text 2"/>
    <w:basedOn w:val="Normal"/>
    <w:link w:val="Textoindependiente2Car"/>
    <w:semiHidden/>
    <w:rsid w:val="008B56F6"/>
    <w:pPr>
      <w:spacing w:line="360" w:lineRule="auto"/>
    </w:pPr>
    <w:rPr>
      <w:rFonts w:ascii="Bookman Old Style" w:hAnsi="Bookman Old Style"/>
      <w:kern w:val="18"/>
      <w:szCs w:val="20"/>
    </w:rPr>
  </w:style>
  <w:style w:type="character" w:customStyle="1" w:styleId="Textoindependiente2Car">
    <w:name w:val="Texto independiente 2 Car"/>
    <w:basedOn w:val="Fuentedeprrafopredeter"/>
    <w:link w:val="Textoindependiente2"/>
    <w:semiHidden/>
    <w:rsid w:val="008B56F6"/>
    <w:rPr>
      <w:rFonts w:ascii="Bookman Old Style" w:hAnsi="Bookman Old Style"/>
      <w:kern w:val="18"/>
      <w:sz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AR" w:eastAsia="es-A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1D61"/>
    <w:rPr>
      <w:rFonts w:ascii="Arial" w:hAnsi="Arial"/>
      <w:sz w:val="24"/>
      <w:szCs w:val="24"/>
      <w:lang w:val="es-ES" w:eastAsia="es-ES"/>
    </w:rPr>
  </w:style>
  <w:style w:type="paragraph" w:styleId="Ttulo2">
    <w:name w:val="heading 2"/>
    <w:basedOn w:val="Normal"/>
    <w:next w:val="Textoindependiente"/>
    <w:link w:val="Ttulo2Car"/>
    <w:qFormat/>
    <w:rsid w:val="008B56F6"/>
    <w:pPr>
      <w:spacing w:after="170" w:line="360" w:lineRule="auto"/>
      <w:outlineLvl w:val="1"/>
    </w:pPr>
    <w:rPr>
      <w:b/>
      <w:kern w:val="18"/>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31D61"/>
    <w:pPr>
      <w:ind w:left="720"/>
      <w:contextualSpacing/>
    </w:pPr>
  </w:style>
  <w:style w:type="paragraph" w:customStyle="1" w:styleId="Nombredireccin">
    <w:name w:val="Nombre dirección"/>
    <w:basedOn w:val="Normal"/>
    <w:next w:val="Normal"/>
    <w:rsid w:val="008B56F6"/>
    <w:pPr>
      <w:spacing w:before="220" w:line="240" w:lineRule="atLeast"/>
      <w:jc w:val="both"/>
    </w:pPr>
    <w:rPr>
      <w:kern w:val="18"/>
      <w:szCs w:val="20"/>
    </w:rPr>
  </w:style>
  <w:style w:type="paragraph" w:styleId="Subttulo">
    <w:name w:val="Subtitle"/>
    <w:basedOn w:val="Normal"/>
    <w:link w:val="SubttuloCar"/>
    <w:qFormat/>
    <w:rsid w:val="008B56F6"/>
    <w:pPr>
      <w:spacing w:line="360" w:lineRule="auto"/>
      <w:jc w:val="both"/>
    </w:pPr>
    <w:rPr>
      <w:rFonts w:ascii="Bookman Old Style" w:hAnsi="Bookman Old Style"/>
      <w:b/>
      <w:kern w:val="18"/>
      <w:szCs w:val="20"/>
    </w:rPr>
  </w:style>
  <w:style w:type="character" w:customStyle="1" w:styleId="SubttuloCar">
    <w:name w:val="Subtítulo Car"/>
    <w:basedOn w:val="Fuentedeprrafopredeter"/>
    <w:link w:val="Subttulo"/>
    <w:rsid w:val="008B56F6"/>
    <w:rPr>
      <w:rFonts w:ascii="Bookman Old Style" w:hAnsi="Bookman Old Style"/>
      <w:b/>
      <w:kern w:val="18"/>
      <w:sz w:val="24"/>
      <w:lang w:val="es-ES" w:eastAsia="es-ES"/>
    </w:rPr>
  </w:style>
  <w:style w:type="character" w:customStyle="1" w:styleId="Ttulo2Car">
    <w:name w:val="Título 2 Car"/>
    <w:basedOn w:val="Fuentedeprrafopredeter"/>
    <w:link w:val="Ttulo2"/>
    <w:rsid w:val="008B56F6"/>
    <w:rPr>
      <w:rFonts w:ascii="Arial" w:hAnsi="Arial"/>
      <w:b/>
      <w:kern w:val="18"/>
      <w:sz w:val="24"/>
      <w:lang w:val="es-ES" w:eastAsia="es-ES"/>
    </w:rPr>
  </w:style>
  <w:style w:type="paragraph" w:styleId="Textoindependiente">
    <w:name w:val="Body Text"/>
    <w:basedOn w:val="Normal"/>
    <w:link w:val="TextoindependienteCar"/>
    <w:semiHidden/>
    <w:rsid w:val="008B56F6"/>
    <w:pPr>
      <w:spacing w:after="240" w:line="240" w:lineRule="atLeast"/>
      <w:jc w:val="both"/>
    </w:pPr>
    <w:rPr>
      <w:kern w:val="18"/>
      <w:szCs w:val="20"/>
      <w:lang w:val="es-ES_tradnl"/>
    </w:rPr>
  </w:style>
  <w:style w:type="character" w:customStyle="1" w:styleId="TextoindependienteCar">
    <w:name w:val="Texto independiente Car"/>
    <w:basedOn w:val="Fuentedeprrafopredeter"/>
    <w:link w:val="Textoindependiente"/>
    <w:semiHidden/>
    <w:rsid w:val="008B56F6"/>
    <w:rPr>
      <w:rFonts w:ascii="Arial" w:hAnsi="Arial"/>
      <w:kern w:val="18"/>
      <w:sz w:val="24"/>
      <w:lang w:val="es-ES_tradnl" w:eastAsia="es-ES"/>
    </w:rPr>
  </w:style>
  <w:style w:type="paragraph" w:styleId="Textoindependiente2">
    <w:name w:val="Body Text 2"/>
    <w:basedOn w:val="Normal"/>
    <w:link w:val="Textoindependiente2Car"/>
    <w:semiHidden/>
    <w:rsid w:val="008B56F6"/>
    <w:pPr>
      <w:spacing w:line="360" w:lineRule="auto"/>
    </w:pPr>
    <w:rPr>
      <w:rFonts w:ascii="Bookman Old Style" w:hAnsi="Bookman Old Style"/>
      <w:kern w:val="18"/>
      <w:szCs w:val="20"/>
    </w:rPr>
  </w:style>
  <w:style w:type="character" w:customStyle="1" w:styleId="Textoindependiente2Car">
    <w:name w:val="Texto independiente 2 Car"/>
    <w:basedOn w:val="Fuentedeprrafopredeter"/>
    <w:link w:val="Textoindependiente2"/>
    <w:semiHidden/>
    <w:rsid w:val="008B56F6"/>
    <w:rPr>
      <w:rFonts w:ascii="Bookman Old Style" w:hAnsi="Bookman Old Style"/>
      <w:kern w:val="18"/>
      <w:sz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7</Pages>
  <Words>1418</Words>
  <Characters>8051</Characters>
  <Application>Microsoft Office Word</Application>
  <DocSecurity>0</DocSecurity>
  <Lines>67</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Tribunal1</dc:creator>
  <cp:lastModifiedBy>Tribunal1</cp:lastModifiedBy>
  <cp:revision>4</cp:revision>
  <cp:lastPrinted>2017-09-19T19:25:00Z</cp:lastPrinted>
  <dcterms:created xsi:type="dcterms:W3CDTF">2017-09-19T19:03:00Z</dcterms:created>
  <dcterms:modified xsi:type="dcterms:W3CDTF">2017-12-12T18:17:00Z</dcterms:modified>
</cp:coreProperties>
</file>