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59" w:rsidRPr="00786EEB" w:rsidRDefault="00A92559"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2905/17</w:t>
      </w:r>
    </w:p>
    <w:p w:rsidR="00A92559" w:rsidRDefault="00A92559" w:rsidP="00786EEB">
      <w:pPr>
        <w:tabs>
          <w:tab w:val="center" w:pos="4253"/>
        </w:tabs>
        <w:suppressAutoHyphens/>
        <w:jc w:val="right"/>
        <w:rPr>
          <w:rFonts w:cs="Arial"/>
          <w:b/>
          <w:lang w:val="es-ES_tradnl"/>
        </w:rPr>
      </w:pPr>
    </w:p>
    <w:p w:rsidR="00A92559" w:rsidRPr="00762B34" w:rsidRDefault="00A92559">
      <w:pPr>
        <w:tabs>
          <w:tab w:val="center" w:pos="4253"/>
        </w:tabs>
        <w:suppressAutoHyphens/>
        <w:jc w:val="center"/>
        <w:rPr>
          <w:rFonts w:cs="Arial"/>
          <w:b/>
          <w:lang w:val="es-ES_tradnl"/>
        </w:rPr>
      </w:pPr>
      <w:r w:rsidRPr="00762B34">
        <w:rPr>
          <w:rFonts w:cs="Arial"/>
          <w:b/>
          <w:lang w:val="es-ES_tradnl"/>
        </w:rPr>
        <w:t>RESOLUCION ADOPTADA POR EL</w:t>
      </w:r>
    </w:p>
    <w:p w:rsidR="00A92559" w:rsidRPr="00762B34" w:rsidRDefault="00A92559">
      <w:pPr>
        <w:tabs>
          <w:tab w:val="left" w:pos="-720"/>
        </w:tabs>
        <w:suppressAutoHyphens/>
        <w:jc w:val="center"/>
        <w:rPr>
          <w:rFonts w:cs="Arial"/>
          <w:b/>
          <w:lang w:val="es-ES_tradnl"/>
        </w:rPr>
      </w:pPr>
    </w:p>
    <w:p w:rsidR="00A92559" w:rsidRPr="00762B34" w:rsidRDefault="00A92559">
      <w:pPr>
        <w:tabs>
          <w:tab w:val="center" w:pos="4253"/>
        </w:tabs>
        <w:suppressAutoHyphens/>
        <w:jc w:val="center"/>
        <w:rPr>
          <w:rFonts w:cs="Arial"/>
          <w:b/>
          <w:lang w:val="es-ES_tradnl"/>
        </w:rPr>
      </w:pPr>
      <w:r w:rsidRPr="00762B34">
        <w:rPr>
          <w:rFonts w:cs="Arial"/>
          <w:b/>
          <w:lang w:val="es-ES_tradnl"/>
        </w:rPr>
        <w:t>TRIBUNAL DE CUENTAS</w:t>
      </w:r>
    </w:p>
    <w:p w:rsidR="00A92559" w:rsidRPr="00762B34" w:rsidRDefault="00A92559">
      <w:pPr>
        <w:tabs>
          <w:tab w:val="left" w:pos="-720"/>
        </w:tabs>
        <w:suppressAutoHyphens/>
        <w:jc w:val="center"/>
        <w:rPr>
          <w:rFonts w:cs="Arial"/>
          <w:b/>
          <w:lang w:val="es-ES_tradnl"/>
        </w:rPr>
      </w:pPr>
    </w:p>
    <w:p w:rsidR="00A92559" w:rsidRPr="00762B34" w:rsidRDefault="00A9255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6 DE SETIEMBRE </w:t>
      </w:r>
      <w:r>
        <w:rPr>
          <w:rFonts w:ascii="Helvetica" w:hAnsi="Helvetica"/>
          <w:b/>
          <w:lang w:val="es-ES_tradnl"/>
        </w:rPr>
        <w:t>DE 2017</w:t>
      </w:r>
    </w:p>
    <w:p w:rsidR="00A92559" w:rsidRPr="00762B34" w:rsidRDefault="00A92559">
      <w:pPr>
        <w:tabs>
          <w:tab w:val="center" w:pos="4253"/>
        </w:tabs>
        <w:suppressAutoHyphens/>
        <w:jc w:val="center"/>
        <w:rPr>
          <w:rFonts w:cs="Arial"/>
          <w:b/>
          <w:lang w:val="es-ES_tradnl"/>
        </w:rPr>
      </w:pPr>
    </w:p>
    <w:p w:rsidR="00A92559" w:rsidRPr="00A92559" w:rsidRDefault="00A92559">
      <w:pPr>
        <w:tabs>
          <w:tab w:val="center" w:pos="4253"/>
        </w:tabs>
        <w:suppressAutoHyphens/>
        <w:jc w:val="center"/>
        <w:rPr>
          <w:rFonts w:cs="Arial"/>
          <w:b/>
          <w:lang w:val="es-AR"/>
        </w:rPr>
      </w:pPr>
      <w:r w:rsidRPr="00A92559">
        <w:rPr>
          <w:rFonts w:cs="Arial"/>
          <w:b/>
          <w:lang w:val="es-AR"/>
        </w:rPr>
        <w:t xml:space="preserve">(E. E. Nº 2017-17-1-0004117, </w:t>
      </w:r>
      <w:proofErr w:type="spellStart"/>
      <w:r w:rsidRPr="00A92559">
        <w:rPr>
          <w:rFonts w:cs="Arial"/>
          <w:b/>
          <w:lang w:val="es-AR"/>
        </w:rPr>
        <w:t>Ents</w:t>
      </w:r>
      <w:proofErr w:type="spellEnd"/>
      <w:r w:rsidRPr="00A92559">
        <w:rPr>
          <w:rFonts w:cs="Arial"/>
          <w:b/>
          <w:lang w:val="es-AR"/>
        </w:rPr>
        <w:t xml:space="preserve">. </w:t>
      </w:r>
      <w:r>
        <w:rPr>
          <w:rFonts w:cs="Arial"/>
          <w:b/>
          <w:lang w:val="es-AR"/>
        </w:rPr>
        <w:t>3320/17 y 3811/17</w:t>
      </w:r>
      <w:r w:rsidRPr="00A92559">
        <w:rPr>
          <w:rFonts w:cs="Arial"/>
          <w:b/>
          <w:lang w:val="es-AR"/>
        </w:rPr>
        <w:t>)</w:t>
      </w:r>
    </w:p>
    <w:p w:rsidR="00A92559" w:rsidRPr="00A92559" w:rsidRDefault="00A92559">
      <w:pPr>
        <w:tabs>
          <w:tab w:val="center" w:pos="4253"/>
        </w:tabs>
        <w:suppressAutoHyphens/>
        <w:jc w:val="center"/>
        <w:rPr>
          <w:rFonts w:ascii="Helvetica" w:hAnsi="Helvetica"/>
          <w:b/>
          <w:lang w:val="es-AR"/>
        </w:rPr>
      </w:pPr>
    </w:p>
    <w:p w:rsidR="00A92559" w:rsidRDefault="00A92559" w:rsidP="00A92559">
      <w:pPr>
        <w:suppressAutoHyphens/>
        <w:autoSpaceDE w:val="0"/>
        <w:autoSpaceDN w:val="0"/>
        <w:adjustRightInd w:val="0"/>
        <w:spacing w:line="360" w:lineRule="auto"/>
        <w:ind w:firstLine="851"/>
        <w:jc w:val="both"/>
        <w:rPr>
          <w:rFonts w:cs="Arial"/>
          <w:lang w:val="es" w:eastAsia="es-AR"/>
        </w:rPr>
      </w:pPr>
      <w:r>
        <w:rPr>
          <w:rFonts w:cs="Arial"/>
          <w:b/>
          <w:bCs/>
          <w:lang w:val="es" w:eastAsia="es-AR"/>
        </w:rPr>
        <w:t>VISTO:</w:t>
      </w:r>
      <w:r>
        <w:rPr>
          <w:rFonts w:cs="Arial"/>
          <w:lang w:val="es" w:eastAsia="es-AR"/>
        </w:rPr>
        <w:t xml:space="preserve"> la Rendición de Cuentas y Balance de Ejecución Presupuestal de la Junta Departamental de Treinta y Tres correspondiente al Ejercicio 2015;</w:t>
      </w:r>
    </w:p>
    <w:p w:rsidR="00A92559" w:rsidRDefault="00A92559" w:rsidP="00A92559">
      <w:pPr>
        <w:suppressAutoHyphens/>
        <w:autoSpaceDE w:val="0"/>
        <w:autoSpaceDN w:val="0"/>
        <w:adjustRightInd w:val="0"/>
        <w:spacing w:line="360" w:lineRule="auto"/>
        <w:ind w:firstLine="851"/>
        <w:jc w:val="both"/>
        <w:rPr>
          <w:rFonts w:cs="Arial"/>
          <w:b/>
          <w:bCs/>
          <w:lang w:val="es" w:eastAsia="es-AR"/>
        </w:rPr>
      </w:pPr>
      <w:r>
        <w:rPr>
          <w:rFonts w:cs="Arial"/>
          <w:b/>
          <w:bCs/>
          <w:lang w:val="es" w:eastAsia="es-AR"/>
        </w:rPr>
        <w:t xml:space="preserve">RESULTANDO: </w:t>
      </w:r>
      <w:r>
        <w:rPr>
          <w:rFonts w:cs="Arial"/>
          <w:lang w:val="es" w:eastAsia="es-AR"/>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w:t>
      </w:r>
      <w:r>
        <w:rPr>
          <w:rFonts w:cs="Arial"/>
          <w:lang w:val="es" w:eastAsia="es-AR"/>
        </w:rPr>
        <w:softHyphen/>
        <w:t>dos necesarios en las circunstancias;</w:t>
      </w:r>
    </w:p>
    <w:p w:rsidR="00A92559" w:rsidRDefault="00A92559" w:rsidP="00A92559">
      <w:pPr>
        <w:suppressAutoHyphens/>
        <w:autoSpaceDE w:val="0"/>
        <w:autoSpaceDN w:val="0"/>
        <w:adjustRightInd w:val="0"/>
        <w:spacing w:line="360" w:lineRule="auto"/>
        <w:ind w:firstLine="851"/>
        <w:jc w:val="both"/>
        <w:rPr>
          <w:rFonts w:cs="Arial"/>
          <w:lang w:val="es" w:eastAsia="es-AR"/>
        </w:rPr>
      </w:pPr>
      <w:r>
        <w:rPr>
          <w:rFonts w:cs="Arial"/>
          <w:b/>
          <w:bCs/>
          <w:lang w:val="es" w:eastAsia="es-AR"/>
        </w:rPr>
        <w:t xml:space="preserve">CONSIDERANDO: </w:t>
      </w:r>
      <w:r>
        <w:rPr>
          <w:rFonts w:cs="Arial"/>
          <w:lang w:val="es" w:eastAsia="es-AR"/>
        </w:rPr>
        <w:t>que las conclusiones y evidencias obtenidas son las que se expresan en el Informe de Auditoría, que incluye Dictamen e Informe a la Administración;</w:t>
      </w:r>
    </w:p>
    <w:p w:rsidR="00A92559" w:rsidRDefault="00A92559" w:rsidP="00A92559">
      <w:pPr>
        <w:suppressAutoHyphens/>
        <w:autoSpaceDE w:val="0"/>
        <w:autoSpaceDN w:val="0"/>
        <w:adjustRightInd w:val="0"/>
        <w:spacing w:line="360" w:lineRule="auto"/>
        <w:ind w:firstLine="851"/>
        <w:jc w:val="both"/>
        <w:rPr>
          <w:rFonts w:cs="Arial"/>
          <w:b/>
          <w:bCs/>
          <w:lang w:val="es" w:eastAsia="es-AR"/>
        </w:rPr>
      </w:pPr>
      <w:r>
        <w:rPr>
          <w:rFonts w:cs="Arial"/>
          <w:b/>
          <w:bCs/>
          <w:lang w:val="es" w:eastAsia="es-AR"/>
        </w:rPr>
        <w:t xml:space="preserve">ATENTO: </w:t>
      </w:r>
      <w:r>
        <w:rPr>
          <w:rFonts w:cs="Arial"/>
          <w:lang w:val="es" w:eastAsia="es-AR"/>
        </w:rPr>
        <w:t>a lo dispuesto por el Artículo 211 Literal C) de la Constitución de la República;</w:t>
      </w:r>
    </w:p>
    <w:p w:rsidR="00A92559" w:rsidRDefault="00A92559" w:rsidP="00A92559">
      <w:pPr>
        <w:suppressAutoHyphens/>
        <w:autoSpaceDE w:val="0"/>
        <w:autoSpaceDN w:val="0"/>
        <w:adjustRightInd w:val="0"/>
        <w:spacing w:line="360" w:lineRule="auto"/>
        <w:jc w:val="center"/>
        <w:rPr>
          <w:rFonts w:cs="Arial"/>
          <w:lang w:val="es" w:eastAsia="es-AR"/>
        </w:rPr>
      </w:pPr>
      <w:r>
        <w:rPr>
          <w:rFonts w:cs="Arial"/>
          <w:b/>
          <w:bCs/>
          <w:lang w:val="es" w:eastAsia="es-AR"/>
        </w:rPr>
        <w:t>EL TRIBUNAL ACUERDA</w:t>
      </w:r>
    </w:p>
    <w:p w:rsidR="00A92559" w:rsidRDefault="00A92559" w:rsidP="00A92559">
      <w:pPr>
        <w:numPr>
          <w:ilvl w:val="0"/>
          <w:numId w:val="1"/>
        </w:numPr>
        <w:tabs>
          <w:tab w:val="left" w:pos="360"/>
        </w:tabs>
        <w:suppressAutoHyphens/>
        <w:autoSpaceDE w:val="0"/>
        <w:autoSpaceDN w:val="0"/>
        <w:adjustRightInd w:val="0"/>
        <w:spacing w:line="360" w:lineRule="auto"/>
        <w:ind w:left="360" w:hanging="360"/>
        <w:jc w:val="both"/>
        <w:rPr>
          <w:rFonts w:cs="Arial"/>
          <w:lang w:val="es" w:eastAsia="es-AR"/>
        </w:rPr>
      </w:pPr>
      <w:r>
        <w:rPr>
          <w:rFonts w:cs="Arial"/>
          <w:lang w:val="es" w:eastAsia="es-AR"/>
        </w:rPr>
        <w:t>Expedirse respecto a la Rendición de Cuentas y Balance de Ejecución Presupuestal de la Junta Departamental de Treinta y Tres correspondiente al Ejercicio 2015, en los términos del Informe de Auditoría que se adjunta;</w:t>
      </w:r>
    </w:p>
    <w:p w:rsidR="00A92559" w:rsidRDefault="00A92559" w:rsidP="00A92559">
      <w:pPr>
        <w:numPr>
          <w:ilvl w:val="0"/>
          <w:numId w:val="1"/>
        </w:numPr>
        <w:tabs>
          <w:tab w:val="left" w:pos="360"/>
        </w:tabs>
        <w:autoSpaceDE w:val="0"/>
        <w:autoSpaceDN w:val="0"/>
        <w:adjustRightInd w:val="0"/>
        <w:spacing w:line="360" w:lineRule="auto"/>
        <w:ind w:left="360" w:hanging="360"/>
        <w:jc w:val="both"/>
        <w:rPr>
          <w:rFonts w:cs="Arial"/>
          <w:lang w:val="es" w:eastAsia="es-AR"/>
        </w:rPr>
      </w:pPr>
      <w:r>
        <w:rPr>
          <w:rFonts w:cs="Arial"/>
          <w:lang w:val="es" w:eastAsia="es-AR"/>
        </w:rPr>
        <w:t>Comunicar la presente Resolución a la Intendencia de Treinta y Tres y al Contador Delegado en la Junta Departamental;</w:t>
      </w:r>
    </w:p>
    <w:p w:rsidR="00A92559" w:rsidRDefault="00A92559" w:rsidP="00A92559">
      <w:pPr>
        <w:tabs>
          <w:tab w:val="left" w:pos="360"/>
        </w:tabs>
        <w:autoSpaceDE w:val="0"/>
        <w:autoSpaceDN w:val="0"/>
        <w:adjustRightInd w:val="0"/>
        <w:spacing w:line="360" w:lineRule="auto"/>
        <w:jc w:val="both"/>
        <w:rPr>
          <w:rFonts w:cs="Arial"/>
          <w:lang w:val="es" w:eastAsia="es-AR"/>
        </w:rPr>
      </w:pPr>
    </w:p>
    <w:p w:rsidR="00A92559" w:rsidRDefault="00A92559" w:rsidP="00A92559">
      <w:pPr>
        <w:numPr>
          <w:ilvl w:val="0"/>
          <w:numId w:val="1"/>
        </w:numPr>
        <w:tabs>
          <w:tab w:val="left" w:pos="360"/>
        </w:tabs>
        <w:autoSpaceDE w:val="0"/>
        <w:autoSpaceDN w:val="0"/>
        <w:adjustRightInd w:val="0"/>
        <w:spacing w:line="360" w:lineRule="auto"/>
        <w:ind w:left="360" w:hanging="360"/>
        <w:jc w:val="both"/>
        <w:rPr>
          <w:rFonts w:cs="Arial"/>
          <w:lang w:val="es" w:eastAsia="es-AR"/>
        </w:rPr>
      </w:pPr>
      <w:r>
        <w:rPr>
          <w:rFonts w:cs="Arial"/>
          <w:lang w:val="es" w:eastAsia="es-AR"/>
        </w:rPr>
        <w:lastRenderedPageBreak/>
        <w:t>Dar cuenta a la Asamblea General;</w:t>
      </w:r>
    </w:p>
    <w:p w:rsidR="00F86359" w:rsidRPr="00A92559" w:rsidRDefault="00A92559" w:rsidP="007077A1">
      <w:pPr>
        <w:numPr>
          <w:ilvl w:val="0"/>
          <w:numId w:val="1"/>
        </w:numPr>
        <w:tabs>
          <w:tab w:val="left" w:pos="360"/>
        </w:tabs>
        <w:autoSpaceDE w:val="0"/>
        <w:autoSpaceDN w:val="0"/>
        <w:adjustRightInd w:val="0"/>
        <w:spacing w:line="360" w:lineRule="auto"/>
        <w:ind w:left="360" w:hanging="360"/>
        <w:jc w:val="both"/>
        <w:rPr>
          <w:lang w:val="es"/>
        </w:rPr>
      </w:pPr>
      <w:r w:rsidRPr="00A92559">
        <w:rPr>
          <w:rFonts w:cs="Arial"/>
          <w:lang w:val="es" w:eastAsia="es-AR"/>
        </w:rPr>
        <w:t>Devolver estas actuaciones a la Junta Departamental de Treinta y Tres.</w:t>
      </w:r>
    </w:p>
    <w:p w:rsidR="00A92559" w:rsidRDefault="00A92559" w:rsidP="00A92559">
      <w:pPr>
        <w:tabs>
          <w:tab w:val="left" w:pos="360"/>
        </w:tabs>
        <w:autoSpaceDE w:val="0"/>
        <w:autoSpaceDN w:val="0"/>
        <w:adjustRightInd w:val="0"/>
        <w:spacing w:line="360" w:lineRule="auto"/>
        <w:jc w:val="both"/>
        <w:rPr>
          <w:rFonts w:cs="Arial"/>
          <w:lang w:val="es" w:eastAsia="es-AR"/>
        </w:rPr>
      </w:pPr>
    </w:p>
    <w:p w:rsidR="00A92559" w:rsidRDefault="00A92559" w:rsidP="00A92559">
      <w:pPr>
        <w:tabs>
          <w:tab w:val="left" w:pos="360"/>
        </w:tabs>
        <w:autoSpaceDE w:val="0"/>
        <w:autoSpaceDN w:val="0"/>
        <w:adjustRightInd w:val="0"/>
        <w:spacing w:line="360" w:lineRule="auto"/>
        <w:ind w:hanging="284"/>
        <w:jc w:val="both"/>
        <w:rPr>
          <w:rFonts w:cs="Arial"/>
          <w:lang w:val="es" w:eastAsia="es-AR"/>
        </w:rPr>
      </w:pPr>
      <w:proofErr w:type="gramStart"/>
      <w:r>
        <w:rPr>
          <w:rFonts w:cs="Arial"/>
          <w:lang w:val="es" w:eastAsia="es-AR"/>
        </w:rPr>
        <w:t>dc</w:t>
      </w:r>
      <w:proofErr w:type="gramEnd"/>
    </w:p>
    <w:p w:rsidR="009D2F5B" w:rsidRDefault="009D2F5B" w:rsidP="00A92559">
      <w:pPr>
        <w:tabs>
          <w:tab w:val="left" w:pos="360"/>
        </w:tabs>
        <w:autoSpaceDE w:val="0"/>
        <w:autoSpaceDN w:val="0"/>
        <w:adjustRightInd w:val="0"/>
        <w:spacing w:line="360" w:lineRule="auto"/>
        <w:ind w:hanging="284"/>
        <w:jc w:val="both"/>
        <w:rPr>
          <w:lang w:val="es"/>
        </w:rPr>
      </w:pPr>
    </w:p>
    <w:p w:rsidR="009D2F5B" w:rsidRDefault="009D2F5B" w:rsidP="00A92559">
      <w:pPr>
        <w:tabs>
          <w:tab w:val="left" w:pos="360"/>
        </w:tabs>
        <w:autoSpaceDE w:val="0"/>
        <w:autoSpaceDN w:val="0"/>
        <w:adjustRightInd w:val="0"/>
        <w:spacing w:line="360" w:lineRule="auto"/>
        <w:ind w:hanging="284"/>
        <w:jc w:val="both"/>
        <w:rPr>
          <w:lang w:val="es"/>
        </w:rPr>
      </w:pPr>
    </w:p>
    <w:p w:rsidR="009D2F5B" w:rsidRDefault="009D2F5B" w:rsidP="00830337">
      <w:pPr>
        <w:widowControl w:val="0"/>
        <w:suppressAutoHyphens/>
        <w:spacing w:line="360" w:lineRule="auto"/>
        <w:jc w:val="center"/>
        <w:outlineLvl w:val="0"/>
        <w:rPr>
          <w:b/>
        </w:rPr>
      </w:pPr>
      <w:bookmarkStart w:id="1" w:name="_Toc303700806"/>
      <w:bookmarkStart w:id="2" w:name="_Toc331077628"/>
      <w:bookmarkStart w:id="3" w:name="_Toc411241468"/>
      <w:bookmarkStart w:id="4" w:name="_Toc49942673"/>
      <w:bookmarkStart w:id="5" w:name="_Toc278970132"/>
      <w:bookmarkStart w:id="6" w:name="_Toc331077630"/>
      <w:r w:rsidRPr="00830337">
        <w:rPr>
          <w:b/>
        </w:rPr>
        <w:t>DICTAMEN</w:t>
      </w:r>
      <w:bookmarkEnd w:id="1"/>
      <w:bookmarkEnd w:id="2"/>
      <w:bookmarkEnd w:id="3"/>
    </w:p>
    <w:p w:rsidR="00A26147" w:rsidRPr="00830337" w:rsidRDefault="00A26147" w:rsidP="00830337">
      <w:pPr>
        <w:widowControl w:val="0"/>
        <w:suppressAutoHyphens/>
        <w:spacing w:line="360" w:lineRule="auto"/>
        <w:jc w:val="center"/>
        <w:outlineLvl w:val="0"/>
        <w:rPr>
          <w:b/>
        </w:rPr>
      </w:pPr>
    </w:p>
    <w:p w:rsidR="009D2F5B" w:rsidRPr="00830337" w:rsidRDefault="009D2F5B" w:rsidP="00830337">
      <w:pPr>
        <w:widowControl w:val="0"/>
        <w:suppressAutoHyphens/>
        <w:spacing w:line="360" w:lineRule="auto"/>
        <w:jc w:val="both"/>
        <w:rPr>
          <w:rFonts w:cs="Arial"/>
          <w:kern w:val="1"/>
          <w:szCs w:val="20"/>
          <w:lang w:eastAsia="zh-CN"/>
        </w:rPr>
      </w:pPr>
      <w:r w:rsidRPr="00830337">
        <w:rPr>
          <w:rFonts w:cs="Arial"/>
          <w:kern w:val="1"/>
          <w:szCs w:val="20"/>
          <w:lang w:eastAsia="zh-CN"/>
        </w:rPr>
        <w:t xml:space="preserve">El Tribunal de Cuentas ha examinado la Rendición de Cuentas y el Balance de Ejecución Presupuestal de la Junta Departamental de </w:t>
      </w:r>
      <w:r w:rsidRPr="00830337">
        <w:rPr>
          <w:rFonts w:cs="Arial"/>
          <w:lang w:eastAsia="zh-CN"/>
        </w:rPr>
        <w:t>Treinta y Tres</w:t>
      </w:r>
      <w:r w:rsidRPr="00830337">
        <w:rPr>
          <w:rFonts w:cs="Arial"/>
          <w:kern w:val="1"/>
          <w:szCs w:val="20"/>
          <w:lang w:eastAsia="zh-CN"/>
        </w:rPr>
        <w:t>, que comprende los siguientes estados: de ejecución presupuestal con relación a los créditos, de evolución de las obligaciones presupuestales impagas, de fondos indisponibles y otros estados complementarios, correspondientes al Ejercicio finalizado el 31/12/2015.</w:t>
      </w:r>
    </w:p>
    <w:p w:rsidR="009D2F5B" w:rsidRPr="00830337" w:rsidRDefault="009D2F5B" w:rsidP="00830337">
      <w:pPr>
        <w:widowControl w:val="0"/>
        <w:suppressAutoHyphens/>
        <w:spacing w:line="360" w:lineRule="auto"/>
        <w:jc w:val="both"/>
        <w:rPr>
          <w:rFonts w:cs="Arial"/>
          <w:kern w:val="1"/>
          <w:szCs w:val="20"/>
          <w:lang w:eastAsia="zh-CN"/>
        </w:rPr>
      </w:pPr>
      <w:r w:rsidRPr="00830337">
        <w:rPr>
          <w:rFonts w:cs="Arial"/>
          <w:kern w:val="1"/>
          <w:szCs w:val="20"/>
          <w:lang w:eastAsia="zh-CN"/>
        </w:rPr>
        <w:t>También se presentan, en caso de corresponder, los incumplimientos legales constatados por el Tribunal de Cuentas en el curso de la auditoría efectuada.</w:t>
      </w:r>
    </w:p>
    <w:p w:rsidR="009D2F5B" w:rsidRPr="00830337" w:rsidRDefault="009D2F5B" w:rsidP="00830337">
      <w:pPr>
        <w:widowControl w:val="0"/>
        <w:suppressAutoHyphens/>
        <w:spacing w:line="360" w:lineRule="auto"/>
        <w:jc w:val="both"/>
        <w:rPr>
          <w:rFonts w:cs="Arial"/>
          <w:kern w:val="1"/>
          <w:szCs w:val="20"/>
          <w:lang w:eastAsia="zh-CN"/>
        </w:rPr>
      </w:pPr>
    </w:p>
    <w:p w:rsidR="009D2F5B" w:rsidRPr="00830337" w:rsidRDefault="009D2F5B" w:rsidP="00830337">
      <w:pPr>
        <w:widowControl w:val="0"/>
        <w:suppressAutoHyphens/>
        <w:spacing w:line="360" w:lineRule="auto"/>
        <w:jc w:val="both"/>
        <w:rPr>
          <w:rFonts w:cs="Arial"/>
          <w:b/>
          <w:bCs/>
          <w:kern w:val="18"/>
        </w:rPr>
      </w:pPr>
      <w:r w:rsidRPr="00830337">
        <w:rPr>
          <w:rFonts w:cs="Arial"/>
          <w:b/>
          <w:bCs/>
          <w:kern w:val="18"/>
        </w:rPr>
        <w:t>Responsabilidad de la Dirección de la Junta Departamental por los estados de ejecución presupuestal</w:t>
      </w:r>
    </w:p>
    <w:p w:rsidR="009D2F5B" w:rsidRPr="00830337" w:rsidRDefault="009D2F5B" w:rsidP="00830337">
      <w:pPr>
        <w:widowControl w:val="0"/>
        <w:suppressAutoHyphens/>
        <w:spacing w:line="360" w:lineRule="auto"/>
        <w:jc w:val="both"/>
        <w:rPr>
          <w:kern w:val="18"/>
        </w:rPr>
      </w:pPr>
      <w:r w:rsidRPr="00830337">
        <w:rPr>
          <w:kern w:val="18"/>
        </w:rPr>
        <w:t>La Dirección de la Junta Departamental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9D2F5B" w:rsidRPr="00830337" w:rsidRDefault="009D2F5B" w:rsidP="00830337">
      <w:pPr>
        <w:widowControl w:val="0"/>
        <w:suppressAutoHyphens/>
        <w:spacing w:line="360" w:lineRule="auto"/>
        <w:jc w:val="both"/>
        <w:rPr>
          <w:rFonts w:cs="Arial"/>
          <w:b/>
          <w:bCs/>
          <w:kern w:val="18"/>
        </w:rPr>
      </w:pPr>
      <w:r w:rsidRPr="00830337">
        <w:rPr>
          <w:rFonts w:cs="Arial"/>
          <w:b/>
          <w:bCs/>
          <w:kern w:val="18"/>
        </w:rPr>
        <w:lastRenderedPageBreak/>
        <w:t>Responsabilidad del Auditor</w:t>
      </w:r>
    </w:p>
    <w:p w:rsidR="009D2F5B" w:rsidRPr="00830337" w:rsidRDefault="009D2F5B" w:rsidP="00830337">
      <w:pPr>
        <w:widowControl w:val="0"/>
        <w:suppressAutoHyphens/>
        <w:spacing w:line="360" w:lineRule="auto"/>
        <w:jc w:val="both"/>
        <w:rPr>
          <w:rFonts w:cs="Arial"/>
          <w:kern w:val="18"/>
          <w:szCs w:val="20"/>
          <w:lang w:eastAsia="zh-CN"/>
        </w:rPr>
      </w:pPr>
      <w:r w:rsidRPr="00830337">
        <w:rPr>
          <w:rFonts w:cs="Arial"/>
          <w:kern w:val="18"/>
          <w:szCs w:val="20"/>
          <w:lang w:eastAsia="zh-CN"/>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 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r>
        <w:rPr>
          <w:rFonts w:cs="Arial"/>
          <w:kern w:val="18"/>
          <w:szCs w:val="20"/>
          <w:lang w:eastAsia="zh-CN"/>
        </w:rPr>
        <w:t xml:space="preserve"> </w:t>
      </w:r>
      <w:r w:rsidRPr="00830337">
        <w:rPr>
          <w:rFonts w:cs="Arial"/>
          <w:kern w:val="18"/>
          <w:szCs w:val="20"/>
          <w:lang w:eastAsia="zh-CN"/>
        </w:rPr>
        <w:t>Una auditoría también implica evaluar lo apropiado de las políticas contables utilizadas</w:t>
      </w:r>
      <w:r>
        <w:rPr>
          <w:rFonts w:cs="Arial"/>
          <w:kern w:val="18"/>
          <w:szCs w:val="20"/>
          <w:lang w:eastAsia="zh-CN"/>
        </w:rPr>
        <w:t xml:space="preserve"> por la Dirección</w:t>
      </w:r>
      <w:r w:rsidRPr="00830337">
        <w:rPr>
          <w:rFonts w:cs="Arial"/>
          <w:kern w:val="18"/>
          <w:szCs w:val="20"/>
          <w:lang w:eastAsia="zh-CN"/>
        </w:rPr>
        <w:t>,</w:t>
      </w:r>
      <w:r>
        <w:rPr>
          <w:rFonts w:cs="Arial"/>
          <w:kern w:val="18"/>
          <w:szCs w:val="20"/>
          <w:lang w:eastAsia="zh-CN"/>
        </w:rPr>
        <w:t xml:space="preserve"> </w:t>
      </w:r>
      <w:r w:rsidRPr="00830337">
        <w:rPr>
          <w:rFonts w:cs="Arial"/>
          <w:kern w:val="18"/>
          <w:szCs w:val="20"/>
          <w:lang w:eastAsia="zh-CN"/>
        </w:rPr>
        <w:t>así como evaluar la presentación general de los estados financieros.</w:t>
      </w:r>
    </w:p>
    <w:p w:rsidR="009D2F5B" w:rsidRPr="00830337" w:rsidRDefault="009D2F5B" w:rsidP="00830337">
      <w:pPr>
        <w:widowControl w:val="0"/>
        <w:suppressAutoHyphens/>
        <w:spacing w:line="360" w:lineRule="auto"/>
        <w:jc w:val="both"/>
        <w:rPr>
          <w:rFonts w:cs="Arial"/>
          <w:kern w:val="18"/>
          <w:szCs w:val="20"/>
          <w:lang w:eastAsia="zh-CN"/>
        </w:rPr>
      </w:pPr>
      <w:r w:rsidRPr="00830337">
        <w:rPr>
          <w:rFonts w:cs="Arial"/>
          <w:kern w:val="18"/>
          <w:szCs w:val="20"/>
          <w:lang w:eastAsia="zh-CN"/>
        </w:rPr>
        <w:t>Se considera que la evidencia de auditoría obtenida brinda una base suficiente y apropiada para sustentar la opinión.</w:t>
      </w:r>
    </w:p>
    <w:p w:rsidR="00EB29DA" w:rsidRDefault="00EB29DA" w:rsidP="00830337">
      <w:pPr>
        <w:widowControl w:val="0"/>
        <w:suppressAutoHyphens/>
        <w:spacing w:line="360" w:lineRule="auto"/>
        <w:jc w:val="both"/>
        <w:rPr>
          <w:rFonts w:cs="Arial"/>
          <w:b/>
          <w:kern w:val="1"/>
          <w:szCs w:val="20"/>
          <w:lang w:val="es-ES_tradnl" w:eastAsia="zh-CN"/>
        </w:rPr>
      </w:pPr>
    </w:p>
    <w:p w:rsidR="009D2F5B" w:rsidRPr="00830337" w:rsidRDefault="009D2F5B" w:rsidP="00830337">
      <w:pPr>
        <w:widowControl w:val="0"/>
        <w:suppressAutoHyphens/>
        <w:spacing w:line="360" w:lineRule="auto"/>
        <w:jc w:val="both"/>
        <w:rPr>
          <w:rFonts w:cs="Arial"/>
          <w:b/>
          <w:kern w:val="1"/>
          <w:szCs w:val="20"/>
          <w:lang w:val="es-ES_tradnl" w:eastAsia="zh-CN"/>
        </w:rPr>
      </w:pPr>
      <w:r w:rsidRPr="00830337">
        <w:rPr>
          <w:rFonts w:cs="Arial"/>
          <w:b/>
          <w:kern w:val="1"/>
          <w:szCs w:val="20"/>
          <w:lang w:val="es-ES_tradnl" w:eastAsia="zh-CN"/>
        </w:rPr>
        <w:t>Opinión</w:t>
      </w:r>
    </w:p>
    <w:p w:rsidR="009D2F5B" w:rsidRPr="00830337" w:rsidRDefault="009D2F5B" w:rsidP="00830337">
      <w:pPr>
        <w:widowControl w:val="0"/>
        <w:suppressAutoHyphens/>
        <w:spacing w:line="360" w:lineRule="auto"/>
        <w:jc w:val="both"/>
        <w:rPr>
          <w:rFonts w:cs="Arial"/>
          <w:kern w:val="1"/>
          <w:szCs w:val="20"/>
          <w:lang w:val="es-ES_tradnl" w:eastAsia="zh-CN"/>
        </w:rPr>
      </w:pPr>
      <w:r w:rsidRPr="00830337">
        <w:rPr>
          <w:rFonts w:cs="Arial"/>
          <w:kern w:val="1"/>
          <w:lang w:eastAsia="zh-CN"/>
        </w:rPr>
        <w:t xml:space="preserve">En opinión del Tribunal de Cuentas, los estados mencionados presentan razonablemente, en todos sus aspectos importantes, la ejecución presupuestal del </w:t>
      </w:r>
      <w:r w:rsidRPr="00830337">
        <w:rPr>
          <w:rFonts w:cs="Arial"/>
          <w:kern w:val="1"/>
          <w:lang w:eastAsia="zh-CN"/>
        </w:rPr>
        <w:lastRenderedPageBreak/>
        <w:t xml:space="preserve">Ejercicio 2015, la evolución de las obligaciones impagas y de los fondos indisponibles, de acuerdo con las normas establecidas en el TOCAF </w:t>
      </w:r>
      <w:r>
        <w:rPr>
          <w:rFonts w:cs="Arial"/>
          <w:kern w:val="1"/>
          <w:lang w:eastAsia="zh-CN"/>
        </w:rPr>
        <w:t>y la Resolución de este Tribunal</w:t>
      </w:r>
      <w:r w:rsidRPr="00830337">
        <w:rPr>
          <w:rFonts w:cs="Arial"/>
          <w:kern w:val="1"/>
          <w:lang w:eastAsia="zh-CN"/>
        </w:rPr>
        <w:t xml:space="preserve"> de fecha 28/01/04.</w:t>
      </w:r>
    </w:p>
    <w:p w:rsidR="009D2F5B" w:rsidRPr="00830337" w:rsidRDefault="009D2F5B" w:rsidP="00830337">
      <w:pPr>
        <w:widowControl w:val="0"/>
        <w:suppressAutoHyphens/>
        <w:spacing w:line="360" w:lineRule="auto"/>
        <w:jc w:val="both"/>
        <w:rPr>
          <w:rFonts w:cs="Arial"/>
          <w:lang w:eastAsia="zh-CN"/>
        </w:rPr>
      </w:pPr>
      <w:r w:rsidRPr="00830337">
        <w:rPr>
          <w:rFonts w:cs="Arial"/>
          <w:lang w:eastAsia="zh-CN"/>
        </w:rPr>
        <w:t>Con relación al cumplimiento de la normativa vigente, en el curso de la auditoría realizada se ha constatado que:</w:t>
      </w:r>
    </w:p>
    <w:p w:rsidR="009D2F5B" w:rsidRPr="00830337" w:rsidRDefault="009D2F5B" w:rsidP="00830337">
      <w:pPr>
        <w:widowControl w:val="0"/>
        <w:suppressAutoHyphens/>
        <w:spacing w:line="360" w:lineRule="auto"/>
        <w:jc w:val="both"/>
        <w:rPr>
          <w:rFonts w:cs="Arial"/>
          <w:lang w:eastAsia="zh-CN"/>
        </w:rPr>
      </w:pPr>
      <w:r w:rsidRPr="00830337">
        <w:rPr>
          <w:rFonts w:cs="Arial"/>
          <w:b/>
          <w:lang w:eastAsia="zh-CN"/>
        </w:rPr>
        <w:t xml:space="preserve">1. </w:t>
      </w:r>
      <w:r w:rsidRPr="00830337">
        <w:rPr>
          <w:rFonts w:cs="Arial"/>
          <w:b/>
          <w:spacing w:val="8"/>
          <w:lang w:eastAsia="zh-CN"/>
        </w:rPr>
        <w:t>Artículos 225 y 227 de la Constitución de la República y Ordenanza N°</w:t>
      </w:r>
      <w:r w:rsidRPr="00830337">
        <w:rPr>
          <w:rFonts w:cs="Arial"/>
          <w:b/>
          <w:lang w:eastAsia="zh-CN"/>
        </w:rPr>
        <w:t>71 del Tribunal de Cuentas</w:t>
      </w:r>
      <w:r w:rsidRPr="00830337">
        <w:rPr>
          <w:rFonts w:cs="Arial"/>
          <w:lang w:eastAsia="zh-CN"/>
        </w:rPr>
        <w:t>: No se realizaron los ajustes correspondientes a efectos de subsanar algunas de las observaciones efectuadas por este Tribunal al Proyecto de Presupuesto Quinquenal 2011-2015 y a la Modificación Presupuestal 2012-2015 de la Junta Departamental, que fueron aceptadas por la misma.</w:t>
      </w:r>
    </w:p>
    <w:p w:rsidR="009D2F5B" w:rsidRPr="00830337" w:rsidRDefault="009D2F5B" w:rsidP="00830337">
      <w:pPr>
        <w:widowControl w:val="0"/>
        <w:suppressAutoHyphens/>
        <w:spacing w:after="240" w:line="360" w:lineRule="auto"/>
        <w:jc w:val="both"/>
        <w:rPr>
          <w:rFonts w:cs="Arial"/>
          <w:kern w:val="1"/>
          <w:szCs w:val="20"/>
          <w:lang w:val="es-ES_tradnl" w:eastAsia="zh-CN"/>
        </w:rPr>
      </w:pPr>
      <w:r w:rsidRPr="00830337">
        <w:rPr>
          <w:rFonts w:cs="Arial"/>
          <w:kern w:val="1"/>
          <w:szCs w:val="20"/>
          <w:lang w:val="es-ES_tradnl" w:eastAsia="zh-CN"/>
        </w:rPr>
        <w:t>Al respecto, con fecha 29/06/2011 este Tribunal em</w:t>
      </w:r>
      <w:r>
        <w:rPr>
          <w:rFonts w:cs="Arial"/>
          <w:kern w:val="1"/>
          <w:szCs w:val="20"/>
          <w:lang w:val="es-ES_tradnl" w:eastAsia="zh-CN"/>
        </w:rPr>
        <w:t>itió su Dictamen observando el p</w:t>
      </w:r>
      <w:r w:rsidRPr="00830337">
        <w:rPr>
          <w:rFonts w:cs="Arial"/>
          <w:kern w:val="1"/>
          <w:szCs w:val="20"/>
          <w:lang w:val="es-ES_tradnl" w:eastAsia="zh-CN"/>
        </w:rPr>
        <w:t>royecto de Presupuesto Quinquenal en los términos contenidos en el párrafo 2.2). Esta observación se reiteró en el Dictamen correspondiente a la Modificación Presupuestal 2012-2015, en idéntico párrafo. En ambas ocasiones, la Junta Departamental aceptó esas observaciones, según Decretos Nº 6/11 y 8/12, pero no efectuó las correcciones correspondientes.</w:t>
      </w:r>
    </w:p>
    <w:p w:rsidR="009D2F5B" w:rsidRPr="00830337" w:rsidRDefault="009D2F5B" w:rsidP="00830337">
      <w:pPr>
        <w:widowControl w:val="0"/>
        <w:suppressAutoHyphens/>
        <w:spacing w:line="360" w:lineRule="auto"/>
        <w:jc w:val="both"/>
        <w:outlineLvl w:val="1"/>
        <w:rPr>
          <w:rFonts w:cs="Arial"/>
          <w:b/>
          <w:kern w:val="18"/>
        </w:rPr>
      </w:pPr>
      <w:r w:rsidRPr="00830337">
        <w:rPr>
          <w:rFonts w:cs="Arial"/>
          <w:b/>
          <w:kern w:val="18"/>
        </w:rPr>
        <w:t>2. Artículo 11.1 del Presupuesto Quinquenal -Compensación Especial</w:t>
      </w:r>
    </w:p>
    <w:p w:rsidR="009D2F5B" w:rsidRPr="00830337" w:rsidRDefault="009D2F5B" w:rsidP="00830337">
      <w:pPr>
        <w:widowControl w:val="0"/>
        <w:suppressAutoHyphens/>
        <w:spacing w:line="360" w:lineRule="auto"/>
        <w:jc w:val="both"/>
        <w:rPr>
          <w:rFonts w:cs="Arial"/>
          <w:lang w:eastAsia="zh-CN"/>
        </w:rPr>
      </w:pPr>
      <w:r w:rsidRPr="00830337">
        <w:rPr>
          <w:rFonts w:cs="Arial"/>
          <w:lang w:eastAsia="zh-CN"/>
        </w:rPr>
        <w:t>Se constataron pagos a los funcionarios de la Junta de $ 884.667 por concepto de compensaciones que no se ajusta en su totalidad a lo establecido en la citada norma debido a que dicha partida se otorgó a la totalidad de los funcionarios.</w:t>
      </w:r>
    </w:p>
    <w:p w:rsidR="009D2F5B" w:rsidRPr="00830337" w:rsidRDefault="009D2F5B" w:rsidP="00830337">
      <w:pPr>
        <w:widowControl w:val="0"/>
        <w:suppressAutoHyphens/>
        <w:spacing w:line="360" w:lineRule="auto"/>
        <w:jc w:val="both"/>
        <w:rPr>
          <w:rFonts w:cs="Arial"/>
          <w:kern w:val="1"/>
          <w:szCs w:val="20"/>
          <w:lang w:val="es-ES_tradnl" w:eastAsia="zh-CN"/>
        </w:rPr>
      </w:pPr>
      <w:r w:rsidRPr="00830337">
        <w:rPr>
          <w:rFonts w:cs="Arial"/>
          <w:b/>
          <w:spacing w:val="8"/>
          <w:kern w:val="1"/>
          <w:szCs w:val="20"/>
          <w:lang w:val="es-ES_tradnl" w:eastAsia="zh-CN"/>
        </w:rPr>
        <w:t xml:space="preserve">3. </w:t>
      </w:r>
      <w:r w:rsidRPr="00830337">
        <w:rPr>
          <w:rFonts w:cs="Arial"/>
          <w:b/>
          <w:kern w:val="1"/>
          <w:szCs w:val="20"/>
          <w:lang w:val="es-ES_tradnl" w:eastAsia="zh-CN"/>
        </w:rPr>
        <w:t>Artículo 34 de la Ley N° 19.210 y Decreto Nº 429/004:</w:t>
      </w:r>
      <w:r w:rsidRPr="00830337">
        <w:rPr>
          <w:rFonts w:cs="Arial"/>
          <w:kern w:val="1"/>
          <w:szCs w:val="20"/>
          <w:lang w:val="es-ES_tradnl" w:eastAsia="zh-CN"/>
        </w:rPr>
        <w:t xml:space="preserve"> Se abonaron algunas retribuciones personales líquidas por un importe menor al 35% del monto nominal, deducido impuesto y contribuciones de seguridad social.</w:t>
      </w:r>
    </w:p>
    <w:p w:rsidR="009D2F5B" w:rsidRPr="00830337" w:rsidRDefault="009D2F5B" w:rsidP="00830337">
      <w:pPr>
        <w:widowControl w:val="0"/>
        <w:suppressAutoHyphens/>
        <w:spacing w:line="360" w:lineRule="auto"/>
        <w:jc w:val="both"/>
        <w:rPr>
          <w:rFonts w:cs="Arial"/>
          <w:kern w:val="1"/>
          <w:szCs w:val="20"/>
          <w:lang w:val="es-ES_tradnl" w:eastAsia="zh-CN"/>
        </w:rPr>
      </w:pPr>
      <w:r w:rsidRPr="00830337">
        <w:rPr>
          <w:rFonts w:cs="Arial"/>
          <w:b/>
          <w:kern w:val="1"/>
          <w:szCs w:val="20"/>
          <w:lang w:val="es-ES_tradnl" w:eastAsia="zh-CN"/>
        </w:rPr>
        <w:t>4.</w:t>
      </w:r>
      <w:r w:rsidRPr="00830337">
        <w:rPr>
          <w:rFonts w:cs="Arial"/>
          <w:b/>
          <w:bCs/>
          <w:kern w:val="1"/>
          <w:szCs w:val="20"/>
          <w:lang w:val="es-ES_tradnl" w:eastAsia="zh-CN"/>
        </w:rPr>
        <w:t xml:space="preserve"> Artículo 20 del TOCAF: </w:t>
      </w:r>
      <w:r w:rsidRPr="00830337">
        <w:rPr>
          <w:rFonts w:cs="Arial"/>
          <w:kern w:val="1"/>
          <w:szCs w:val="20"/>
          <w:lang w:val="es-ES_tradnl" w:eastAsia="zh-CN"/>
        </w:rPr>
        <w:t>La Junta Departamental no aplicó el criterio de lo devengado en la imputación de algunos gastos.</w:t>
      </w:r>
    </w:p>
    <w:p w:rsidR="009D2F5B" w:rsidRPr="00830337" w:rsidRDefault="009D2F5B" w:rsidP="00830337">
      <w:pPr>
        <w:widowControl w:val="0"/>
        <w:suppressAutoHyphens/>
        <w:spacing w:line="360" w:lineRule="auto"/>
        <w:jc w:val="both"/>
        <w:rPr>
          <w:rFonts w:cs="Arial"/>
          <w:kern w:val="1"/>
          <w:szCs w:val="20"/>
          <w:lang w:val="es-ES_tradnl" w:eastAsia="zh-CN"/>
        </w:rPr>
      </w:pPr>
      <w:r w:rsidRPr="00830337">
        <w:rPr>
          <w:rFonts w:cs="Arial"/>
          <w:b/>
          <w:kern w:val="1"/>
          <w:szCs w:val="20"/>
          <w:lang w:val="es-ES_tradnl" w:eastAsia="zh-CN"/>
        </w:rPr>
        <w:lastRenderedPageBreak/>
        <w:t>5.</w:t>
      </w:r>
      <w:r w:rsidRPr="00830337">
        <w:rPr>
          <w:rFonts w:cs="Arial"/>
          <w:b/>
          <w:bCs/>
          <w:kern w:val="1"/>
          <w:szCs w:val="20"/>
          <w:lang w:val="es-ES_tradnl" w:eastAsia="zh-CN"/>
        </w:rPr>
        <w:t xml:space="preserve"> Artículo 20 Numeral 1) del TOCAF: </w:t>
      </w:r>
      <w:r w:rsidRPr="00830337">
        <w:rPr>
          <w:rFonts w:cs="Arial"/>
          <w:kern w:val="1"/>
          <w:szCs w:val="20"/>
          <w:lang w:val="es-ES_tradnl" w:eastAsia="zh-CN"/>
        </w:rPr>
        <w:t>Se otorgaron adelantos de sueldos por mayor importe que el generado por la prestación del servicio.</w:t>
      </w:r>
    </w:p>
    <w:p w:rsidR="009D2F5B" w:rsidRPr="00830337" w:rsidRDefault="009D2F5B" w:rsidP="00830337">
      <w:pPr>
        <w:widowControl w:val="0"/>
        <w:tabs>
          <w:tab w:val="left" w:pos="720"/>
        </w:tabs>
        <w:suppressAutoHyphens/>
        <w:spacing w:line="360" w:lineRule="auto"/>
        <w:jc w:val="both"/>
        <w:rPr>
          <w:rFonts w:cs="Arial"/>
          <w:lang w:eastAsia="zh-CN"/>
        </w:rPr>
      </w:pPr>
      <w:r w:rsidRPr="00830337">
        <w:rPr>
          <w:rFonts w:cs="Arial"/>
          <w:b/>
          <w:lang w:eastAsia="zh-CN"/>
        </w:rPr>
        <w:t xml:space="preserve">6. </w:t>
      </w:r>
      <w:r w:rsidRPr="00830337">
        <w:rPr>
          <w:rFonts w:cs="Arial"/>
          <w:b/>
          <w:bCs/>
          <w:lang w:eastAsia="zh-CN"/>
        </w:rPr>
        <w:t xml:space="preserve">Artículo 33 del TOCAF: </w:t>
      </w:r>
      <w:r w:rsidRPr="00830337">
        <w:rPr>
          <w:rFonts w:cs="Arial"/>
          <w:lang w:eastAsia="zh-CN"/>
        </w:rPr>
        <w:t>En algunos casos la Junta Departamental realizó contrataciones en forma directa sin haber realizado los procedimientos competitivos correspondientes.</w:t>
      </w:r>
    </w:p>
    <w:p w:rsidR="009D2F5B" w:rsidRDefault="009D2F5B" w:rsidP="00830337">
      <w:pPr>
        <w:widowControl w:val="0"/>
        <w:suppressAutoHyphens/>
        <w:spacing w:line="360" w:lineRule="auto"/>
        <w:jc w:val="both"/>
        <w:rPr>
          <w:rFonts w:cs="Arial"/>
          <w:lang w:eastAsia="zh-CN"/>
        </w:rPr>
      </w:pPr>
      <w:r w:rsidRPr="00830337">
        <w:rPr>
          <w:rFonts w:cs="Arial"/>
          <w:b/>
          <w:lang w:eastAsia="zh-CN"/>
        </w:rPr>
        <w:t>7.</w:t>
      </w:r>
      <w:r w:rsidRPr="00830337">
        <w:rPr>
          <w:rFonts w:cs="Arial"/>
          <w:b/>
          <w:bCs/>
          <w:lang w:eastAsia="zh-CN"/>
        </w:rPr>
        <w:t xml:space="preserve"> Artículos 89 y 90 del TOCAF y Resolución Nº 91/2012 de la Junta Departamental: </w:t>
      </w:r>
      <w:r w:rsidRPr="00830337">
        <w:rPr>
          <w:rFonts w:cs="Arial"/>
          <w:lang w:eastAsia="zh-CN"/>
        </w:rPr>
        <w:t>Respecto al manejo de fondos, no se dio cumplimiento a lo dispuesto por los mencionados artículos, en la medida que se abonaron gastos de naturaleza salarial con cargo al fondo permanente.</w:t>
      </w:r>
    </w:p>
    <w:p w:rsidR="009D2F5B" w:rsidRPr="00830337" w:rsidRDefault="009D2F5B" w:rsidP="00830337">
      <w:pPr>
        <w:widowControl w:val="0"/>
        <w:suppressAutoHyphens/>
        <w:spacing w:line="360" w:lineRule="auto"/>
        <w:jc w:val="both"/>
        <w:rPr>
          <w:rFonts w:cs="Arial"/>
          <w:lang w:eastAsia="zh-CN"/>
        </w:rPr>
      </w:pPr>
      <w:r w:rsidRPr="00830337">
        <w:rPr>
          <w:rFonts w:cs="Arial"/>
          <w:b/>
          <w:lang w:eastAsia="zh-CN"/>
        </w:rPr>
        <w:t xml:space="preserve">8. Artículo 94 del TOCAF y Ordenanza N° 81 del Tribunal de Cuentas: </w:t>
      </w:r>
      <w:r w:rsidRPr="00830337">
        <w:rPr>
          <w:rFonts w:cs="Arial"/>
          <w:lang w:eastAsia="zh-CN"/>
        </w:rPr>
        <w:t>No se ha implementado por la Junta Departamental un sistema de contabilidad patrimonial.</w:t>
      </w:r>
    </w:p>
    <w:p w:rsidR="009D2F5B" w:rsidRPr="00830337" w:rsidRDefault="009D2F5B" w:rsidP="00830337">
      <w:pPr>
        <w:widowControl w:val="0"/>
        <w:suppressAutoHyphens/>
        <w:spacing w:line="360" w:lineRule="auto"/>
        <w:jc w:val="both"/>
        <w:rPr>
          <w:rFonts w:cs="Arial"/>
          <w:lang w:eastAsia="zh-CN"/>
        </w:rPr>
      </w:pPr>
      <w:r w:rsidRPr="00830337">
        <w:rPr>
          <w:rFonts w:cs="Arial"/>
          <w:b/>
          <w:lang w:eastAsia="zh-CN"/>
        </w:rPr>
        <w:t>9.</w:t>
      </w:r>
      <w:r w:rsidRPr="00830337">
        <w:rPr>
          <w:rFonts w:cs="Arial"/>
          <w:b/>
          <w:bCs/>
          <w:lang w:eastAsia="zh-CN"/>
        </w:rPr>
        <w:t xml:space="preserve"> Artículo 132 del TOCAF y Articulo 416 de la Ley 17.930:</w:t>
      </w:r>
      <w:r w:rsidRPr="00830337">
        <w:rPr>
          <w:rFonts w:cs="Arial"/>
          <w:lang w:eastAsia="zh-CN"/>
        </w:rPr>
        <w:t xml:space="preserve"> Se adelantaron fondos que no fueron rendidos en los plazos establecidos por la referida norma. Además, la Ley N° 17.930 en su artículo 416 establece asimismo que “no podrán adelantarse fondos a rendir cuentas a personas físicas o jurídicas que no hayan presentado la rendición de cuentas de partidas recibidas con anterioridad”. En ese sentido se verificó que se adelantaron fondos a Sres. Ediles que presentaban hasta siete vales sin rendir.</w:t>
      </w:r>
    </w:p>
    <w:p w:rsidR="009D2F5B" w:rsidRPr="00830337" w:rsidRDefault="009D2F5B" w:rsidP="00830337">
      <w:pPr>
        <w:widowControl w:val="0"/>
        <w:suppressAutoHyphens/>
        <w:spacing w:line="360" w:lineRule="auto"/>
        <w:jc w:val="both"/>
        <w:rPr>
          <w:rFonts w:cs="Arial"/>
          <w:lang w:eastAsia="zh-CN"/>
        </w:rPr>
      </w:pPr>
      <w:r w:rsidRPr="00830337">
        <w:rPr>
          <w:rFonts w:cs="Arial"/>
          <w:lang w:eastAsia="zh-CN"/>
        </w:rPr>
        <w:t>Según arqueo del 08/07/15, un Edil mantenía pendiente de rendición vales por un total de $ 27.000 cuya antigüedad correspondía a los meses de abril 2014, mayo 2014, junio 2014, setiembre de 2014, diciembre 2014 y abril 2015.</w:t>
      </w:r>
    </w:p>
    <w:p w:rsidR="009D2F5B" w:rsidRPr="00830337" w:rsidRDefault="009D2F5B" w:rsidP="00830337">
      <w:pPr>
        <w:widowControl w:val="0"/>
        <w:suppressAutoHyphens/>
        <w:spacing w:after="240" w:line="360" w:lineRule="auto"/>
        <w:jc w:val="both"/>
        <w:rPr>
          <w:rFonts w:cs="Arial"/>
          <w:kern w:val="1"/>
          <w:szCs w:val="20"/>
          <w:lang w:val="es-ES_tradnl" w:eastAsia="zh-CN"/>
        </w:rPr>
      </w:pPr>
      <w:r w:rsidRPr="00830337">
        <w:rPr>
          <w:rFonts w:cs="Arial"/>
          <w:b/>
          <w:kern w:val="1"/>
          <w:szCs w:val="20"/>
          <w:lang w:val="es-ES_tradnl" w:eastAsia="zh-CN"/>
        </w:rPr>
        <w:t>10. Decreto N° 26/1986 de la Junta Departamental de Treinta y Tres y Artículo 59 del Estatuto del funcionario municipal:</w:t>
      </w:r>
      <w:r w:rsidRPr="00830337">
        <w:rPr>
          <w:rFonts w:cs="Arial"/>
          <w:kern w:val="1"/>
          <w:szCs w:val="20"/>
          <w:lang w:val="es-ES_tradnl" w:eastAsia="zh-CN"/>
        </w:rPr>
        <w:t xml:space="preserve"> Se constató que se abonaron licencias generadas y no gozadas, cancelando con estos haberes adelantos de sueldos otorgados en meses anteriores, incumpliendo con lo establecido en el </w:t>
      </w:r>
      <w:r w:rsidRPr="00830337">
        <w:rPr>
          <w:rFonts w:cs="Arial"/>
          <w:kern w:val="1"/>
          <w:szCs w:val="20"/>
          <w:lang w:val="es-ES_tradnl" w:eastAsia="zh-CN"/>
        </w:rPr>
        <w:lastRenderedPageBreak/>
        <w:t>Decreto N° 26/1986 de la Junta Departamental de Treinta y Tres y Artículo 59 del Estatuto funcionario.</w:t>
      </w:r>
    </w:p>
    <w:p w:rsidR="009D2F5B" w:rsidRDefault="009D2F5B" w:rsidP="00830337">
      <w:pPr>
        <w:widowControl w:val="0"/>
        <w:suppressAutoHyphens/>
        <w:spacing w:after="240" w:line="360" w:lineRule="auto"/>
        <w:jc w:val="right"/>
        <w:rPr>
          <w:rFonts w:cs="Arial"/>
          <w:kern w:val="1"/>
          <w:szCs w:val="20"/>
          <w:lang w:val="es-ES_tradnl" w:eastAsia="zh-CN"/>
        </w:rPr>
      </w:pPr>
      <w:r w:rsidRPr="00830337">
        <w:rPr>
          <w:rFonts w:cs="Arial"/>
          <w:kern w:val="1"/>
          <w:szCs w:val="20"/>
          <w:lang w:val="es-ES_tradnl" w:eastAsia="zh-CN"/>
        </w:rPr>
        <w:t>Montevideo, 10 de agosto de 2017</w:t>
      </w:r>
    </w:p>
    <w:p w:rsidR="009D2F5B" w:rsidRDefault="009D2F5B" w:rsidP="00830337">
      <w:pPr>
        <w:widowControl w:val="0"/>
        <w:suppressAutoHyphens/>
        <w:spacing w:after="240" w:line="360" w:lineRule="auto"/>
        <w:ind w:hanging="426"/>
      </w:pPr>
      <w:proofErr w:type="gramStart"/>
      <w:r>
        <w:rPr>
          <w:rFonts w:cs="Arial"/>
          <w:kern w:val="1"/>
          <w:szCs w:val="20"/>
          <w:lang w:val="es-ES_tradnl" w:eastAsia="zh-CN"/>
        </w:rPr>
        <w:t>dc</w:t>
      </w:r>
      <w:bookmarkEnd w:id="4"/>
      <w:bookmarkEnd w:id="5"/>
      <w:bookmarkEnd w:id="6"/>
      <w:proofErr w:type="gramEnd"/>
    </w:p>
    <w:p w:rsidR="009D2F5B" w:rsidRPr="00D61793" w:rsidRDefault="009D2F5B" w:rsidP="003B49A3">
      <w:pPr>
        <w:widowControl w:val="0"/>
        <w:spacing w:line="360" w:lineRule="auto"/>
        <w:jc w:val="center"/>
        <w:outlineLvl w:val="0"/>
        <w:rPr>
          <w:b/>
        </w:rPr>
      </w:pPr>
      <w:r w:rsidRPr="00D61793">
        <w:rPr>
          <w:b/>
        </w:rPr>
        <w:t>INFORME A LA ADMINISTRACIÓN</w:t>
      </w:r>
    </w:p>
    <w:p w:rsidR="009D2F5B" w:rsidRPr="00D61793" w:rsidRDefault="009D2F5B" w:rsidP="003B49A3">
      <w:pPr>
        <w:widowControl w:val="0"/>
        <w:spacing w:line="360" w:lineRule="auto"/>
        <w:jc w:val="both"/>
        <w:rPr>
          <w:kern w:val="18"/>
        </w:rPr>
      </w:pPr>
    </w:p>
    <w:p w:rsidR="009D2F5B" w:rsidRPr="00D61793" w:rsidRDefault="009D2F5B" w:rsidP="003B49A3">
      <w:pPr>
        <w:widowControl w:val="0"/>
        <w:spacing w:line="360" w:lineRule="auto"/>
        <w:jc w:val="both"/>
        <w:rPr>
          <w:kern w:val="18"/>
        </w:rPr>
      </w:pPr>
      <w:r w:rsidRPr="00D61793">
        <w:rPr>
          <w:kern w:val="18"/>
        </w:rPr>
        <w:t>El Tribunal de Cuentas ha examinado la Rendición de Cuentas y Balance de Ejecución Presupuestal</w:t>
      </w:r>
      <w:r>
        <w:rPr>
          <w:kern w:val="18"/>
        </w:rPr>
        <w:t xml:space="preserve"> de la Junta Departamental de Treinta y Tres del Ejercicio finalizado el 31/12/2015</w:t>
      </w:r>
      <w:r w:rsidRPr="00D61793">
        <w:rPr>
          <w:kern w:val="18"/>
        </w:rPr>
        <w:t xml:space="preserve"> y ha emitido su correspondiente Dictamen.</w:t>
      </w:r>
    </w:p>
    <w:p w:rsidR="009D2F5B" w:rsidRPr="00D61793" w:rsidRDefault="009D2F5B" w:rsidP="003B49A3">
      <w:pPr>
        <w:widowControl w:val="0"/>
        <w:spacing w:line="360" w:lineRule="auto"/>
        <w:jc w:val="both"/>
        <w:rPr>
          <w:kern w:val="18"/>
        </w:rPr>
      </w:pPr>
      <w:r w:rsidRPr="00D61793">
        <w:rPr>
          <w:kern w:val="18"/>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w:t>
      </w:r>
      <w:r>
        <w:rPr>
          <w:kern w:val="18"/>
        </w:rPr>
        <w:t>a</w:t>
      </w:r>
      <w:r w:rsidRPr="00D61793">
        <w:rPr>
          <w:kern w:val="18"/>
        </w:rPr>
        <w:t xml:space="preserve">l </w:t>
      </w:r>
      <w:r>
        <w:rPr>
          <w:kern w:val="18"/>
        </w:rPr>
        <w:t>Ej</w:t>
      </w:r>
      <w:r w:rsidRPr="00D61793">
        <w:rPr>
          <w:kern w:val="18"/>
        </w:rPr>
        <w:t>ercicio anterior.</w:t>
      </w:r>
    </w:p>
    <w:p w:rsidR="009D2F5B" w:rsidRDefault="009D2F5B" w:rsidP="003B49A3">
      <w:pPr>
        <w:widowControl w:val="0"/>
        <w:spacing w:line="360" w:lineRule="auto"/>
        <w:jc w:val="both"/>
        <w:rPr>
          <w:b/>
          <w:kern w:val="18"/>
        </w:rPr>
      </w:pPr>
      <w:bookmarkStart w:id="7" w:name="_Toc278970133"/>
      <w:bookmarkStart w:id="8" w:name="_Toc331077631"/>
      <w:bookmarkStart w:id="9" w:name="_Toc411241471"/>
      <w:r>
        <w:rPr>
          <w:b/>
          <w:kern w:val="18"/>
        </w:rPr>
        <w:t xml:space="preserve">1 </w:t>
      </w:r>
      <w:r w:rsidRPr="003811D4">
        <w:rPr>
          <w:b/>
          <w:kern w:val="18"/>
        </w:rPr>
        <w:t xml:space="preserve">Situación en </w:t>
      </w:r>
      <w:r>
        <w:rPr>
          <w:b/>
          <w:kern w:val="18"/>
        </w:rPr>
        <w:t>m</w:t>
      </w:r>
      <w:r w:rsidRPr="003811D4">
        <w:rPr>
          <w:b/>
          <w:kern w:val="18"/>
        </w:rPr>
        <w:t xml:space="preserve">ateria de </w:t>
      </w:r>
      <w:r>
        <w:rPr>
          <w:b/>
          <w:kern w:val="18"/>
        </w:rPr>
        <w:t>f</w:t>
      </w:r>
      <w:r w:rsidRPr="003811D4">
        <w:rPr>
          <w:b/>
          <w:kern w:val="18"/>
        </w:rPr>
        <w:t>ondos</w:t>
      </w:r>
      <w:bookmarkStart w:id="10" w:name="_Toc37740559"/>
      <w:bookmarkStart w:id="11" w:name="_Toc37740811"/>
      <w:bookmarkStart w:id="12" w:name="_Toc43280747"/>
      <w:bookmarkStart w:id="13" w:name="_Toc49942672"/>
      <w:bookmarkEnd w:id="7"/>
      <w:bookmarkEnd w:id="8"/>
      <w:bookmarkEnd w:id="9"/>
      <w:r>
        <w:rPr>
          <w:b/>
          <w:kern w:val="18"/>
        </w:rPr>
        <w:t xml:space="preserve"> (en $)</w:t>
      </w:r>
    </w:p>
    <w:p w:rsidR="009D2F5B" w:rsidRDefault="009D2F5B" w:rsidP="003B49A3">
      <w:pPr>
        <w:widowControl w:val="0"/>
        <w:spacing w:line="360" w:lineRule="auto"/>
        <w:jc w:val="both"/>
      </w:pPr>
      <w:r w:rsidRPr="003811D4">
        <w:t>De acuerdo con los estados inclu</w:t>
      </w:r>
      <w:r>
        <w:t>idos</w:t>
      </w:r>
      <w:r w:rsidRPr="003811D4">
        <w:t xml:space="preserve"> en la Rendición de Cuentas, se elaboró un resumen de la situación en materia de fondos de la Junta Departamental con relación a la Intendencia:</w:t>
      </w:r>
    </w:p>
    <w:tbl>
      <w:tblPr>
        <w:tblW w:w="8119" w:type="dxa"/>
        <w:jc w:val="center"/>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33"/>
        <w:gridCol w:w="1928"/>
        <w:gridCol w:w="1758"/>
      </w:tblGrid>
      <w:tr w:rsidR="009D2F5B" w:rsidRPr="003811D4" w:rsidTr="008A18D1">
        <w:trPr>
          <w:trHeight w:hRule="exact" w:val="318"/>
          <w:jc w:val="center"/>
        </w:trPr>
        <w:tc>
          <w:tcPr>
            <w:tcW w:w="4433" w:type="dxa"/>
          </w:tcPr>
          <w:bookmarkEnd w:id="10"/>
          <w:bookmarkEnd w:id="11"/>
          <w:bookmarkEnd w:id="12"/>
          <w:bookmarkEnd w:id="13"/>
          <w:p w:rsidR="009D2F5B" w:rsidRPr="003811D4" w:rsidRDefault="009D2F5B" w:rsidP="003B49A3">
            <w:pPr>
              <w:widowControl w:val="0"/>
              <w:spacing w:line="360" w:lineRule="auto"/>
              <w:jc w:val="both"/>
              <w:rPr>
                <w:snapToGrid w:val="0"/>
                <w:color w:val="000000"/>
              </w:rPr>
            </w:pPr>
            <w:r w:rsidRPr="003811D4">
              <w:rPr>
                <w:snapToGrid w:val="0"/>
                <w:color w:val="000000"/>
              </w:rPr>
              <w:t>Disponibilidades en la Junta</w:t>
            </w:r>
          </w:p>
        </w:tc>
        <w:tc>
          <w:tcPr>
            <w:tcW w:w="1928" w:type="dxa"/>
            <w:vAlign w:val="center"/>
          </w:tcPr>
          <w:p w:rsidR="009D2F5B" w:rsidRPr="003811D4" w:rsidRDefault="009D2F5B" w:rsidP="00F16365">
            <w:pPr>
              <w:widowControl w:val="0"/>
              <w:spacing w:line="360" w:lineRule="auto"/>
              <w:jc w:val="right"/>
              <w:rPr>
                <w:snapToGrid w:val="0"/>
                <w:color w:val="000000"/>
              </w:rPr>
            </w:pPr>
            <w:r>
              <w:rPr>
                <w:snapToGrid w:val="0"/>
                <w:color w:val="000000"/>
              </w:rPr>
              <w:t xml:space="preserve"> </w:t>
            </w:r>
            <w:r w:rsidRPr="003811D4">
              <w:rPr>
                <w:snapToGrid w:val="0"/>
                <w:color w:val="000000"/>
              </w:rPr>
              <w:t>1:676.410</w:t>
            </w:r>
          </w:p>
          <w:p w:rsidR="009D2F5B" w:rsidRPr="003811D4" w:rsidRDefault="009D2F5B" w:rsidP="00F16365">
            <w:pPr>
              <w:widowControl w:val="0"/>
              <w:spacing w:line="360" w:lineRule="auto"/>
              <w:jc w:val="right"/>
              <w:rPr>
                <w:snapToGrid w:val="0"/>
                <w:color w:val="000000"/>
              </w:rPr>
            </w:pPr>
          </w:p>
          <w:p w:rsidR="009D2F5B" w:rsidRPr="003811D4" w:rsidRDefault="009D2F5B" w:rsidP="00F16365">
            <w:pPr>
              <w:widowControl w:val="0"/>
              <w:spacing w:line="360" w:lineRule="auto"/>
              <w:jc w:val="right"/>
              <w:rPr>
                <w:snapToGrid w:val="0"/>
                <w:color w:val="000000"/>
              </w:rPr>
            </w:pPr>
          </w:p>
        </w:tc>
        <w:tc>
          <w:tcPr>
            <w:tcW w:w="1758" w:type="dxa"/>
            <w:vAlign w:val="center"/>
          </w:tcPr>
          <w:p w:rsidR="009D2F5B" w:rsidRPr="003811D4" w:rsidRDefault="009D2F5B" w:rsidP="00F16365">
            <w:pPr>
              <w:widowControl w:val="0"/>
              <w:spacing w:line="360" w:lineRule="auto"/>
              <w:jc w:val="right"/>
              <w:rPr>
                <w:snapToGrid w:val="0"/>
                <w:color w:val="000000"/>
              </w:rPr>
            </w:pPr>
          </w:p>
        </w:tc>
      </w:tr>
      <w:tr w:rsidR="009D2F5B" w:rsidRPr="003811D4" w:rsidTr="008A18D1">
        <w:trPr>
          <w:trHeight w:hRule="exact" w:val="340"/>
          <w:jc w:val="center"/>
        </w:trPr>
        <w:tc>
          <w:tcPr>
            <w:tcW w:w="4433" w:type="dxa"/>
          </w:tcPr>
          <w:p w:rsidR="009D2F5B" w:rsidRPr="003811D4" w:rsidRDefault="009D2F5B" w:rsidP="003B49A3">
            <w:pPr>
              <w:widowControl w:val="0"/>
              <w:spacing w:line="360" w:lineRule="auto"/>
              <w:jc w:val="both"/>
              <w:rPr>
                <w:snapToGrid w:val="0"/>
                <w:color w:val="000000"/>
              </w:rPr>
            </w:pPr>
            <w:proofErr w:type="spellStart"/>
            <w:r w:rsidRPr="003811D4">
              <w:rPr>
                <w:snapToGrid w:val="0"/>
                <w:color w:val="000000"/>
              </w:rPr>
              <w:t>Extrapresupuesto</w:t>
            </w:r>
            <w:proofErr w:type="spellEnd"/>
            <w:r w:rsidRPr="003811D4">
              <w:rPr>
                <w:snapToGrid w:val="0"/>
                <w:color w:val="000000"/>
              </w:rPr>
              <w:t xml:space="preserve"> a cobrar</w:t>
            </w:r>
          </w:p>
        </w:tc>
        <w:tc>
          <w:tcPr>
            <w:tcW w:w="1928" w:type="dxa"/>
            <w:vAlign w:val="center"/>
          </w:tcPr>
          <w:p w:rsidR="009D2F5B" w:rsidRPr="003811D4" w:rsidRDefault="009D2F5B" w:rsidP="00F16365">
            <w:pPr>
              <w:widowControl w:val="0"/>
              <w:spacing w:line="360" w:lineRule="auto"/>
              <w:jc w:val="right"/>
              <w:rPr>
                <w:snapToGrid w:val="0"/>
                <w:color w:val="000000"/>
              </w:rPr>
            </w:pPr>
            <w:r>
              <w:rPr>
                <w:snapToGrid w:val="0"/>
                <w:color w:val="000000"/>
              </w:rPr>
              <w:t xml:space="preserve"> </w:t>
            </w:r>
            <w:r w:rsidRPr="003811D4">
              <w:rPr>
                <w:snapToGrid w:val="0"/>
                <w:color w:val="000000"/>
              </w:rPr>
              <w:t>64.348</w:t>
            </w:r>
          </w:p>
        </w:tc>
        <w:tc>
          <w:tcPr>
            <w:tcW w:w="1758" w:type="dxa"/>
            <w:vAlign w:val="center"/>
          </w:tcPr>
          <w:p w:rsidR="009D2F5B" w:rsidRPr="003811D4" w:rsidRDefault="009D2F5B" w:rsidP="00F16365">
            <w:pPr>
              <w:widowControl w:val="0"/>
              <w:spacing w:line="360" w:lineRule="auto"/>
              <w:jc w:val="right"/>
              <w:rPr>
                <w:b/>
                <w:snapToGrid w:val="0"/>
                <w:color w:val="000000"/>
              </w:rPr>
            </w:pPr>
            <w:r>
              <w:rPr>
                <w:b/>
                <w:snapToGrid w:val="0"/>
                <w:color w:val="000000"/>
              </w:rPr>
              <w:t xml:space="preserve"> </w:t>
            </w:r>
            <w:r w:rsidRPr="003811D4">
              <w:rPr>
                <w:b/>
                <w:snapToGrid w:val="0"/>
                <w:color w:val="000000"/>
              </w:rPr>
              <w:t>1:740.758</w:t>
            </w:r>
          </w:p>
        </w:tc>
      </w:tr>
      <w:tr w:rsidR="009D2F5B" w:rsidRPr="003811D4" w:rsidTr="008A18D1">
        <w:trPr>
          <w:trHeight w:hRule="exact" w:val="340"/>
          <w:jc w:val="center"/>
        </w:trPr>
        <w:tc>
          <w:tcPr>
            <w:tcW w:w="4433" w:type="dxa"/>
          </w:tcPr>
          <w:p w:rsidR="009D2F5B" w:rsidRPr="003811D4" w:rsidRDefault="009D2F5B" w:rsidP="003B49A3">
            <w:pPr>
              <w:widowControl w:val="0"/>
              <w:spacing w:line="360" w:lineRule="auto"/>
              <w:jc w:val="both"/>
              <w:rPr>
                <w:snapToGrid w:val="0"/>
                <w:color w:val="000000"/>
              </w:rPr>
            </w:pPr>
            <w:r w:rsidRPr="003811D4">
              <w:rPr>
                <w:snapToGrid w:val="0"/>
                <w:color w:val="000000"/>
              </w:rPr>
              <w:t>Menos</w:t>
            </w:r>
          </w:p>
        </w:tc>
        <w:tc>
          <w:tcPr>
            <w:tcW w:w="1928" w:type="dxa"/>
            <w:vAlign w:val="center"/>
          </w:tcPr>
          <w:p w:rsidR="009D2F5B" w:rsidRPr="003811D4" w:rsidRDefault="009D2F5B" w:rsidP="00F16365">
            <w:pPr>
              <w:widowControl w:val="0"/>
              <w:spacing w:line="360" w:lineRule="auto"/>
              <w:jc w:val="right"/>
              <w:rPr>
                <w:snapToGrid w:val="0"/>
                <w:color w:val="000000"/>
              </w:rPr>
            </w:pPr>
          </w:p>
        </w:tc>
        <w:tc>
          <w:tcPr>
            <w:tcW w:w="1758" w:type="dxa"/>
            <w:vAlign w:val="center"/>
          </w:tcPr>
          <w:p w:rsidR="009D2F5B" w:rsidRPr="003811D4" w:rsidRDefault="009D2F5B" w:rsidP="00F16365">
            <w:pPr>
              <w:widowControl w:val="0"/>
              <w:spacing w:line="360" w:lineRule="auto"/>
              <w:jc w:val="right"/>
              <w:rPr>
                <w:snapToGrid w:val="0"/>
                <w:color w:val="000000"/>
              </w:rPr>
            </w:pPr>
          </w:p>
        </w:tc>
      </w:tr>
      <w:tr w:rsidR="009D2F5B" w:rsidRPr="003811D4" w:rsidTr="008A18D1">
        <w:trPr>
          <w:trHeight w:hRule="exact" w:val="340"/>
          <w:jc w:val="center"/>
        </w:trPr>
        <w:tc>
          <w:tcPr>
            <w:tcW w:w="4433" w:type="dxa"/>
          </w:tcPr>
          <w:p w:rsidR="009D2F5B" w:rsidRPr="003811D4" w:rsidRDefault="009D2F5B" w:rsidP="003B49A3">
            <w:pPr>
              <w:widowControl w:val="0"/>
              <w:spacing w:line="360" w:lineRule="auto"/>
              <w:jc w:val="both"/>
              <w:rPr>
                <w:snapToGrid w:val="0"/>
                <w:color w:val="000000"/>
              </w:rPr>
            </w:pPr>
            <w:r w:rsidRPr="003811D4">
              <w:rPr>
                <w:snapToGrid w:val="0"/>
                <w:color w:val="000000"/>
              </w:rPr>
              <w:t xml:space="preserve">Gastos ejecutados no pagados </w:t>
            </w:r>
          </w:p>
        </w:tc>
        <w:tc>
          <w:tcPr>
            <w:tcW w:w="1928" w:type="dxa"/>
            <w:vAlign w:val="center"/>
          </w:tcPr>
          <w:p w:rsidR="009D2F5B" w:rsidRPr="003811D4" w:rsidRDefault="009D2F5B" w:rsidP="00F16365">
            <w:pPr>
              <w:widowControl w:val="0"/>
              <w:spacing w:line="360" w:lineRule="auto"/>
              <w:jc w:val="right"/>
              <w:rPr>
                <w:snapToGrid w:val="0"/>
                <w:color w:val="000000"/>
              </w:rPr>
            </w:pPr>
            <w:r>
              <w:rPr>
                <w:snapToGrid w:val="0"/>
                <w:color w:val="000000"/>
              </w:rPr>
              <w:t xml:space="preserve"> </w:t>
            </w:r>
            <w:r w:rsidRPr="003811D4">
              <w:rPr>
                <w:snapToGrid w:val="0"/>
                <w:color w:val="000000"/>
              </w:rPr>
              <w:t>(526.340)</w:t>
            </w:r>
          </w:p>
        </w:tc>
        <w:tc>
          <w:tcPr>
            <w:tcW w:w="1758" w:type="dxa"/>
            <w:vAlign w:val="center"/>
          </w:tcPr>
          <w:p w:rsidR="009D2F5B" w:rsidRPr="003811D4" w:rsidRDefault="009D2F5B" w:rsidP="00F16365">
            <w:pPr>
              <w:widowControl w:val="0"/>
              <w:spacing w:line="360" w:lineRule="auto"/>
              <w:jc w:val="right"/>
              <w:rPr>
                <w:snapToGrid w:val="0"/>
                <w:color w:val="000000"/>
              </w:rPr>
            </w:pPr>
          </w:p>
        </w:tc>
      </w:tr>
      <w:tr w:rsidR="009D2F5B" w:rsidRPr="003811D4" w:rsidTr="008A18D1">
        <w:trPr>
          <w:trHeight w:hRule="exact" w:val="340"/>
          <w:jc w:val="center"/>
        </w:trPr>
        <w:tc>
          <w:tcPr>
            <w:tcW w:w="4433" w:type="dxa"/>
          </w:tcPr>
          <w:p w:rsidR="009D2F5B" w:rsidRPr="003811D4" w:rsidRDefault="009D2F5B" w:rsidP="003B49A3">
            <w:pPr>
              <w:widowControl w:val="0"/>
              <w:spacing w:line="360" w:lineRule="auto"/>
              <w:jc w:val="both"/>
              <w:rPr>
                <w:snapToGrid w:val="0"/>
                <w:color w:val="000000"/>
              </w:rPr>
            </w:pPr>
            <w:r w:rsidRPr="003811D4">
              <w:rPr>
                <w:snapToGrid w:val="0"/>
                <w:color w:val="000000"/>
              </w:rPr>
              <w:t>Indisponibles</w:t>
            </w:r>
            <w:r>
              <w:rPr>
                <w:snapToGrid w:val="0"/>
                <w:color w:val="000000"/>
              </w:rPr>
              <w:t xml:space="preserve"> </w:t>
            </w:r>
          </w:p>
        </w:tc>
        <w:tc>
          <w:tcPr>
            <w:tcW w:w="1928" w:type="dxa"/>
            <w:vAlign w:val="center"/>
          </w:tcPr>
          <w:p w:rsidR="009D2F5B" w:rsidRPr="003811D4" w:rsidRDefault="009D2F5B" w:rsidP="00F16365">
            <w:pPr>
              <w:widowControl w:val="0"/>
              <w:spacing w:line="360" w:lineRule="auto"/>
              <w:jc w:val="right"/>
              <w:rPr>
                <w:snapToGrid w:val="0"/>
                <w:color w:val="000000"/>
              </w:rPr>
            </w:pPr>
            <w:r>
              <w:rPr>
                <w:snapToGrid w:val="0"/>
                <w:color w:val="000000"/>
              </w:rPr>
              <w:t xml:space="preserve"> </w:t>
            </w:r>
            <w:r w:rsidRPr="003811D4">
              <w:rPr>
                <w:snapToGrid w:val="0"/>
                <w:color w:val="000000"/>
              </w:rPr>
              <w:t>(349.426) (175.022)222nnnnn1111111(11117(175.0225.0022236.395 )</w:t>
            </w:r>
          </w:p>
        </w:tc>
        <w:tc>
          <w:tcPr>
            <w:tcW w:w="1758" w:type="dxa"/>
            <w:vAlign w:val="center"/>
          </w:tcPr>
          <w:p w:rsidR="009D2F5B" w:rsidRPr="003811D4" w:rsidRDefault="009D2F5B" w:rsidP="00F16365">
            <w:pPr>
              <w:widowControl w:val="0"/>
              <w:spacing w:line="360" w:lineRule="auto"/>
              <w:jc w:val="right"/>
              <w:rPr>
                <w:b/>
                <w:snapToGrid w:val="0"/>
                <w:color w:val="000000"/>
              </w:rPr>
            </w:pPr>
            <w:r>
              <w:rPr>
                <w:b/>
                <w:snapToGrid w:val="0"/>
                <w:color w:val="000000"/>
              </w:rPr>
              <w:t xml:space="preserve"> </w:t>
            </w:r>
            <w:r w:rsidRPr="003811D4">
              <w:rPr>
                <w:b/>
                <w:snapToGrid w:val="0"/>
                <w:color w:val="000000"/>
              </w:rPr>
              <w:t>(875.766)</w:t>
            </w:r>
          </w:p>
        </w:tc>
      </w:tr>
      <w:tr w:rsidR="009D2F5B" w:rsidRPr="00D61793" w:rsidTr="008A18D1">
        <w:trPr>
          <w:trHeight w:hRule="exact" w:val="340"/>
          <w:jc w:val="center"/>
        </w:trPr>
        <w:tc>
          <w:tcPr>
            <w:tcW w:w="4433" w:type="dxa"/>
          </w:tcPr>
          <w:p w:rsidR="009D2F5B" w:rsidRPr="003811D4" w:rsidRDefault="009D2F5B" w:rsidP="003B49A3">
            <w:pPr>
              <w:widowControl w:val="0"/>
              <w:spacing w:line="360" w:lineRule="auto"/>
              <w:jc w:val="both"/>
              <w:rPr>
                <w:b/>
                <w:snapToGrid w:val="0"/>
                <w:color w:val="000000"/>
              </w:rPr>
            </w:pPr>
            <w:r w:rsidRPr="003811D4">
              <w:rPr>
                <w:b/>
                <w:snapToGrid w:val="0"/>
                <w:color w:val="000000"/>
              </w:rPr>
              <w:t>Saldo a favor de la Intendencia</w:t>
            </w:r>
            <w:r>
              <w:rPr>
                <w:b/>
                <w:snapToGrid w:val="0"/>
                <w:color w:val="000000"/>
              </w:rPr>
              <w:t xml:space="preserve"> </w:t>
            </w:r>
          </w:p>
        </w:tc>
        <w:tc>
          <w:tcPr>
            <w:tcW w:w="1928" w:type="dxa"/>
            <w:vAlign w:val="center"/>
          </w:tcPr>
          <w:p w:rsidR="009D2F5B" w:rsidRPr="003811D4" w:rsidRDefault="009D2F5B" w:rsidP="00F16365">
            <w:pPr>
              <w:widowControl w:val="0"/>
              <w:spacing w:line="360" w:lineRule="auto"/>
              <w:jc w:val="right"/>
              <w:rPr>
                <w:b/>
                <w:bCs/>
                <w:snapToGrid w:val="0"/>
                <w:color w:val="000000"/>
              </w:rPr>
            </w:pPr>
          </w:p>
        </w:tc>
        <w:tc>
          <w:tcPr>
            <w:tcW w:w="1758" w:type="dxa"/>
            <w:vAlign w:val="center"/>
          </w:tcPr>
          <w:p w:rsidR="009D2F5B" w:rsidRPr="00D61793" w:rsidRDefault="009D2F5B" w:rsidP="00F16365">
            <w:pPr>
              <w:widowControl w:val="0"/>
              <w:spacing w:line="360" w:lineRule="auto"/>
              <w:jc w:val="right"/>
              <w:rPr>
                <w:b/>
                <w:bCs/>
                <w:snapToGrid w:val="0"/>
                <w:color w:val="000000"/>
              </w:rPr>
            </w:pPr>
            <w:r>
              <w:rPr>
                <w:b/>
                <w:bCs/>
                <w:snapToGrid w:val="0"/>
                <w:color w:val="000000"/>
              </w:rPr>
              <w:t xml:space="preserve"> </w:t>
            </w:r>
            <w:r w:rsidRPr="003811D4">
              <w:rPr>
                <w:b/>
                <w:bCs/>
                <w:snapToGrid w:val="0"/>
                <w:color w:val="000000"/>
              </w:rPr>
              <w:t>864.992</w:t>
            </w:r>
            <w:r>
              <w:rPr>
                <w:b/>
                <w:bCs/>
                <w:snapToGrid w:val="0"/>
                <w:color w:val="000000"/>
              </w:rPr>
              <w:t xml:space="preserve"> </w:t>
            </w:r>
            <w:r w:rsidRPr="003811D4">
              <w:rPr>
                <w:b/>
                <w:bCs/>
                <w:snapToGrid w:val="0"/>
                <w:color w:val="000000"/>
              </w:rPr>
              <w:t>864:143.817</w:t>
            </w:r>
            <w:r>
              <w:rPr>
                <w:b/>
                <w:bCs/>
                <w:snapToGrid w:val="0"/>
                <w:color w:val="000000"/>
              </w:rPr>
              <w:t xml:space="preserve"> </w:t>
            </w:r>
            <w:r w:rsidRPr="003811D4">
              <w:rPr>
                <w:b/>
                <w:bCs/>
                <w:snapToGrid w:val="0"/>
                <w:color w:val="000000"/>
              </w:rPr>
              <w:t>2:143.8172</w:t>
            </w:r>
          </w:p>
        </w:tc>
      </w:tr>
    </w:tbl>
    <w:p w:rsidR="009D2F5B" w:rsidRPr="003811D4" w:rsidRDefault="009D2F5B" w:rsidP="003B49A3">
      <w:pPr>
        <w:widowControl w:val="0"/>
        <w:spacing w:line="360" w:lineRule="auto"/>
        <w:jc w:val="both"/>
        <w:outlineLvl w:val="1"/>
        <w:rPr>
          <w:b/>
          <w:kern w:val="18"/>
        </w:rPr>
      </w:pPr>
      <w:bookmarkStart w:id="14" w:name="_Toc278970134"/>
      <w:bookmarkStart w:id="15" w:name="_Toc331077632"/>
      <w:bookmarkStart w:id="16" w:name="_Toc411241472"/>
      <w:r>
        <w:rPr>
          <w:b/>
          <w:kern w:val="18"/>
        </w:rPr>
        <w:lastRenderedPageBreak/>
        <w:t>2</w:t>
      </w:r>
      <w:r w:rsidRPr="003811D4">
        <w:rPr>
          <w:b/>
          <w:kern w:val="18"/>
        </w:rPr>
        <w:t xml:space="preserve"> Constataciones que no afectan la opinión de los estados</w:t>
      </w:r>
      <w:bookmarkEnd w:id="14"/>
      <w:bookmarkEnd w:id="15"/>
      <w:bookmarkEnd w:id="16"/>
    </w:p>
    <w:p w:rsidR="009D2F5B" w:rsidRPr="003811D4" w:rsidRDefault="009D2F5B" w:rsidP="003B49A3">
      <w:pPr>
        <w:widowControl w:val="0"/>
        <w:spacing w:line="360" w:lineRule="auto"/>
        <w:jc w:val="both"/>
        <w:outlineLvl w:val="1"/>
        <w:rPr>
          <w:b/>
          <w:kern w:val="18"/>
        </w:rPr>
      </w:pPr>
      <w:bookmarkStart w:id="17" w:name="_Toc411241473"/>
      <w:r>
        <w:rPr>
          <w:b/>
          <w:kern w:val="18"/>
        </w:rPr>
        <w:t>2</w:t>
      </w:r>
      <w:r w:rsidRPr="003811D4">
        <w:rPr>
          <w:b/>
          <w:kern w:val="18"/>
        </w:rPr>
        <w:t>.1 Disponibilidades</w:t>
      </w:r>
      <w:bookmarkEnd w:id="17"/>
    </w:p>
    <w:p w:rsidR="009D2F5B" w:rsidRPr="00D61793" w:rsidRDefault="009D2F5B" w:rsidP="003B49A3">
      <w:pPr>
        <w:widowControl w:val="0"/>
        <w:spacing w:line="360" w:lineRule="auto"/>
        <w:jc w:val="both"/>
        <w:rPr>
          <w:lang w:val="es-UY"/>
        </w:rPr>
      </w:pPr>
      <w:bookmarkStart w:id="18" w:name="_Toc411241474"/>
      <w:r>
        <w:rPr>
          <w:b/>
          <w:lang w:val="es-UY"/>
        </w:rPr>
        <w:t>2</w:t>
      </w:r>
      <w:r w:rsidRPr="003811D4">
        <w:rPr>
          <w:b/>
          <w:lang w:val="es-UY"/>
        </w:rPr>
        <w:t xml:space="preserve">.1.1 </w:t>
      </w:r>
      <w:r w:rsidRPr="003811D4">
        <w:t>Analizadas las conciliaciones bancarias se constataron partidas conciliatorias con antigüedad superior a seis años.</w:t>
      </w:r>
      <w:r w:rsidRPr="003811D4">
        <w:rPr>
          <w:lang w:val="es-UY"/>
        </w:rPr>
        <w:t xml:space="preserve"> Al 31/12/2015, fecha de cierre del </w:t>
      </w:r>
      <w:r>
        <w:rPr>
          <w:lang w:val="es-UY"/>
        </w:rPr>
        <w:t>E</w:t>
      </w:r>
      <w:r w:rsidRPr="003811D4">
        <w:rPr>
          <w:lang w:val="es-UY"/>
        </w:rPr>
        <w:t>jercicio, se verificó que las partidas conciliatorias que permanecen pendientes de subsanar son las originadas en el p</w:t>
      </w:r>
      <w:r>
        <w:rPr>
          <w:lang w:val="es-UY"/>
        </w:rPr>
        <w:t>eriodo 2009 - 2011 por $</w:t>
      </w:r>
      <w:r w:rsidRPr="003811D4">
        <w:rPr>
          <w:lang w:val="es-UY"/>
        </w:rPr>
        <w:t>3.690.</w:t>
      </w:r>
    </w:p>
    <w:p w:rsidR="009D2F5B" w:rsidRDefault="009D2F5B" w:rsidP="003B49A3">
      <w:pPr>
        <w:widowControl w:val="0"/>
        <w:spacing w:line="360" w:lineRule="auto"/>
        <w:jc w:val="both"/>
        <w:rPr>
          <w:b/>
          <w:kern w:val="18"/>
        </w:rPr>
      </w:pPr>
      <w:r>
        <w:rPr>
          <w:b/>
          <w:lang w:val="es-ES_tradnl"/>
        </w:rPr>
        <w:t>2</w:t>
      </w:r>
      <w:r w:rsidRPr="003811D4">
        <w:rPr>
          <w:b/>
          <w:lang w:val="es-ES_tradnl"/>
        </w:rPr>
        <w:t>.1.2</w:t>
      </w:r>
      <w:r w:rsidRPr="003811D4">
        <w:rPr>
          <w:lang w:val="es-ES_tradnl"/>
        </w:rPr>
        <w:t xml:space="preserve"> No se incluyeron en l</w:t>
      </w:r>
      <w:r>
        <w:rPr>
          <w:lang w:val="es-ES_tradnl"/>
        </w:rPr>
        <w:t>a Rendición</w:t>
      </w:r>
      <w:r w:rsidRPr="003811D4">
        <w:rPr>
          <w:lang w:val="es-ES_tradnl"/>
        </w:rPr>
        <w:t xml:space="preserve"> las cuen</w:t>
      </w:r>
      <w:r w:rsidR="00EB29DA">
        <w:rPr>
          <w:lang w:val="es-ES_tradnl"/>
        </w:rPr>
        <w:t>tas del BROU Nº 158-1539-3 y Nº</w:t>
      </w:r>
      <w:r w:rsidRPr="003811D4">
        <w:rPr>
          <w:lang w:val="es-ES_tradnl"/>
        </w:rPr>
        <w:t xml:space="preserve">158-1538-5 cuyos saldos al 31/12/2015 ascienden a $ 14.059 </w:t>
      </w:r>
      <w:r>
        <w:rPr>
          <w:lang w:val="es-ES_tradnl"/>
        </w:rPr>
        <w:t>(</w:t>
      </w:r>
      <w:r w:rsidRPr="003811D4">
        <w:rPr>
          <w:lang w:val="es-ES_tradnl"/>
        </w:rPr>
        <w:t>saldo acreedor</w:t>
      </w:r>
      <w:r>
        <w:rPr>
          <w:lang w:val="es-ES_tradnl"/>
        </w:rPr>
        <w:t>)</w:t>
      </w:r>
      <w:r w:rsidRPr="003811D4">
        <w:rPr>
          <w:lang w:val="es-ES_tradnl"/>
        </w:rPr>
        <w:t xml:space="preserve"> y $ 1.601 respectivamente, las cuales son utilizadas para el depósito de las retenciones efectuadas a los funcionarios por préstamos del BROU.</w:t>
      </w:r>
    </w:p>
    <w:p w:rsidR="009D2F5B" w:rsidRPr="003811D4" w:rsidRDefault="009D2F5B" w:rsidP="003B49A3">
      <w:pPr>
        <w:widowControl w:val="0"/>
        <w:spacing w:line="360" w:lineRule="auto"/>
        <w:jc w:val="both"/>
        <w:outlineLvl w:val="1"/>
        <w:rPr>
          <w:kern w:val="18"/>
        </w:rPr>
      </w:pPr>
      <w:bookmarkStart w:id="19" w:name="_Toc411241475"/>
      <w:bookmarkEnd w:id="18"/>
      <w:r>
        <w:rPr>
          <w:b/>
          <w:kern w:val="18"/>
        </w:rPr>
        <w:t>2</w:t>
      </w:r>
      <w:r w:rsidRPr="003811D4">
        <w:rPr>
          <w:b/>
          <w:kern w:val="18"/>
        </w:rPr>
        <w:t>.</w:t>
      </w:r>
      <w:r>
        <w:rPr>
          <w:b/>
          <w:kern w:val="18"/>
        </w:rPr>
        <w:t>2</w:t>
      </w:r>
      <w:r w:rsidRPr="003811D4">
        <w:rPr>
          <w:b/>
          <w:kern w:val="18"/>
        </w:rPr>
        <w:t xml:space="preserve"> Fondos indisponibles</w:t>
      </w:r>
      <w:bookmarkEnd w:id="19"/>
    </w:p>
    <w:p w:rsidR="009D2F5B" w:rsidRPr="00933C70" w:rsidRDefault="009D2F5B" w:rsidP="00EB771E">
      <w:pPr>
        <w:widowControl w:val="0"/>
        <w:spacing w:line="360" w:lineRule="auto"/>
        <w:jc w:val="both"/>
      </w:pPr>
      <w:r w:rsidRPr="00933C70">
        <w:t>- La Junta Departamental no concilia regularmente las retenciones que efectúa a sus funcionarios por concepto de IRPF con los pagos realizados al Banco de Previsión Social, constatándose diferencias en el cálculo de dicho impuesto. En el Estado Nº 12 Fondos Indisponibles se presenta un saldo a pagar de $93.178 cuando el boleto de pago al BPS correspondiente a las obligaciones de diciembre 2015 es de $ 77.956.</w:t>
      </w:r>
    </w:p>
    <w:p w:rsidR="009D2F5B" w:rsidRPr="003811D4" w:rsidRDefault="009D2F5B" w:rsidP="003B49A3">
      <w:pPr>
        <w:widowControl w:val="0"/>
        <w:spacing w:line="360" w:lineRule="auto"/>
        <w:jc w:val="both"/>
      </w:pPr>
      <w:r>
        <w:t>-</w:t>
      </w:r>
      <w:r w:rsidRPr="003811D4">
        <w:t>En la cuenta “COPOLAC” (Cooperativa Policial de Ahorro y Crédito) se expone un saldo a favor de la Junta al 31/12/2015 de $ 159.779</w:t>
      </w:r>
      <w:r>
        <w:t xml:space="preserve"> </w:t>
      </w:r>
      <w:r w:rsidRPr="003811D4">
        <w:t>y en enero de 2016 se abonó, como saldo del Ejercicio 2015, un importe de $</w:t>
      </w:r>
      <w:r>
        <w:t xml:space="preserve"> </w:t>
      </w:r>
      <w:r w:rsidRPr="003811D4">
        <w:t>20.333.</w:t>
      </w:r>
    </w:p>
    <w:p w:rsidR="009D2F5B" w:rsidRDefault="009D2F5B" w:rsidP="003B49A3">
      <w:pPr>
        <w:widowControl w:val="0"/>
        <w:spacing w:line="360" w:lineRule="auto"/>
        <w:jc w:val="both"/>
      </w:pPr>
      <w:r>
        <w:t>-</w:t>
      </w:r>
      <w:r w:rsidRPr="003811D4">
        <w:t>También en la cuenta “CACCSOE” (Cooperativa de Ahorro y Crédito del Personal Subalterno de las Fuerzas Armadas) se presenta como saldo a favor de la Junta un valor de $ 129.479, mientras que en enero d</w:t>
      </w:r>
      <w:r w:rsidR="002958E5">
        <w:t>e 2016 se abonó un importe de $</w:t>
      </w:r>
      <w:r w:rsidRPr="003811D4">
        <w:t>32.648.</w:t>
      </w:r>
      <w:bookmarkStart w:id="20" w:name="_Toc411241476"/>
    </w:p>
    <w:p w:rsidR="00EB29DA" w:rsidRDefault="00EB29DA" w:rsidP="003B49A3">
      <w:pPr>
        <w:widowControl w:val="0"/>
        <w:spacing w:line="360" w:lineRule="auto"/>
        <w:jc w:val="both"/>
      </w:pPr>
    </w:p>
    <w:p w:rsidR="00EB29DA" w:rsidRDefault="00EB29DA" w:rsidP="003B49A3">
      <w:pPr>
        <w:widowControl w:val="0"/>
        <w:spacing w:line="360" w:lineRule="auto"/>
        <w:jc w:val="both"/>
      </w:pPr>
    </w:p>
    <w:p w:rsidR="009D2F5B" w:rsidRPr="00323F20" w:rsidRDefault="009D2F5B" w:rsidP="003B49A3">
      <w:pPr>
        <w:widowControl w:val="0"/>
        <w:spacing w:line="360" w:lineRule="auto"/>
        <w:jc w:val="both"/>
        <w:outlineLvl w:val="1"/>
        <w:rPr>
          <w:b/>
          <w:kern w:val="18"/>
        </w:rPr>
      </w:pPr>
      <w:bookmarkStart w:id="21" w:name="_Toc278970138"/>
      <w:bookmarkStart w:id="22" w:name="_Toc331077636"/>
      <w:bookmarkStart w:id="23" w:name="_Toc411241477"/>
      <w:bookmarkEnd w:id="20"/>
      <w:r>
        <w:rPr>
          <w:b/>
          <w:kern w:val="18"/>
        </w:rPr>
        <w:lastRenderedPageBreak/>
        <w:t>2</w:t>
      </w:r>
      <w:r w:rsidRPr="00323F20">
        <w:rPr>
          <w:b/>
          <w:kern w:val="18"/>
        </w:rPr>
        <w:t>.</w:t>
      </w:r>
      <w:r>
        <w:rPr>
          <w:b/>
          <w:kern w:val="18"/>
        </w:rPr>
        <w:t xml:space="preserve">3 </w:t>
      </w:r>
      <w:r w:rsidRPr="00323F20">
        <w:rPr>
          <w:b/>
          <w:kern w:val="18"/>
        </w:rPr>
        <w:t>Conciliación de saldos</w:t>
      </w:r>
    </w:p>
    <w:p w:rsidR="009D2F5B" w:rsidRDefault="009D2F5B" w:rsidP="003B49A3">
      <w:pPr>
        <w:widowControl w:val="0"/>
        <w:spacing w:line="360" w:lineRule="auto"/>
        <w:jc w:val="both"/>
      </w:pPr>
      <w:r w:rsidRPr="00323F20">
        <w:t xml:space="preserve">Al igual que en </w:t>
      </w:r>
      <w:r>
        <w:t>E</w:t>
      </w:r>
      <w:r w:rsidRPr="00323F20">
        <w:t xml:space="preserve">jercicios anteriores, la Junta realizó conciliaciones de las partidas recibidas entre sus registros y los de la Intendencia. Según la Corporación, se recibieron $ 24:415.769 mientras que la información obtenida de </w:t>
      </w:r>
      <w:r w:rsidRPr="00323F20">
        <w:rPr>
          <w:spacing w:val="-10"/>
        </w:rPr>
        <w:t>los registros y del documento de Rendición de la Intendencia resu</w:t>
      </w:r>
      <w:r w:rsidR="002958E5">
        <w:rPr>
          <w:spacing w:val="-10"/>
        </w:rPr>
        <w:t>lta como pagado un importe de $</w:t>
      </w:r>
      <w:r w:rsidRPr="00323F20">
        <w:rPr>
          <w:spacing w:val="-10"/>
        </w:rPr>
        <w:t>24:840.932, constatándose una</w:t>
      </w:r>
      <w:r>
        <w:rPr>
          <w:spacing w:val="-10"/>
        </w:rPr>
        <w:t xml:space="preserve"> </w:t>
      </w:r>
      <w:r w:rsidRPr="00323F20">
        <w:t>diferencia de $ 425.</w:t>
      </w:r>
      <w:r>
        <w:t>163.</w:t>
      </w:r>
    </w:p>
    <w:p w:rsidR="009D2F5B" w:rsidRDefault="009D2F5B" w:rsidP="003B49A3">
      <w:pPr>
        <w:widowControl w:val="0"/>
        <w:spacing w:line="360" w:lineRule="auto"/>
        <w:jc w:val="both"/>
      </w:pPr>
    </w:p>
    <w:p w:rsidR="009D2F5B" w:rsidRPr="00AB77EA" w:rsidRDefault="009D2F5B" w:rsidP="003B49A3">
      <w:pPr>
        <w:widowControl w:val="0"/>
        <w:spacing w:line="360" w:lineRule="auto"/>
        <w:jc w:val="both"/>
        <w:outlineLvl w:val="1"/>
        <w:rPr>
          <w:b/>
          <w:kern w:val="18"/>
        </w:rPr>
      </w:pPr>
      <w:r>
        <w:rPr>
          <w:b/>
          <w:kern w:val="18"/>
        </w:rPr>
        <w:t>3</w:t>
      </w:r>
      <w:r w:rsidRPr="00AB77EA">
        <w:rPr>
          <w:b/>
          <w:kern w:val="18"/>
        </w:rPr>
        <w:t xml:space="preserve"> Incumplimiento </w:t>
      </w:r>
      <w:bookmarkEnd w:id="21"/>
      <w:r w:rsidRPr="00AB77EA">
        <w:rPr>
          <w:b/>
          <w:kern w:val="18"/>
        </w:rPr>
        <w:t>de normas</w:t>
      </w:r>
      <w:bookmarkEnd w:id="22"/>
      <w:bookmarkEnd w:id="23"/>
    </w:p>
    <w:p w:rsidR="009D2F5B" w:rsidRPr="00D61793" w:rsidRDefault="009D2F5B" w:rsidP="003B49A3">
      <w:pPr>
        <w:widowControl w:val="0"/>
        <w:spacing w:line="360" w:lineRule="auto"/>
        <w:jc w:val="both"/>
        <w:rPr>
          <w:b/>
        </w:rPr>
      </w:pPr>
      <w:r w:rsidRPr="00AB77EA">
        <w:t>Con relación al incumplimiento de las normas aplicables, corresponde realizar las siguientes precisiones:</w:t>
      </w:r>
    </w:p>
    <w:p w:rsidR="009D2F5B" w:rsidRPr="00AB77EA" w:rsidRDefault="009D2F5B" w:rsidP="003B49A3">
      <w:pPr>
        <w:widowControl w:val="0"/>
        <w:autoSpaceDE w:val="0"/>
        <w:autoSpaceDN w:val="0"/>
        <w:adjustRightInd w:val="0"/>
        <w:spacing w:line="360" w:lineRule="auto"/>
        <w:jc w:val="both"/>
        <w:rPr>
          <w:b/>
          <w:color w:val="000000"/>
        </w:rPr>
      </w:pPr>
      <w:r>
        <w:rPr>
          <w:b/>
          <w:spacing w:val="8"/>
        </w:rPr>
        <w:t>3.1</w:t>
      </w:r>
      <w:r w:rsidRPr="000A6DFE">
        <w:rPr>
          <w:b/>
          <w:spacing w:val="8"/>
        </w:rPr>
        <w:t xml:space="preserve">. </w:t>
      </w:r>
      <w:r w:rsidRPr="000A6DFE">
        <w:rPr>
          <w:b/>
        </w:rPr>
        <w:t>Artículo 34 de la Ley N° 19.210 y Decreto Nº 429/004</w:t>
      </w:r>
    </w:p>
    <w:p w:rsidR="009D2F5B" w:rsidRPr="00AB77EA" w:rsidRDefault="009D2F5B" w:rsidP="003B49A3">
      <w:pPr>
        <w:widowControl w:val="0"/>
        <w:autoSpaceDE w:val="0"/>
        <w:autoSpaceDN w:val="0"/>
        <w:adjustRightInd w:val="0"/>
        <w:spacing w:line="360" w:lineRule="auto"/>
        <w:jc w:val="both"/>
        <w:rPr>
          <w:b/>
          <w:color w:val="000000"/>
        </w:rPr>
      </w:pPr>
      <w:r w:rsidRPr="00AB77EA">
        <w:rPr>
          <w:color w:val="000000"/>
        </w:rPr>
        <w:t>Se abonaron algunas retribuciones personales líquidas por un importe menor al 35% del monto nominal, deducido</w:t>
      </w:r>
      <w:r>
        <w:rPr>
          <w:color w:val="000000"/>
        </w:rPr>
        <w:t>s</w:t>
      </w:r>
      <w:r w:rsidRPr="00AB77EA">
        <w:rPr>
          <w:color w:val="000000"/>
        </w:rPr>
        <w:t xml:space="preserve"> impuesto y cont</w:t>
      </w:r>
      <w:r w:rsidR="002958E5">
        <w:rPr>
          <w:color w:val="000000"/>
        </w:rPr>
        <w:t>ribuciones de seguridad social.</w:t>
      </w:r>
    </w:p>
    <w:p w:rsidR="009D2F5B" w:rsidRPr="00AB77EA" w:rsidRDefault="009D2F5B" w:rsidP="003B49A3">
      <w:pPr>
        <w:widowControl w:val="0"/>
        <w:spacing w:line="360" w:lineRule="auto"/>
        <w:jc w:val="both"/>
        <w:outlineLvl w:val="1"/>
        <w:rPr>
          <w:b/>
          <w:kern w:val="18"/>
        </w:rPr>
      </w:pPr>
      <w:r>
        <w:rPr>
          <w:b/>
          <w:kern w:val="18"/>
        </w:rPr>
        <w:t>3</w:t>
      </w:r>
      <w:r w:rsidRPr="00AB77EA">
        <w:rPr>
          <w:b/>
          <w:kern w:val="18"/>
        </w:rPr>
        <w:t>.</w:t>
      </w:r>
      <w:r>
        <w:rPr>
          <w:b/>
          <w:kern w:val="18"/>
        </w:rPr>
        <w:t xml:space="preserve">2 </w:t>
      </w:r>
      <w:r w:rsidRPr="00AB77EA">
        <w:rPr>
          <w:b/>
          <w:kern w:val="18"/>
        </w:rPr>
        <w:t>Artículo 11.1 del Presupuesto Quinquenal - Compensación Especial</w:t>
      </w:r>
    </w:p>
    <w:p w:rsidR="009D2F5B" w:rsidRPr="00AB77EA" w:rsidRDefault="009D2F5B" w:rsidP="003B49A3">
      <w:pPr>
        <w:widowControl w:val="0"/>
        <w:spacing w:line="360" w:lineRule="auto"/>
        <w:jc w:val="both"/>
      </w:pPr>
      <w:r w:rsidRPr="00AB77EA">
        <w:t xml:space="preserve">Este </w:t>
      </w:r>
      <w:r>
        <w:t>A</w:t>
      </w:r>
      <w:r w:rsidRPr="00AB77EA">
        <w:t>rtículo prevé “una compensación especial” para todos los funcionarios de la Junta que sean designados para la atención de comisiones permanentes o especiales del Cuerpo, o cumplan funciones extraordinarias encomendadas por la Mesa o la Junta. No se liquidará esta partida cuando la comisión sesione dentro del horario habitual del funcionario designado para atenderla.</w:t>
      </w:r>
    </w:p>
    <w:p w:rsidR="009D2F5B" w:rsidRDefault="009D2F5B" w:rsidP="003B49A3">
      <w:pPr>
        <w:widowControl w:val="0"/>
        <w:spacing w:line="360" w:lineRule="auto"/>
        <w:jc w:val="both"/>
      </w:pPr>
      <w:r w:rsidRPr="00AB77EA">
        <w:t xml:space="preserve">Al amparo de este </w:t>
      </w:r>
      <w:r>
        <w:t>A</w:t>
      </w:r>
      <w:r w:rsidRPr="00AB77EA">
        <w:t>rtículo, se constató un pago a lo</w:t>
      </w:r>
      <w:r w:rsidR="00EB29DA">
        <w:t>s funcionarios de la Junta de $</w:t>
      </w:r>
      <w:r>
        <w:t xml:space="preserve">884.867 </w:t>
      </w:r>
      <w:r w:rsidRPr="00AB77EA">
        <w:t>por concepto de compensaciones que no se ajusta a lo establecido en la citada norma debido a que dicha partida se otorgó a la totalidad de los funcionarios. Todos los meses se abona el importe de 8 comisiones por idéntico valor.</w:t>
      </w:r>
    </w:p>
    <w:p w:rsidR="00EB29DA" w:rsidRDefault="00EB29DA" w:rsidP="003B49A3">
      <w:pPr>
        <w:widowControl w:val="0"/>
        <w:spacing w:line="360" w:lineRule="auto"/>
        <w:jc w:val="both"/>
      </w:pPr>
    </w:p>
    <w:p w:rsidR="00EB29DA" w:rsidRPr="00AB77EA" w:rsidRDefault="00EB29DA" w:rsidP="003B49A3">
      <w:pPr>
        <w:widowControl w:val="0"/>
        <w:spacing w:line="360" w:lineRule="auto"/>
        <w:jc w:val="both"/>
      </w:pPr>
    </w:p>
    <w:p w:rsidR="009D2F5B" w:rsidRPr="00AB77EA" w:rsidRDefault="009D2F5B" w:rsidP="003B49A3">
      <w:pPr>
        <w:widowControl w:val="0"/>
        <w:autoSpaceDE w:val="0"/>
        <w:autoSpaceDN w:val="0"/>
        <w:adjustRightInd w:val="0"/>
        <w:spacing w:line="360" w:lineRule="auto"/>
        <w:jc w:val="both"/>
        <w:rPr>
          <w:b/>
        </w:rPr>
      </w:pPr>
      <w:r>
        <w:rPr>
          <w:b/>
          <w:color w:val="000000"/>
        </w:rPr>
        <w:lastRenderedPageBreak/>
        <w:t>3</w:t>
      </w:r>
      <w:r w:rsidRPr="00AB77EA">
        <w:rPr>
          <w:b/>
          <w:color w:val="000000"/>
        </w:rPr>
        <w:t>.</w:t>
      </w:r>
      <w:r>
        <w:rPr>
          <w:b/>
          <w:color w:val="000000"/>
        </w:rPr>
        <w:t>3</w:t>
      </w:r>
      <w:r w:rsidRPr="00AB77EA">
        <w:rPr>
          <w:b/>
          <w:color w:val="000000"/>
        </w:rPr>
        <w:t xml:space="preserve"> </w:t>
      </w:r>
      <w:r w:rsidRPr="00AB77EA">
        <w:rPr>
          <w:b/>
        </w:rPr>
        <w:t>Artículo 33 del TOCAF</w:t>
      </w:r>
    </w:p>
    <w:p w:rsidR="009D2F5B" w:rsidRDefault="009D2F5B" w:rsidP="00F92C40">
      <w:pPr>
        <w:widowControl w:val="0"/>
        <w:autoSpaceDE w:val="0"/>
        <w:autoSpaceDN w:val="0"/>
        <w:adjustRightInd w:val="0"/>
        <w:spacing w:line="360" w:lineRule="auto"/>
        <w:jc w:val="both"/>
      </w:pPr>
      <w:r w:rsidRPr="00AB77EA">
        <w:rPr>
          <w:color w:val="000000"/>
        </w:rPr>
        <w:t>En algunos casos la Junta Departamental realizó contrataciones en forma directa sin haber realizado los procedimientos</w:t>
      </w:r>
      <w:r>
        <w:rPr>
          <w:color w:val="000000"/>
        </w:rPr>
        <w:t xml:space="preserve"> </w:t>
      </w:r>
      <w:r w:rsidRPr="00AB77EA">
        <w:t>de compra que hubieran correspondido de acuerdo con</w:t>
      </w:r>
      <w:r w:rsidR="00EB29DA">
        <w:t xml:space="preserve"> el monto de las adquisiciones.</w:t>
      </w:r>
    </w:p>
    <w:p w:rsidR="009D2F5B" w:rsidRPr="00AB77EA" w:rsidRDefault="009D2F5B" w:rsidP="003B49A3">
      <w:pPr>
        <w:widowControl w:val="0"/>
        <w:spacing w:line="360" w:lineRule="auto"/>
        <w:jc w:val="both"/>
        <w:rPr>
          <w:b/>
        </w:rPr>
      </w:pPr>
      <w:r w:rsidRPr="00843441">
        <w:rPr>
          <w:b/>
        </w:rPr>
        <w:t>3.</w:t>
      </w:r>
      <w:r>
        <w:rPr>
          <w:b/>
        </w:rPr>
        <w:t>4</w:t>
      </w:r>
      <w:r w:rsidRPr="00AB77EA">
        <w:rPr>
          <w:b/>
        </w:rPr>
        <w:t xml:space="preserve"> Artículo 59 del Decreto Nº 26/1986 de la Junta Departamental de Treinta y Tres (Estatuto Funcionario de la Intendencia)</w:t>
      </w:r>
    </w:p>
    <w:p w:rsidR="009D2F5B" w:rsidRPr="00AB77EA" w:rsidRDefault="009D2F5B" w:rsidP="003B49A3">
      <w:pPr>
        <w:widowControl w:val="0"/>
        <w:spacing w:line="360" w:lineRule="auto"/>
        <w:jc w:val="both"/>
        <w:rPr>
          <w:bCs/>
          <w:lang w:val="es-ES_tradnl"/>
        </w:rPr>
      </w:pPr>
      <w:r w:rsidRPr="00AB77EA">
        <w:rPr>
          <w:lang w:val="es-ES_tradnl"/>
        </w:rPr>
        <w:t xml:space="preserve">Al igual que en el </w:t>
      </w:r>
      <w:r>
        <w:rPr>
          <w:lang w:val="es-ES_tradnl"/>
        </w:rPr>
        <w:t>E</w:t>
      </w:r>
      <w:r w:rsidRPr="00AB77EA">
        <w:rPr>
          <w:lang w:val="es-ES_tradnl"/>
        </w:rPr>
        <w:t>jercicio anterior s</w:t>
      </w:r>
      <w:r w:rsidRPr="00AB77EA">
        <w:rPr>
          <w:bCs/>
          <w:lang w:val="es-ES_tradnl"/>
        </w:rPr>
        <w:t>e constató que se abonaron licencias generadas y no gozadas. Además, se canceló con dicha licencia adelantos de sueldos otorgados en meses anteriores.</w:t>
      </w:r>
    </w:p>
    <w:p w:rsidR="009D2F5B" w:rsidRDefault="009D2F5B" w:rsidP="003B49A3">
      <w:pPr>
        <w:widowControl w:val="0"/>
        <w:spacing w:line="360" w:lineRule="auto"/>
        <w:jc w:val="both"/>
      </w:pPr>
      <w:r w:rsidRPr="00AB77EA">
        <w:t>El Artículo 59 del Estatuto del funcionario municipal establece que “excepcionalmente podrá negarse a los funcionarios el uso de su licencia anual, cuando medien razones de servicio imposibles de subsanar, las que en todo caso deberán expresarse en la denegatoria adoptada por el Sr. Intendente Municipal. En tales casos los funcionarios harán uso de licencia anual en la primera oportunidad posible, no bien hayan desaparecido las razones que fundamentaron la denegatoria. Las licencias denegadas</w:t>
      </w:r>
      <w:r>
        <w:t xml:space="preserve"> </w:t>
      </w:r>
      <w:r w:rsidRPr="00AB77EA">
        <w:t>por los motivos expresados en este Artículo se acumularán con la correspondiente al período siguiente. En ningún caso podrán denegarse licencias en forma tal, que se acumulen más de dos períodos anuales. Si por causas excepcionales esto ocurriera</w:t>
      </w:r>
      <w:r>
        <w:t>,</w:t>
      </w:r>
      <w:r w:rsidRPr="00AB77EA">
        <w:t xml:space="preserve"> el funcionario nunca perderá el derecho a las licencias generadas”.</w:t>
      </w:r>
    </w:p>
    <w:p w:rsidR="009D2F5B" w:rsidRPr="00AB77EA" w:rsidRDefault="009D2F5B" w:rsidP="003B49A3">
      <w:pPr>
        <w:widowControl w:val="0"/>
        <w:spacing w:line="360" w:lineRule="auto"/>
        <w:jc w:val="both"/>
        <w:outlineLvl w:val="1"/>
        <w:rPr>
          <w:b/>
          <w:kern w:val="18"/>
        </w:rPr>
      </w:pPr>
      <w:bookmarkStart w:id="24" w:name="_Toc278970151"/>
      <w:bookmarkStart w:id="25" w:name="_Toc331077641"/>
      <w:bookmarkStart w:id="26" w:name="_Toc411241482"/>
      <w:r>
        <w:rPr>
          <w:b/>
          <w:kern w:val="18"/>
        </w:rPr>
        <w:t>4</w:t>
      </w:r>
      <w:r w:rsidRPr="00AB77EA">
        <w:rPr>
          <w:b/>
          <w:kern w:val="18"/>
        </w:rPr>
        <w:t xml:space="preserve"> Control Interno</w:t>
      </w:r>
      <w:bookmarkEnd w:id="24"/>
      <w:bookmarkEnd w:id="25"/>
      <w:bookmarkEnd w:id="26"/>
    </w:p>
    <w:p w:rsidR="009D2F5B" w:rsidRDefault="009D2F5B" w:rsidP="003B49A3">
      <w:pPr>
        <w:widowControl w:val="0"/>
        <w:spacing w:line="360" w:lineRule="auto"/>
        <w:jc w:val="both"/>
        <w:rPr>
          <w:bCs/>
        </w:rPr>
      </w:pPr>
      <w:r>
        <w:rPr>
          <w:b/>
          <w:bCs/>
        </w:rPr>
        <w:t>4</w:t>
      </w:r>
      <w:r w:rsidRPr="00AB77EA">
        <w:rPr>
          <w:b/>
          <w:bCs/>
        </w:rPr>
        <w:t>.1.</w:t>
      </w:r>
      <w:r w:rsidRPr="00AB77EA">
        <w:rPr>
          <w:bCs/>
        </w:rPr>
        <w:t xml:space="preserve"> Se verificó que no se aplican los controles adecuados respecto al cumplimiento del Artículo 6 del Decreto N° 08/1987, de la Junta Departamental por el cual se autoriza a determinados funcionarios así como a los Sres. Ediles, la utilización del vehículo de la Junta Departamental para determinadas situaciones allí especificadas. Además en ningún caso queda constancia de la</w:t>
      </w:r>
      <w:r>
        <w:rPr>
          <w:bCs/>
        </w:rPr>
        <w:t xml:space="preserve"> </w:t>
      </w:r>
      <w:r w:rsidRPr="00AB77EA">
        <w:rPr>
          <w:bCs/>
        </w:rPr>
        <w:t xml:space="preserve">asistencia </w:t>
      </w:r>
      <w:r w:rsidRPr="00AB77EA">
        <w:rPr>
          <w:bCs/>
        </w:rPr>
        <w:lastRenderedPageBreak/>
        <w:t>médica o la “urgente necesidad” a la cual hace referencia la citada norma. Asimismo, se constató la contratación de otros vehículos a particulares no contemplados en el mencionado Decreto.</w:t>
      </w:r>
    </w:p>
    <w:p w:rsidR="009D2F5B" w:rsidRDefault="009D2F5B" w:rsidP="003B49A3">
      <w:pPr>
        <w:widowControl w:val="0"/>
        <w:spacing w:line="360" w:lineRule="auto"/>
        <w:jc w:val="both"/>
        <w:rPr>
          <w:bCs/>
        </w:rPr>
      </w:pPr>
      <w:r>
        <w:rPr>
          <w:b/>
          <w:bCs/>
        </w:rPr>
        <w:t>4</w:t>
      </w:r>
      <w:r w:rsidRPr="00AB77EA">
        <w:rPr>
          <w:b/>
          <w:bCs/>
        </w:rPr>
        <w:t>.</w:t>
      </w:r>
      <w:r>
        <w:rPr>
          <w:b/>
          <w:bCs/>
        </w:rPr>
        <w:t>2</w:t>
      </w:r>
      <w:r w:rsidRPr="00AB77EA">
        <w:rPr>
          <w:b/>
          <w:bCs/>
        </w:rPr>
        <w:t xml:space="preserve"> </w:t>
      </w:r>
      <w:r w:rsidRPr="00AB77EA">
        <w:t>No todas las reposiciones de fondo permanente se realizan adjuntando la documentación de respaldo</w:t>
      </w:r>
      <w:r w:rsidR="00EB29DA">
        <w:rPr>
          <w:bCs/>
        </w:rPr>
        <w:t>.</w:t>
      </w:r>
    </w:p>
    <w:p w:rsidR="009D2F5B" w:rsidRDefault="009D2F5B" w:rsidP="003B49A3">
      <w:pPr>
        <w:widowControl w:val="0"/>
        <w:spacing w:line="360" w:lineRule="auto"/>
        <w:jc w:val="both"/>
      </w:pPr>
      <w:r>
        <w:rPr>
          <w:b/>
        </w:rPr>
        <w:t>4</w:t>
      </w:r>
      <w:r w:rsidRPr="00AB77EA">
        <w:rPr>
          <w:b/>
        </w:rPr>
        <w:t>.</w:t>
      </w:r>
      <w:r>
        <w:rPr>
          <w:b/>
        </w:rPr>
        <w:t>3</w:t>
      </w:r>
      <w:r w:rsidRPr="00AB77EA">
        <w:rPr>
          <w:b/>
        </w:rPr>
        <w:t xml:space="preserve"> </w:t>
      </w:r>
      <w:r w:rsidRPr="00AB77EA">
        <w:t>No se exigen declaraciones juradas como forma de verificar que los funcionarios no perciban otro ingreso de origen público.</w:t>
      </w:r>
      <w:bookmarkStart w:id="27" w:name="_Toc278970152"/>
      <w:bookmarkStart w:id="28" w:name="_Toc331077642"/>
      <w:bookmarkStart w:id="29" w:name="_Toc411241483"/>
    </w:p>
    <w:p w:rsidR="009D2F5B" w:rsidRPr="00AB77EA" w:rsidRDefault="009D2F5B" w:rsidP="003B49A3">
      <w:pPr>
        <w:widowControl w:val="0"/>
        <w:spacing w:line="360" w:lineRule="auto"/>
        <w:jc w:val="both"/>
        <w:outlineLvl w:val="1"/>
        <w:rPr>
          <w:b/>
          <w:kern w:val="18"/>
        </w:rPr>
      </w:pPr>
      <w:r>
        <w:rPr>
          <w:b/>
          <w:kern w:val="18"/>
        </w:rPr>
        <w:t>5</w:t>
      </w:r>
      <w:r w:rsidRPr="00AB77EA">
        <w:rPr>
          <w:b/>
          <w:kern w:val="18"/>
        </w:rPr>
        <w:t xml:space="preserve"> Recomendaciones</w:t>
      </w:r>
      <w:bookmarkEnd w:id="27"/>
      <w:bookmarkEnd w:id="28"/>
      <w:bookmarkEnd w:id="29"/>
    </w:p>
    <w:p w:rsidR="009D2F5B" w:rsidRDefault="009D2F5B" w:rsidP="003B49A3">
      <w:pPr>
        <w:widowControl w:val="0"/>
        <w:spacing w:line="360" w:lineRule="auto"/>
        <w:jc w:val="both"/>
        <w:outlineLvl w:val="1"/>
        <w:rPr>
          <w:b/>
          <w:kern w:val="18"/>
        </w:rPr>
      </w:pPr>
      <w:bookmarkStart w:id="30" w:name="_Toc411241484"/>
      <w:r>
        <w:rPr>
          <w:b/>
          <w:kern w:val="18"/>
        </w:rPr>
        <w:t>5</w:t>
      </w:r>
      <w:r w:rsidRPr="00AB77EA">
        <w:rPr>
          <w:b/>
          <w:kern w:val="18"/>
        </w:rPr>
        <w:t>.1 Recomendaciones del Ejercicio anterior cumplidas</w:t>
      </w:r>
      <w:bookmarkEnd w:id="30"/>
    </w:p>
    <w:p w:rsidR="009D2F5B" w:rsidRDefault="009D2F5B" w:rsidP="003B49A3">
      <w:pPr>
        <w:widowControl w:val="0"/>
        <w:spacing w:line="360" w:lineRule="auto"/>
        <w:ind w:right="-136"/>
        <w:jc w:val="both"/>
      </w:pPr>
      <w:r>
        <w:rPr>
          <w:rFonts w:eastAsia="Arial"/>
          <w:b/>
        </w:rPr>
        <w:t>5.</w:t>
      </w:r>
      <w:r w:rsidRPr="000F1264">
        <w:rPr>
          <w:rFonts w:eastAsia="Arial"/>
          <w:b/>
        </w:rPr>
        <w:t>1.</w:t>
      </w:r>
      <w:r>
        <w:rPr>
          <w:rFonts w:eastAsia="Arial"/>
          <w:b/>
        </w:rPr>
        <w:t>1</w:t>
      </w:r>
      <w:r w:rsidRPr="000F1264">
        <w:rPr>
          <w:rFonts w:eastAsia="Arial"/>
          <w:b/>
        </w:rPr>
        <w:t xml:space="preserve"> Artículo 211 Literal B) de la Constitución de la República: </w:t>
      </w:r>
      <w:r w:rsidRPr="0009182D">
        <w:rPr>
          <w:rFonts w:eastAsia="Arial"/>
        </w:rPr>
        <w:t>Los gastos fueron</w:t>
      </w:r>
      <w:r w:rsidRPr="0009182D">
        <w:t xml:space="preserve"> intervenidos preventivamente por el Tribunal de Cuentas o el Contador Delegado en su caso.</w:t>
      </w:r>
      <w:bookmarkStart w:id="31" w:name="_Toc411241495"/>
    </w:p>
    <w:p w:rsidR="009D2F5B" w:rsidRDefault="009D2F5B" w:rsidP="003B49A3">
      <w:pPr>
        <w:widowControl w:val="0"/>
        <w:spacing w:line="360" w:lineRule="auto"/>
        <w:ind w:right="-136"/>
        <w:jc w:val="both"/>
      </w:pPr>
      <w:r>
        <w:rPr>
          <w:b/>
          <w:bCs/>
        </w:rPr>
        <w:t>5</w:t>
      </w:r>
      <w:r w:rsidRPr="000F1264">
        <w:rPr>
          <w:b/>
          <w:bCs/>
        </w:rPr>
        <w:t>.</w:t>
      </w:r>
      <w:r>
        <w:rPr>
          <w:b/>
          <w:bCs/>
        </w:rPr>
        <w:t xml:space="preserve">1.2 </w:t>
      </w:r>
      <w:r w:rsidRPr="000F1264">
        <w:rPr>
          <w:b/>
          <w:bCs/>
        </w:rPr>
        <w:t xml:space="preserve">Artículo 23 del TOCAF: </w:t>
      </w:r>
      <w:r w:rsidRPr="0009182D">
        <w:t>Los gastos se ejecutaron y se pagaron siendo autorizados por el Ordenador</w:t>
      </w:r>
      <w:r>
        <w:t xml:space="preserve"> </w:t>
      </w:r>
      <w:r w:rsidRPr="0009182D">
        <w:t>competente.</w:t>
      </w:r>
    </w:p>
    <w:p w:rsidR="009D2F5B" w:rsidRDefault="009D2F5B" w:rsidP="003B49A3">
      <w:pPr>
        <w:widowControl w:val="0"/>
        <w:spacing w:line="360" w:lineRule="auto"/>
        <w:jc w:val="both"/>
        <w:outlineLvl w:val="1"/>
        <w:rPr>
          <w:b/>
          <w:kern w:val="18"/>
        </w:rPr>
      </w:pPr>
      <w:bookmarkStart w:id="32" w:name="_Toc141598545"/>
      <w:bookmarkStart w:id="33" w:name="_Toc202002150"/>
      <w:bookmarkStart w:id="34" w:name="_Toc278970158"/>
      <w:bookmarkStart w:id="35" w:name="_Toc331077644"/>
      <w:bookmarkStart w:id="36" w:name="_Toc411241486"/>
      <w:bookmarkEnd w:id="31"/>
      <w:r>
        <w:rPr>
          <w:b/>
          <w:kern w:val="18"/>
        </w:rPr>
        <w:t>5</w:t>
      </w:r>
      <w:r w:rsidRPr="00AB77EA">
        <w:rPr>
          <w:b/>
          <w:kern w:val="18"/>
        </w:rPr>
        <w:t>.2 Recomendaciones del Ejercicio anterior no cumplidas</w:t>
      </w:r>
      <w:bookmarkEnd w:id="32"/>
      <w:bookmarkEnd w:id="33"/>
      <w:bookmarkEnd w:id="34"/>
      <w:bookmarkEnd w:id="35"/>
      <w:bookmarkEnd w:id="36"/>
    </w:p>
    <w:p w:rsidR="009D2F5B" w:rsidRDefault="009D2F5B" w:rsidP="003B49A3">
      <w:pPr>
        <w:widowControl w:val="0"/>
        <w:spacing w:line="360" w:lineRule="auto"/>
        <w:jc w:val="both"/>
        <w:outlineLvl w:val="1"/>
        <w:rPr>
          <w:b/>
        </w:rPr>
      </w:pPr>
      <w:bookmarkStart w:id="37" w:name="_Toc278970160"/>
      <w:bookmarkStart w:id="38" w:name="_Toc331077646"/>
      <w:bookmarkStart w:id="39" w:name="_Toc411241488"/>
      <w:bookmarkStart w:id="40" w:name="_Toc411241487"/>
      <w:r>
        <w:rPr>
          <w:b/>
          <w:spacing w:val="8"/>
        </w:rPr>
        <w:t>5.2.1</w:t>
      </w:r>
      <w:r w:rsidRPr="000A6DFE">
        <w:rPr>
          <w:b/>
          <w:spacing w:val="8"/>
        </w:rPr>
        <w:t xml:space="preserve"> </w:t>
      </w:r>
      <w:r w:rsidRPr="000A6DFE">
        <w:rPr>
          <w:b/>
        </w:rPr>
        <w:t>Artículo 34 de la Ley N° 19.210 y Decreto Nº 429/004</w:t>
      </w:r>
      <w:bookmarkEnd w:id="37"/>
      <w:bookmarkEnd w:id="38"/>
      <w:bookmarkEnd w:id="39"/>
    </w:p>
    <w:p w:rsidR="009D2F5B" w:rsidRPr="00D61793" w:rsidRDefault="009D2F5B" w:rsidP="00A36C6F">
      <w:pPr>
        <w:widowControl w:val="0"/>
        <w:spacing w:line="360" w:lineRule="auto"/>
        <w:jc w:val="both"/>
        <w:outlineLvl w:val="1"/>
      </w:pPr>
      <w:r>
        <w:t>Los descuentos que se realicen a los sueldos deben respetar el monto líquido mínimo establecido por la ley y tener en cuenta las prioridades de descuentos de las retenciones sobre retribuciones salariales</w:t>
      </w:r>
      <w:r w:rsidRPr="00AB77EA">
        <w:t>.</w:t>
      </w:r>
    </w:p>
    <w:p w:rsidR="009D2F5B" w:rsidRPr="00D61793" w:rsidRDefault="009D2F5B" w:rsidP="003B49A3">
      <w:pPr>
        <w:widowControl w:val="0"/>
        <w:spacing w:line="360" w:lineRule="auto"/>
        <w:jc w:val="both"/>
        <w:rPr>
          <w:b/>
        </w:rPr>
      </w:pPr>
      <w:r>
        <w:rPr>
          <w:b/>
        </w:rPr>
        <w:t>5</w:t>
      </w:r>
      <w:r w:rsidRPr="00D61793">
        <w:rPr>
          <w:b/>
        </w:rPr>
        <w:t>.2.</w:t>
      </w:r>
      <w:r>
        <w:rPr>
          <w:b/>
        </w:rPr>
        <w:t>2</w:t>
      </w:r>
      <w:r w:rsidRPr="00D61793">
        <w:rPr>
          <w:b/>
        </w:rPr>
        <w:t xml:space="preserve"> </w:t>
      </w:r>
      <w:r>
        <w:rPr>
          <w:b/>
        </w:rPr>
        <w:t>Artículo 32 de la Ley Nº 11.923</w:t>
      </w:r>
    </w:p>
    <w:p w:rsidR="009D2F5B" w:rsidRPr="00D61793" w:rsidRDefault="009D2F5B" w:rsidP="003B49A3">
      <w:pPr>
        <w:widowControl w:val="0"/>
        <w:spacing w:line="360" w:lineRule="auto"/>
        <w:jc w:val="both"/>
        <w:rPr>
          <w:b/>
          <w:kern w:val="18"/>
        </w:rPr>
      </w:pPr>
      <w:r w:rsidRPr="00D61793">
        <w:t>Se deberán exigir declaraciones juradas como forma de verificar que los funcionarios no perciban otro ingreso de origen público.</w:t>
      </w:r>
    </w:p>
    <w:p w:rsidR="009D2F5B" w:rsidRPr="00D61793" w:rsidRDefault="009D2F5B" w:rsidP="003B49A3">
      <w:pPr>
        <w:widowControl w:val="0"/>
        <w:spacing w:line="360" w:lineRule="auto"/>
        <w:jc w:val="both"/>
        <w:outlineLvl w:val="1"/>
        <w:rPr>
          <w:b/>
          <w:kern w:val="18"/>
        </w:rPr>
      </w:pPr>
      <w:r>
        <w:rPr>
          <w:b/>
          <w:kern w:val="18"/>
        </w:rPr>
        <w:t>5</w:t>
      </w:r>
      <w:r w:rsidRPr="00D61793">
        <w:rPr>
          <w:b/>
          <w:kern w:val="18"/>
        </w:rPr>
        <w:t>.2.</w:t>
      </w:r>
      <w:r>
        <w:rPr>
          <w:b/>
          <w:kern w:val="18"/>
        </w:rPr>
        <w:t>3</w:t>
      </w:r>
      <w:r w:rsidRPr="00D61793">
        <w:rPr>
          <w:b/>
          <w:kern w:val="18"/>
        </w:rPr>
        <w:t xml:space="preserve"> Artículo 20 del TOCAF - Adelanto de sueldos</w:t>
      </w:r>
      <w:bookmarkEnd w:id="40"/>
    </w:p>
    <w:p w:rsidR="009D2F5B" w:rsidRDefault="009D2F5B" w:rsidP="003B49A3">
      <w:pPr>
        <w:widowControl w:val="0"/>
        <w:spacing w:line="360" w:lineRule="auto"/>
        <w:jc w:val="both"/>
      </w:pPr>
      <w:r w:rsidRPr="00D61793">
        <w:t>Sólo podrán otorgarse adelantos de sueldos por el monto de lo generado por servicios ya prestados, a efectos de dar cumplimiento a</w:t>
      </w:r>
      <w:r>
        <w:t>l citado A</w:t>
      </w:r>
      <w:r w:rsidRPr="00D61793">
        <w:t>rtículo.</w:t>
      </w:r>
    </w:p>
    <w:p w:rsidR="00EB29DA" w:rsidRPr="00D61793" w:rsidRDefault="00EB29DA" w:rsidP="003B49A3">
      <w:pPr>
        <w:widowControl w:val="0"/>
        <w:spacing w:line="360" w:lineRule="auto"/>
        <w:jc w:val="both"/>
      </w:pPr>
    </w:p>
    <w:p w:rsidR="009D2F5B" w:rsidRPr="00D61793" w:rsidRDefault="009D2F5B" w:rsidP="003B49A3">
      <w:pPr>
        <w:widowControl w:val="0"/>
        <w:spacing w:line="360" w:lineRule="auto"/>
        <w:jc w:val="both"/>
        <w:outlineLvl w:val="1"/>
        <w:rPr>
          <w:b/>
          <w:kern w:val="18"/>
        </w:rPr>
      </w:pPr>
      <w:bookmarkStart w:id="41" w:name="_Toc278970164"/>
      <w:bookmarkStart w:id="42" w:name="_Toc331077649"/>
      <w:bookmarkStart w:id="43" w:name="_Toc411241490"/>
      <w:r>
        <w:rPr>
          <w:b/>
          <w:kern w:val="18"/>
        </w:rPr>
        <w:lastRenderedPageBreak/>
        <w:t>5</w:t>
      </w:r>
      <w:r w:rsidRPr="00D61793">
        <w:rPr>
          <w:b/>
          <w:kern w:val="18"/>
        </w:rPr>
        <w:t>.2.</w:t>
      </w:r>
      <w:r>
        <w:rPr>
          <w:b/>
          <w:kern w:val="18"/>
        </w:rPr>
        <w:t>4</w:t>
      </w:r>
      <w:r w:rsidRPr="00D61793">
        <w:rPr>
          <w:b/>
          <w:kern w:val="18"/>
        </w:rPr>
        <w:t xml:space="preserve"> </w:t>
      </w:r>
      <w:bookmarkEnd w:id="41"/>
      <w:bookmarkEnd w:id="42"/>
      <w:r w:rsidRPr="00D61793">
        <w:rPr>
          <w:b/>
          <w:kern w:val="18"/>
        </w:rPr>
        <w:t>Artículo 20 del TOCAF</w:t>
      </w:r>
      <w:r>
        <w:rPr>
          <w:b/>
          <w:kern w:val="18"/>
        </w:rPr>
        <w:t>-</w:t>
      </w:r>
      <w:r w:rsidRPr="00D61793">
        <w:rPr>
          <w:b/>
          <w:kern w:val="18"/>
        </w:rPr>
        <w:t xml:space="preserve"> Principio de lo Devengado</w:t>
      </w:r>
      <w:bookmarkEnd w:id="43"/>
    </w:p>
    <w:p w:rsidR="009D2F5B" w:rsidRPr="00D61793" w:rsidRDefault="009D2F5B" w:rsidP="003B49A3">
      <w:pPr>
        <w:widowControl w:val="0"/>
        <w:spacing w:line="360" w:lineRule="auto"/>
        <w:jc w:val="both"/>
      </w:pPr>
      <w:r w:rsidRPr="00D61793">
        <w:t>Se debe aplicar el criterio de lo devengado en la imputación de todos</w:t>
      </w:r>
      <w:r>
        <w:t xml:space="preserve"> los gastos e imputarlos en el E</w:t>
      </w:r>
      <w:r w:rsidRPr="00D61793">
        <w:t>jercicio en que efectivamente se ejecutaron.</w:t>
      </w:r>
    </w:p>
    <w:p w:rsidR="009D2F5B" w:rsidRPr="00D61793" w:rsidRDefault="009D2F5B" w:rsidP="003B49A3">
      <w:pPr>
        <w:widowControl w:val="0"/>
        <w:spacing w:line="360" w:lineRule="auto"/>
        <w:jc w:val="both"/>
        <w:outlineLvl w:val="1"/>
        <w:rPr>
          <w:b/>
          <w:kern w:val="18"/>
        </w:rPr>
      </w:pPr>
      <w:bookmarkStart w:id="44" w:name="_Toc411241494"/>
      <w:r>
        <w:rPr>
          <w:b/>
          <w:kern w:val="18"/>
        </w:rPr>
        <w:t>5</w:t>
      </w:r>
      <w:r w:rsidRPr="00D61793">
        <w:rPr>
          <w:b/>
          <w:kern w:val="18"/>
        </w:rPr>
        <w:t>.2.</w:t>
      </w:r>
      <w:r>
        <w:rPr>
          <w:b/>
          <w:kern w:val="18"/>
        </w:rPr>
        <w:t>5</w:t>
      </w:r>
      <w:r w:rsidRPr="00D61793">
        <w:rPr>
          <w:b/>
          <w:kern w:val="18"/>
        </w:rPr>
        <w:t xml:space="preserve"> Artículos 33 y 43 del TOCAF</w:t>
      </w:r>
      <w:bookmarkEnd w:id="44"/>
    </w:p>
    <w:p w:rsidR="009D2F5B" w:rsidRDefault="009D2F5B" w:rsidP="003B49A3">
      <w:pPr>
        <w:widowControl w:val="0"/>
        <w:spacing w:line="360" w:lineRule="auto"/>
        <w:jc w:val="both"/>
      </w:pPr>
      <w:r w:rsidRPr="00D61793">
        <w:t>Se deberá cumplir con los procedimientos establecidos en el TOCAF al momento de efectuar las compras.</w:t>
      </w:r>
    </w:p>
    <w:p w:rsidR="009D2F5B" w:rsidRPr="00D61793" w:rsidRDefault="009D2F5B" w:rsidP="003B49A3">
      <w:pPr>
        <w:widowControl w:val="0"/>
        <w:spacing w:line="360" w:lineRule="auto"/>
        <w:jc w:val="both"/>
        <w:outlineLvl w:val="1"/>
        <w:rPr>
          <w:b/>
          <w:kern w:val="18"/>
        </w:rPr>
      </w:pPr>
      <w:bookmarkStart w:id="45" w:name="_Toc411241491"/>
      <w:bookmarkStart w:id="46" w:name="_Toc278970166"/>
      <w:bookmarkStart w:id="47" w:name="_Toc331077650"/>
      <w:r>
        <w:rPr>
          <w:b/>
          <w:kern w:val="18"/>
        </w:rPr>
        <w:t>5</w:t>
      </w:r>
      <w:r w:rsidRPr="00D61793">
        <w:rPr>
          <w:b/>
          <w:kern w:val="18"/>
        </w:rPr>
        <w:t>.2.</w:t>
      </w:r>
      <w:r>
        <w:rPr>
          <w:b/>
          <w:kern w:val="18"/>
        </w:rPr>
        <w:t>6</w:t>
      </w:r>
      <w:r w:rsidRPr="00D61793">
        <w:rPr>
          <w:b/>
          <w:kern w:val="18"/>
        </w:rPr>
        <w:t xml:space="preserve"> Artículos 89 y 90 del TOCAF</w:t>
      </w:r>
      <w:bookmarkEnd w:id="45"/>
    </w:p>
    <w:p w:rsidR="009D2F5B" w:rsidRDefault="009D2F5B" w:rsidP="003B49A3">
      <w:pPr>
        <w:widowControl w:val="0"/>
        <w:spacing w:line="360" w:lineRule="auto"/>
        <w:jc w:val="both"/>
      </w:pPr>
      <w:r w:rsidRPr="00D61793">
        <w:t>No se deben utilizar las partidas de fondo permanente para abonar gastos correspondientes a conceptos que no se consideran en su base de cálculo tales como retribuciones personales, cargas sociales y suministros.</w:t>
      </w:r>
    </w:p>
    <w:p w:rsidR="009D2F5B" w:rsidRPr="00D61793" w:rsidRDefault="009D2F5B" w:rsidP="003B49A3">
      <w:pPr>
        <w:widowControl w:val="0"/>
        <w:spacing w:line="360" w:lineRule="auto"/>
        <w:jc w:val="both"/>
        <w:outlineLvl w:val="1"/>
        <w:rPr>
          <w:b/>
          <w:kern w:val="18"/>
        </w:rPr>
      </w:pPr>
      <w:bookmarkStart w:id="48" w:name="_Toc278970161"/>
      <w:bookmarkStart w:id="49" w:name="_Toc331077647"/>
      <w:bookmarkStart w:id="50" w:name="_Toc411241489"/>
      <w:bookmarkEnd w:id="46"/>
      <w:bookmarkEnd w:id="47"/>
      <w:r>
        <w:rPr>
          <w:b/>
          <w:kern w:val="18"/>
        </w:rPr>
        <w:t>5</w:t>
      </w:r>
      <w:r w:rsidRPr="00D61793">
        <w:rPr>
          <w:b/>
          <w:kern w:val="18"/>
        </w:rPr>
        <w:t>.2.</w:t>
      </w:r>
      <w:r>
        <w:rPr>
          <w:b/>
          <w:kern w:val="18"/>
        </w:rPr>
        <w:t>7</w:t>
      </w:r>
      <w:r w:rsidRPr="00D61793">
        <w:rPr>
          <w:b/>
          <w:kern w:val="18"/>
        </w:rPr>
        <w:t xml:space="preserve"> </w:t>
      </w:r>
      <w:bookmarkEnd w:id="48"/>
      <w:bookmarkEnd w:id="49"/>
      <w:r w:rsidRPr="00D61793">
        <w:rPr>
          <w:b/>
          <w:kern w:val="18"/>
        </w:rPr>
        <w:t>Artículo 94 del TOCAF y Ordenanza 81 del Tribunal de Cuentas</w:t>
      </w:r>
      <w:bookmarkEnd w:id="50"/>
    </w:p>
    <w:p w:rsidR="009D2F5B" w:rsidRDefault="009D2F5B" w:rsidP="003B49A3">
      <w:pPr>
        <w:widowControl w:val="0"/>
        <w:spacing w:line="360" w:lineRule="auto"/>
        <w:jc w:val="both"/>
      </w:pPr>
      <w:r w:rsidRPr="00D61793">
        <w:t xml:space="preserve"> </w:t>
      </w:r>
      <w:r>
        <w:t>L</w:t>
      </w:r>
      <w:r w:rsidRPr="00D61793">
        <w:t>a Junta Departamental deberá mantener registros patrimoniales y presentar los Estados Contables correspondientes.</w:t>
      </w:r>
    </w:p>
    <w:p w:rsidR="009D2F5B" w:rsidRPr="00D61793" w:rsidRDefault="009D2F5B" w:rsidP="003B49A3">
      <w:pPr>
        <w:widowControl w:val="0"/>
        <w:spacing w:line="360" w:lineRule="auto"/>
        <w:jc w:val="both"/>
        <w:outlineLvl w:val="1"/>
        <w:rPr>
          <w:b/>
          <w:kern w:val="18"/>
        </w:rPr>
      </w:pPr>
      <w:bookmarkStart w:id="51" w:name="_Toc411241492"/>
      <w:bookmarkStart w:id="52" w:name="_Toc202948931"/>
      <w:bookmarkStart w:id="53" w:name="_Toc278970172"/>
      <w:bookmarkStart w:id="54" w:name="_Toc331077651"/>
      <w:r>
        <w:rPr>
          <w:b/>
          <w:kern w:val="18"/>
        </w:rPr>
        <w:t>5</w:t>
      </w:r>
      <w:r w:rsidRPr="00D61793">
        <w:rPr>
          <w:b/>
          <w:kern w:val="18"/>
        </w:rPr>
        <w:t>.2.</w:t>
      </w:r>
      <w:r>
        <w:rPr>
          <w:b/>
          <w:kern w:val="18"/>
        </w:rPr>
        <w:t>8</w:t>
      </w:r>
      <w:r w:rsidRPr="00D61793">
        <w:rPr>
          <w:b/>
          <w:kern w:val="18"/>
        </w:rPr>
        <w:t xml:space="preserve"> Artículo 132 del TOCAF - Antigüedad de comprobantes pendientes de descargo</w:t>
      </w:r>
      <w:bookmarkEnd w:id="51"/>
    </w:p>
    <w:p w:rsidR="009D2F5B" w:rsidRPr="00D61793" w:rsidRDefault="009D2F5B" w:rsidP="003B49A3">
      <w:pPr>
        <w:widowControl w:val="0"/>
        <w:spacing w:line="360" w:lineRule="auto"/>
        <w:jc w:val="both"/>
      </w:pPr>
      <w:r w:rsidRPr="00D61793">
        <w:t>La Junta Departamental deberá exigir el cumplimiento de los plazos establecidos en la citada norma, respecto a los adelantos de fondos otorgados.</w:t>
      </w:r>
    </w:p>
    <w:p w:rsidR="009D2F5B" w:rsidRPr="00D61793" w:rsidRDefault="009D2F5B" w:rsidP="003B49A3">
      <w:pPr>
        <w:widowControl w:val="0"/>
        <w:spacing w:line="360" w:lineRule="auto"/>
        <w:jc w:val="both"/>
      </w:pPr>
      <w:bookmarkStart w:id="55" w:name="_Toc331077652"/>
      <w:bookmarkEnd w:id="52"/>
      <w:bookmarkEnd w:id="53"/>
      <w:bookmarkEnd w:id="54"/>
      <w:r>
        <w:rPr>
          <w:b/>
        </w:rPr>
        <w:t>5</w:t>
      </w:r>
      <w:r w:rsidRPr="00D61793">
        <w:rPr>
          <w:b/>
        </w:rPr>
        <w:t>.2.</w:t>
      </w:r>
      <w:r>
        <w:rPr>
          <w:b/>
        </w:rPr>
        <w:t>9</w:t>
      </w:r>
      <w:r w:rsidRPr="00D61793">
        <w:rPr>
          <w:b/>
        </w:rPr>
        <w:t xml:space="preserve"> Fondos Indisponibles</w:t>
      </w:r>
    </w:p>
    <w:p w:rsidR="009D2F5B" w:rsidRDefault="009D2F5B" w:rsidP="003B49A3">
      <w:pPr>
        <w:widowControl w:val="0"/>
        <w:spacing w:line="360" w:lineRule="auto"/>
        <w:jc w:val="both"/>
      </w:pPr>
      <w:r w:rsidRPr="00D61793">
        <w:t>La Junta deberá realizar los ajustes que corresp</w:t>
      </w:r>
      <w:r>
        <w:t>ondan.</w:t>
      </w:r>
    </w:p>
    <w:p w:rsidR="009D2F5B" w:rsidRPr="00D61793" w:rsidRDefault="009D2F5B" w:rsidP="003B49A3">
      <w:pPr>
        <w:widowControl w:val="0"/>
        <w:spacing w:line="360" w:lineRule="auto"/>
        <w:jc w:val="both"/>
        <w:rPr>
          <w:b/>
        </w:rPr>
      </w:pPr>
      <w:bookmarkStart w:id="56" w:name="_Toc278970169"/>
      <w:bookmarkStart w:id="57" w:name="_Toc331077654"/>
      <w:bookmarkStart w:id="58" w:name="_Toc411241496"/>
      <w:bookmarkEnd w:id="55"/>
      <w:r>
        <w:rPr>
          <w:b/>
        </w:rPr>
        <w:t>5</w:t>
      </w:r>
      <w:r w:rsidRPr="00D61793">
        <w:rPr>
          <w:b/>
        </w:rPr>
        <w:t>.2.1</w:t>
      </w:r>
      <w:r>
        <w:rPr>
          <w:b/>
        </w:rPr>
        <w:t>0</w:t>
      </w:r>
      <w:r w:rsidRPr="00D61793">
        <w:rPr>
          <w:b/>
        </w:rPr>
        <w:t xml:space="preserve"> Articulo 59 del Decreto N° 26/1986 de la Junta Departamental de Treinta y Tres (Estatuto Funcionario de la Intendencia)</w:t>
      </w:r>
    </w:p>
    <w:p w:rsidR="009D2F5B" w:rsidRDefault="009D2F5B" w:rsidP="003B49A3">
      <w:pPr>
        <w:widowControl w:val="0"/>
        <w:spacing w:line="360" w:lineRule="auto"/>
        <w:jc w:val="both"/>
      </w:pPr>
      <w:r w:rsidRPr="00D61793">
        <w:t>La Junta Departamental no deberá abonar</w:t>
      </w:r>
      <w:r>
        <w:t xml:space="preserve"> </w:t>
      </w:r>
      <w:r w:rsidRPr="00D61793">
        <w:t xml:space="preserve">licencias generadas y no gozadas ni cancelar con </w:t>
      </w:r>
      <w:r>
        <w:t>e</w:t>
      </w:r>
      <w:r w:rsidRPr="00D61793">
        <w:t>stos haberes</w:t>
      </w:r>
      <w:r>
        <w:t>,</w:t>
      </w:r>
      <w:r w:rsidRPr="00D61793">
        <w:t xml:space="preserve"> adelantos de sueldos otorgados. Además, dichos adelantos de sueldos no pueden otorgarse por mayor importe que el generado por la prestación del servici</w:t>
      </w:r>
      <w:r>
        <w:t>o ni acumularse en forma anual.</w:t>
      </w:r>
    </w:p>
    <w:p w:rsidR="00EB29DA" w:rsidRDefault="00EB29DA" w:rsidP="003B49A3">
      <w:pPr>
        <w:widowControl w:val="0"/>
        <w:spacing w:line="360" w:lineRule="auto"/>
        <w:jc w:val="both"/>
      </w:pPr>
    </w:p>
    <w:p w:rsidR="009D2F5B" w:rsidRPr="00D61793" w:rsidRDefault="009D2F5B" w:rsidP="003B49A3">
      <w:pPr>
        <w:widowControl w:val="0"/>
        <w:spacing w:line="360" w:lineRule="auto"/>
        <w:jc w:val="both"/>
        <w:rPr>
          <w:b/>
        </w:rPr>
      </w:pPr>
      <w:bookmarkStart w:id="59" w:name="_Toc278970171"/>
      <w:bookmarkStart w:id="60" w:name="_Toc331077656"/>
      <w:r>
        <w:rPr>
          <w:b/>
        </w:rPr>
        <w:lastRenderedPageBreak/>
        <w:t>5</w:t>
      </w:r>
      <w:r w:rsidRPr="00D61793">
        <w:rPr>
          <w:b/>
        </w:rPr>
        <w:t>.</w:t>
      </w:r>
      <w:r>
        <w:rPr>
          <w:b/>
        </w:rPr>
        <w:t>2</w:t>
      </w:r>
      <w:r w:rsidRPr="00D61793">
        <w:rPr>
          <w:b/>
        </w:rPr>
        <w:t>.1</w:t>
      </w:r>
      <w:bookmarkEnd w:id="59"/>
      <w:bookmarkEnd w:id="60"/>
      <w:r>
        <w:rPr>
          <w:b/>
        </w:rPr>
        <w:t xml:space="preserve">1 </w:t>
      </w:r>
      <w:r w:rsidRPr="00D61793">
        <w:rPr>
          <w:b/>
        </w:rPr>
        <w:t>Artículo 11.1 del Presupuesto Quinquenal 2011-2015 Compensaciones especiales</w:t>
      </w:r>
    </w:p>
    <w:p w:rsidR="009D2F5B" w:rsidRDefault="009D2F5B" w:rsidP="003B49A3">
      <w:pPr>
        <w:widowControl w:val="0"/>
        <w:spacing w:line="360" w:lineRule="auto"/>
        <w:jc w:val="both"/>
      </w:pPr>
      <w:r w:rsidRPr="00D61793">
        <w:t>La Junta Departamental deberá aplicar los controles adecuados a efectos</w:t>
      </w:r>
      <w:r>
        <w:t xml:space="preserve"> de dar cumplimiento al citado A</w:t>
      </w:r>
      <w:r w:rsidRPr="00D61793">
        <w:t>rtículo.</w:t>
      </w:r>
    </w:p>
    <w:p w:rsidR="009D2F5B" w:rsidRPr="00D61793" w:rsidRDefault="009D2F5B" w:rsidP="003B49A3">
      <w:pPr>
        <w:widowControl w:val="0"/>
        <w:spacing w:line="360" w:lineRule="auto"/>
        <w:jc w:val="both"/>
        <w:rPr>
          <w:b/>
        </w:rPr>
      </w:pPr>
      <w:r>
        <w:rPr>
          <w:b/>
        </w:rPr>
        <w:t>5</w:t>
      </w:r>
      <w:r w:rsidRPr="00D61793">
        <w:rPr>
          <w:b/>
        </w:rPr>
        <w:t>.</w:t>
      </w:r>
      <w:r>
        <w:rPr>
          <w:b/>
        </w:rPr>
        <w:t>2</w:t>
      </w:r>
      <w:r w:rsidRPr="00D61793">
        <w:rPr>
          <w:b/>
        </w:rPr>
        <w:t>.</w:t>
      </w:r>
      <w:r>
        <w:rPr>
          <w:b/>
        </w:rPr>
        <w:t>12</w:t>
      </w:r>
      <w:r w:rsidRPr="00D61793">
        <w:rPr>
          <w:b/>
        </w:rPr>
        <w:t xml:space="preserve"> Artículo 6 del Decreto N° 08/1987</w:t>
      </w:r>
    </w:p>
    <w:p w:rsidR="009D2F5B" w:rsidRDefault="009D2F5B" w:rsidP="003B49A3">
      <w:pPr>
        <w:widowControl w:val="0"/>
        <w:spacing w:line="360" w:lineRule="auto"/>
        <w:jc w:val="both"/>
      </w:pPr>
      <w:r w:rsidRPr="00D61793">
        <w:t>Se deberán aplicar los controles adecuados respecto al cumplimiento de la citada norma en oportunidad de utilizar los vehículos de la Corporación o su contratación con par</w:t>
      </w:r>
      <w:r>
        <w:t>ticulares.</w:t>
      </w:r>
    </w:p>
    <w:p w:rsidR="009D2F5B" w:rsidRPr="00D61793" w:rsidRDefault="009D2F5B" w:rsidP="003B49A3">
      <w:pPr>
        <w:widowControl w:val="0"/>
        <w:spacing w:line="360" w:lineRule="auto"/>
        <w:jc w:val="both"/>
      </w:pPr>
      <w:r>
        <w:rPr>
          <w:b/>
        </w:rPr>
        <w:t>5</w:t>
      </w:r>
      <w:r w:rsidRPr="00D61793">
        <w:rPr>
          <w:b/>
        </w:rPr>
        <w:t>.</w:t>
      </w:r>
      <w:r>
        <w:rPr>
          <w:b/>
        </w:rPr>
        <w:t>2</w:t>
      </w:r>
      <w:r w:rsidRPr="00D61793">
        <w:rPr>
          <w:b/>
        </w:rPr>
        <w:t>.</w:t>
      </w:r>
      <w:r>
        <w:rPr>
          <w:b/>
        </w:rPr>
        <w:t xml:space="preserve">13 </w:t>
      </w:r>
      <w:r w:rsidRPr="00D61793">
        <w:rPr>
          <w:b/>
        </w:rPr>
        <w:t>Disponibilidades</w:t>
      </w:r>
    </w:p>
    <w:p w:rsidR="009D2F5B" w:rsidRPr="00D61793" w:rsidRDefault="009D2F5B" w:rsidP="003B49A3">
      <w:pPr>
        <w:widowControl w:val="0"/>
        <w:spacing w:line="360" w:lineRule="auto"/>
        <w:jc w:val="both"/>
      </w:pPr>
      <w:r w:rsidRPr="00D61793">
        <w:t>Se deberá ajustar el saldo de disponibilidades con las partidas conciliatorias que</w:t>
      </w:r>
      <w:r>
        <w:t>,</w:t>
      </w:r>
      <w:r w:rsidRPr="00D61793">
        <w:t xml:space="preserve"> a la fecha</w:t>
      </w:r>
      <w:r>
        <w:t xml:space="preserve">, </w:t>
      </w:r>
      <w:r w:rsidRPr="00D61793">
        <w:t>se encuentran pendientes de regularizar.</w:t>
      </w:r>
    </w:p>
    <w:p w:rsidR="009D2F5B" w:rsidRPr="00D61793" w:rsidRDefault="009D2F5B" w:rsidP="003B49A3">
      <w:pPr>
        <w:widowControl w:val="0"/>
        <w:spacing w:line="360" w:lineRule="auto"/>
        <w:jc w:val="both"/>
      </w:pPr>
      <w:r w:rsidRPr="00D61793">
        <w:t xml:space="preserve">Además, se deberá </w:t>
      </w:r>
      <w:r>
        <w:t xml:space="preserve">incluir </w:t>
      </w:r>
      <w:r w:rsidRPr="00D61793">
        <w:t xml:space="preserve"> en l</w:t>
      </w:r>
      <w:r>
        <w:t>a rendición</w:t>
      </w:r>
      <w:r w:rsidRPr="00D61793">
        <w:t xml:space="preserve"> todas las cuentas bancarias que presenten saldos al 31/12/201</w:t>
      </w:r>
      <w:r>
        <w:t>5</w:t>
      </w:r>
      <w:r w:rsidRPr="00D61793">
        <w:t>.</w:t>
      </w:r>
    </w:p>
    <w:p w:rsidR="009D2F5B" w:rsidRDefault="009D2F5B" w:rsidP="003B49A3">
      <w:pPr>
        <w:widowControl w:val="0"/>
        <w:spacing w:line="360" w:lineRule="auto"/>
        <w:jc w:val="both"/>
      </w:pPr>
      <w:r w:rsidRPr="00D61793">
        <w:t>Asimismo,</w:t>
      </w:r>
      <w:r>
        <w:t xml:space="preserve"> </w:t>
      </w:r>
      <w:r w:rsidRPr="00D61793">
        <w:t xml:space="preserve">las reposiciones de fondo permanente deberán </w:t>
      </w:r>
      <w:r>
        <w:t xml:space="preserve">efectuarse </w:t>
      </w:r>
      <w:r w:rsidRPr="00D61793">
        <w:t xml:space="preserve"> adjuntando toda la documentación de respaldo.</w:t>
      </w:r>
    </w:p>
    <w:p w:rsidR="009D2F5B" w:rsidRPr="00D61793" w:rsidRDefault="009D2F5B" w:rsidP="003B49A3">
      <w:pPr>
        <w:widowControl w:val="0"/>
        <w:spacing w:line="360" w:lineRule="auto"/>
        <w:jc w:val="both"/>
        <w:outlineLvl w:val="1"/>
        <w:rPr>
          <w:b/>
          <w:kern w:val="18"/>
        </w:rPr>
      </w:pPr>
      <w:r>
        <w:rPr>
          <w:b/>
          <w:kern w:val="18"/>
        </w:rPr>
        <w:t>5</w:t>
      </w:r>
      <w:r w:rsidRPr="00D61793">
        <w:rPr>
          <w:b/>
          <w:kern w:val="18"/>
        </w:rPr>
        <w:t>.2.1</w:t>
      </w:r>
      <w:r>
        <w:rPr>
          <w:b/>
          <w:kern w:val="18"/>
        </w:rPr>
        <w:t>4</w:t>
      </w:r>
      <w:r w:rsidRPr="00D61793">
        <w:rPr>
          <w:b/>
          <w:kern w:val="18"/>
        </w:rPr>
        <w:t xml:space="preserve"> Control Interno</w:t>
      </w:r>
      <w:bookmarkEnd w:id="56"/>
      <w:bookmarkEnd w:id="57"/>
      <w:bookmarkEnd w:id="58"/>
    </w:p>
    <w:p w:rsidR="009D2F5B" w:rsidRDefault="009D2F5B" w:rsidP="003B49A3">
      <w:pPr>
        <w:widowControl w:val="0"/>
        <w:spacing w:line="360" w:lineRule="auto"/>
        <w:jc w:val="both"/>
      </w:pPr>
      <w:r w:rsidRPr="00D61793">
        <w:t xml:space="preserve">Se deberán instrumentar los mecanismos necesarios a fin de subsanar las debilidades de control interno señaladas en </w:t>
      </w:r>
      <w:r>
        <w:t>e</w:t>
      </w:r>
      <w:r w:rsidRPr="00D61793">
        <w:t>l numeral 4.</w:t>
      </w:r>
    </w:p>
    <w:p w:rsidR="009D2F5B" w:rsidRPr="001112B3" w:rsidRDefault="009D2F5B" w:rsidP="003B49A3">
      <w:pPr>
        <w:widowControl w:val="0"/>
        <w:spacing w:line="360" w:lineRule="auto"/>
        <w:jc w:val="both"/>
        <w:rPr>
          <w:b/>
          <w:lang w:val="es-ES_tradnl"/>
        </w:rPr>
      </w:pPr>
      <w:r w:rsidRPr="001112B3">
        <w:rPr>
          <w:b/>
          <w:kern w:val="18"/>
        </w:rPr>
        <w:t xml:space="preserve">5.3 </w:t>
      </w:r>
      <w:r w:rsidRPr="001112B3">
        <w:rPr>
          <w:b/>
          <w:lang w:val="es-ES_tradnl"/>
        </w:rPr>
        <w:t>Recomendaciones del Ejercicio</w:t>
      </w:r>
    </w:p>
    <w:p w:rsidR="009D2F5B" w:rsidRDefault="009D2F5B" w:rsidP="003B49A3">
      <w:pPr>
        <w:widowControl w:val="0"/>
        <w:spacing w:line="360" w:lineRule="auto"/>
        <w:jc w:val="both"/>
        <w:rPr>
          <w:bCs/>
          <w:szCs w:val="27"/>
        </w:rPr>
      </w:pPr>
      <w:r w:rsidRPr="00F20E3A">
        <w:rPr>
          <w:bCs/>
          <w:szCs w:val="27"/>
        </w:rPr>
        <w:t xml:space="preserve">Se reiteran las recomendaciones del párrafo </w:t>
      </w:r>
      <w:r>
        <w:rPr>
          <w:bCs/>
          <w:szCs w:val="27"/>
        </w:rPr>
        <w:t>5</w:t>
      </w:r>
      <w:r w:rsidRPr="00F20E3A">
        <w:rPr>
          <w:bCs/>
          <w:szCs w:val="27"/>
        </w:rPr>
        <w:t>.2.</w:t>
      </w:r>
    </w:p>
    <w:p w:rsidR="009D2F5B" w:rsidRDefault="009D2F5B" w:rsidP="003B49A3">
      <w:pPr>
        <w:widowControl w:val="0"/>
        <w:spacing w:line="360" w:lineRule="auto"/>
        <w:jc w:val="right"/>
      </w:pPr>
      <w:r w:rsidRPr="00D61793">
        <w:t>M</w:t>
      </w:r>
      <w:r>
        <w:t>ontevideo 10 de agosto de 2017</w:t>
      </w:r>
    </w:p>
    <w:p w:rsidR="009D2F5B" w:rsidRDefault="009D2F5B" w:rsidP="003B49A3">
      <w:pPr>
        <w:widowControl w:val="0"/>
        <w:spacing w:line="360" w:lineRule="auto"/>
        <w:jc w:val="right"/>
      </w:pPr>
    </w:p>
    <w:p w:rsidR="009D2F5B" w:rsidRDefault="009D2F5B" w:rsidP="003B49A3">
      <w:pPr>
        <w:widowControl w:val="0"/>
        <w:spacing w:line="360" w:lineRule="auto"/>
        <w:jc w:val="right"/>
      </w:pPr>
    </w:p>
    <w:p w:rsidR="009D2F5B" w:rsidRDefault="009D2F5B" w:rsidP="003B49A3">
      <w:pPr>
        <w:widowControl w:val="0"/>
        <w:spacing w:line="360" w:lineRule="auto"/>
        <w:jc w:val="right"/>
      </w:pPr>
    </w:p>
    <w:p w:rsidR="009D2F5B" w:rsidRDefault="009D2F5B" w:rsidP="003B49A3">
      <w:pPr>
        <w:widowControl w:val="0"/>
        <w:spacing w:line="360" w:lineRule="auto"/>
        <w:jc w:val="right"/>
      </w:pPr>
    </w:p>
    <w:p w:rsidR="009D2F5B" w:rsidRPr="009D2F5B" w:rsidRDefault="009D2F5B" w:rsidP="009D2F5B">
      <w:pPr>
        <w:widowControl w:val="0"/>
        <w:spacing w:line="360" w:lineRule="auto"/>
        <w:ind w:hanging="426"/>
      </w:pPr>
      <w:proofErr w:type="gramStart"/>
      <w:r>
        <w:t>dc</w:t>
      </w:r>
      <w:proofErr w:type="gramEnd"/>
    </w:p>
    <w:sectPr w:rsidR="009D2F5B" w:rsidRPr="009D2F5B" w:rsidSect="00A92559">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AE7"/>
    <w:multiLevelType w:val="singleLevel"/>
    <w:tmpl w:val="21CE66C8"/>
    <w:lvl w:ilvl="0">
      <w:start w:val="1"/>
      <w:numFmt w:val="decimal"/>
      <w:lvlText w:val="%1)"/>
      <w:legacy w:legacy="1" w:legacySpace="0" w:legacyIndent="360"/>
      <w:lvlJc w:val="left"/>
      <w:rPr>
        <w:rFonts w:ascii="Arial" w:hAnsi="Arial"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9"/>
    <w:rsid w:val="002958E5"/>
    <w:rsid w:val="00330727"/>
    <w:rsid w:val="009D2F5B"/>
    <w:rsid w:val="009D365A"/>
    <w:rsid w:val="00A26147"/>
    <w:rsid w:val="00A92559"/>
    <w:rsid w:val="00EB29D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59"/>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59"/>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2770</Words>
  <Characters>15373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dcterms:created xsi:type="dcterms:W3CDTF">2017-09-12T16:10:00Z</dcterms:created>
  <dcterms:modified xsi:type="dcterms:W3CDTF">2017-12-04T16:12:00Z</dcterms:modified>
</cp:coreProperties>
</file>