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F9" w:rsidRDefault="00654AF9" w:rsidP="00667762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  <w:proofErr w:type="spellStart"/>
      <w:r>
        <w:rPr>
          <w:rFonts w:cs="Arial"/>
          <w:b/>
          <w:lang w:val="es-ES_tradnl"/>
        </w:rPr>
        <w:t>RES.Nº</w:t>
      </w:r>
      <w:proofErr w:type="spellEnd"/>
      <w:r>
        <w:rPr>
          <w:rFonts w:cs="Arial"/>
          <w:b/>
          <w:lang w:val="es-ES_tradnl"/>
        </w:rPr>
        <w:t xml:space="preserve"> 3476/17</w:t>
      </w:r>
    </w:p>
    <w:p w:rsidR="00667762" w:rsidRPr="00161683" w:rsidRDefault="00667762" w:rsidP="00667762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654AF9" w:rsidRDefault="00654AF9" w:rsidP="00654AF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54AF9" w:rsidRPr="004746D1" w:rsidRDefault="00654AF9" w:rsidP="00654AF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RESOLUCION ADOPTADA POR EL</w:t>
      </w:r>
    </w:p>
    <w:p w:rsidR="00654AF9" w:rsidRPr="004746D1" w:rsidRDefault="00654AF9" w:rsidP="00654AF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54AF9" w:rsidRPr="004746D1" w:rsidRDefault="00654AF9" w:rsidP="00654AF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TRIBUNAL DE CUENTAS</w:t>
      </w:r>
    </w:p>
    <w:p w:rsidR="00654AF9" w:rsidRPr="004746D1" w:rsidRDefault="00654AF9" w:rsidP="00654AF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54AF9" w:rsidRPr="004746D1" w:rsidRDefault="00654AF9" w:rsidP="00654AF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18 </w:t>
      </w:r>
      <w:r w:rsidRPr="00A03CC2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OCTUBRE DE 2017</w:t>
      </w:r>
    </w:p>
    <w:p w:rsidR="00654AF9" w:rsidRPr="004746D1" w:rsidRDefault="00654AF9" w:rsidP="00654AF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54AF9" w:rsidRDefault="00654AF9" w:rsidP="00667762">
      <w:pPr>
        <w:tabs>
          <w:tab w:val="center" w:pos="4253"/>
        </w:tabs>
        <w:suppressAutoHyphens/>
        <w:jc w:val="center"/>
        <w:rPr>
          <w:rFonts w:cs="Arial"/>
          <w:spacing w:val="-3"/>
          <w:lang w:val="es-ES_tradnl"/>
        </w:rPr>
      </w:pPr>
      <w:r>
        <w:rPr>
          <w:rFonts w:cs="Arial"/>
          <w:b/>
          <w:lang w:val="es-ES_tradnl"/>
        </w:rPr>
        <w:t>(</w:t>
      </w:r>
      <w:proofErr w:type="spellStart"/>
      <w:r>
        <w:rPr>
          <w:rFonts w:cs="Arial"/>
          <w:b/>
          <w:lang w:val="es-ES_tradnl"/>
        </w:rPr>
        <w:t>E.E.Nº</w:t>
      </w:r>
      <w:proofErr w:type="spellEnd"/>
      <w:r>
        <w:rPr>
          <w:rFonts w:cs="Arial"/>
          <w:b/>
          <w:lang w:val="es-ES_tradnl"/>
        </w:rPr>
        <w:t xml:space="preserve"> 201</w:t>
      </w:r>
      <w:r w:rsidR="006875D8">
        <w:rPr>
          <w:rFonts w:cs="Arial"/>
          <w:b/>
          <w:lang w:val="es-ES_tradnl"/>
        </w:rPr>
        <w:t>7</w:t>
      </w:r>
      <w:bookmarkStart w:id="0" w:name="_GoBack"/>
      <w:bookmarkEnd w:id="0"/>
      <w:r>
        <w:rPr>
          <w:rFonts w:cs="Arial"/>
          <w:b/>
          <w:lang w:val="es-ES_tradnl"/>
        </w:rPr>
        <w:t>-17-1-0006182</w:t>
      </w:r>
      <w:r w:rsidRPr="004746D1">
        <w:rPr>
          <w:rFonts w:cs="Arial"/>
          <w:b/>
          <w:lang w:val="es-ES_tradnl"/>
        </w:rPr>
        <w:t xml:space="preserve">, </w:t>
      </w:r>
      <w:proofErr w:type="spellStart"/>
      <w:r w:rsidRPr="004746D1">
        <w:rPr>
          <w:rFonts w:cs="Arial"/>
          <w:b/>
          <w:lang w:val="es-ES_tradnl"/>
        </w:rPr>
        <w:t>E</w:t>
      </w:r>
      <w:r>
        <w:rPr>
          <w:rFonts w:cs="Arial"/>
          <w:b/>
          <w:lang w:val="es-ES_tradnl"/>
        </w:rPr>
        <w:t>nt</w:t>
      </w:r>
      <w:r w:rsidRPr="004746D1">
        <w:rPr>
          <w:rFonts w:cs="Arial"/>
          <w:b/>
          <w:lang w:val="es-ES_tradnl"/>
        </w:rPr>
        <w:t>.</w:t>
      </w:r>
      <w:r>
        <w:rPr>
          <w:rFonts w:cs="Arial"/>
          <w:b/>
          <w:lang w:val="es-ES_tradnl"/>
        </w:rPr>
        <w:t>N°</w:t>
      </w:r>
      <w:proofErr w:type="spellEnd"/>
      <w:r>
        <w:rPr>
          <w:rFonts w:cs="Arial"/>
          <w:b/>
          <w:lang w:val="es-ES_tradnl"/>
        </w:rPr>
        <w:t xml:space="preserve"> 4939</w:t>
      </w:r>
      <w:r w:rsidRPr="004746D1">
        <w:rPr>
          <w:rFonts w:cs="Arial"/>
          <w:b/>
          <w:lang w:val="es-ES_tradnl"/>
        </w:rPr>
        <w:t>/</w:t>
      </w:r>
      <w:r>
        <w:rPr>
          <w:rFonts w:cs="Arial"/>
          <w:b/>
          <w:lang w:val="es-ES_tradnl"/>
        </w:rPr>
        <w:t>17</w:t>
      </w:r>
      <w:r w:rsidRPr="004746D1">
        <w:rPr>
          <w:rFonts w:cs="Arial"/>
          <w:b/>
          <w:lang w:val="es-ES_tradnl"/>
        </w:rPr>
        <w:t>)</w:t>
      </w:r>
      <w:r w:rsidRPr="004746D1">
        <w:rPr>
          <w:rFonts w:cs="Arial"/>
          <w:spacing w:val="-3"/>
          <w:lang w:val="es-ES_tradnl"/>
        </w:rPr>
        <w:t xml:space="preserve"> </w:t>
      </w:r>
    </w:p>
    <w:p w:rsidR="00667762" w:rsidRPr="004746D1" w:rsidRDefault="00667762" w:rsidP="00654AF9">
      <w:pPr>
        <w:tabs>
          <w:tab w:val="center" w:pos="4253"/>
        </w:tabs>
        <w:suppressAutoHyphens/>
        <w:spacing w:line="360" w:lineRule="auto"/>
        <w:jc w:val="center"/>
        <w:rPr>
          <w:rFonts w:cs="Arial"/>
          <w:spacing w:val="-3"/>
          <w:lang w:val="es-ES_tradnl"/>
        </w:rPr>
      </w:pPr>
    </w:p>
    <w:p w:rsidR="0066289E" w:rsidRDefault="0066289E" w:rsidP="0066289E">
      <w:pPr>
        <w:jc w:val="center"/>
        <w:rPr>
          <w:b/>
          <w:bCs/>
        </w:rPr>
      </w:pPr>
    </w:p>
    <w:p w:rsidR="0066289E" w:rsidRDefault="0066289E" w:rsidP="00654AF9">
      <w:pPr>
        <w:spacing w:line="360" w:lineRule="auto"/>
        <w:ind w:firstLine="709"/>
        <w:jc w:val="both"/>
        <w:rPr>
          <w:rFonts w:cs="Arial"/>
          <w:lang w:val="es-MX"/>
        </w:rPr>
      </w:pPr>
      <w:r>
        <w:rPr>
          <w:b/>
          <w:bCs/>
        </w:rPr>
        <w:t xml:space="preserve">VISTO: </w:t>
      </w:r>
      <w:r>
        <w:rPr>
          <w:rFonts w:cs="Arial"/>
          <w:lang w:val="es-MX"/>
        </w:rPr>
        <w:t>los antecedentes remitidos por el Ministerio de Ganadería Agricultura y Pesca (MGAP), relac</w:t>
      </w:r>
      <w:r w:rsidR="00654AF9">
        <w:rPr>
          <w:rFonts w:cs="Arial"/>
          <w:lang w:val="es-MX"/>
        </w:rPr>
        <w:t>ionados con la suscripción del C</w:t>
      </w:r>
      <w:r>
        <w:rPr>
          <w:rFonts w:cs="Arial"/>
          <w:lang w:val="es-MX"/>
        </w:rPr>
        <w:t xml:space="preserve">onvenio con el Programa de las Naciones Unidas para el Desarrollo (PNUD), para la ejecución del Proyecto URU/17/001 “Fortalecimiento de las capacidades técnicas y de funcionamiento de la Dirección Nacional de Recursos Acuáticos”; </w:t>
      </w:r>
    </w:p>
    <w:p w:rsidR="003A13B7" w:rsidRDefault="0066289E" w:rsidP="00654AF9">
      <w:pPr>
        <w:spacing w:line="360" w:lineRule="auto"/>
        <w:ind w:firstLine="709"/>
        <w:jc w:val="both"/>
      </w:pPr>
      <w:r>
        <w:rPr>
          <w:b/>
          <w:bCs/>
        </w:rPr>
        <w:t>RESULTANDO:</w:t>
      </w:r>
      <w:r>
        <w:t xml:space="preserve"> </w:t>
      </w:r>
      <w:r>
        <w:rPr>
          <w:b/>
        </w:rPr>
        <w:t>1)</w:t>
      </w:r>
      <w:r>
        <w:t xml:space="preserve"> que el MGAP r</w:t>
      </w:r>
      <w:r w:rsidR="00650324">
        <w:t>emite para a su intervención, dicho</w:t>
      </w:r>
      <w:r>
        <w:t xml:space="preserve"> Proyecto URU/17/001 “</w:t>
      </w:r>
      <w:r>
        <w:rPr>
          <w:rFonts w:cs="Arial"/>
          <w:lang w:val="es-MX"/>
        </w:rPr>
        <w:t>Fortalecimiento de las capacidades técnicas y de funcionamiento de la Dirección Nacional de Recursos Acuáticos</w:t>
      </w:r>
      <w:r w:rsidR="00E16425">
        <w:t xml:space="preserve">”, </w:t>
      </w:r>
      <w:r w:rsidR="00650324">
        <w:t xml:space="preserve">que tiene </w:t>
      </w:r>
      <w:r w:rsidR="00654AF9">
        <w:t xml:space="preserve">por </w:t>
      </w:r>
      <w:r w:rsidR="00650324">
        <w:t>objeto</w:t>
      </w:r>
      <w:r w:rsidR="00654AF9">
        <w:t>,</w:t>
      </w:r>
      <w:r>
        <w:t xml:space="preserve"> contribuir al fortaleci</w:t>
      </w:r>
      <w:r w:rsidR="00057844">
        <w:t>miento de la Direcció</w:t>
      </w:r>
      <w:r>
        <w:t>n N</w:t>
      </w:r>
      <w:r w:rsidR="00057844">
        <w:t>a</w:t>
      </w:r>
      <w:r>
        <w:t>cion</w:t>
      </w:r>
      <w:r w:rsidR="00057844">
        <w:t>al de R</w:t>
      </w:r>
      <w:r>
        <w:t xml:space="preserve">ecursos </w:t>
      </w:r>
      <w:r w:rsidR="00057844">
        <w:t>Acuáticos</w:t>
      </w:r>
      <w:r>
        <w:t xml:space="preserve"> </w:t>
      </w:r>
      <w:r w:rsidR="003A13B7">
        <w:t>(DINARA) del MGAP</w:t>
      </w:r>
      <w:r>
        <w:t xml:space="preserve"> en lo que refi</w:t>
      </w:r>
      <w:r w:rsidR="00057844">
        <w:t>e</w:t>
      </w:r>
      <w:r>
        <w:t>re al liderazg</w:t>
      </w:r>
      <w:r w:rsidR="00057844">
        <w:t>o</w:t>
      </w:r>
      <w:r>
        <w:t xml:space="preserve"> </w:t>
      </w:r>
      <w:r w:rsidR="00057844">
        <w:t xml:space="preserve">y </w:t>
      </w:r>
      <w:r w:rsidR="003A13B7">
        <w:t>planificación</w:t>
      </w:r>
      <w:r w:rsidR="00057844">
        <w:t xml:space="preserve"> de políticas </w:t>
      </w:r>
      <w:r w:rsidR="003A13B7">
        <w:t>pesqueras</w:t>
      </w:r>
      <w:r w:rsidR="00057844">
        <w:t xml:space="preserve"> y al manejo ecosist</w:t>
      </w:r>
      <w:r w:rsidR="003A13B7">
        <w:t>é</w:t>
      </w:r>
      <w:r w:rsidR="00057844">
        <w:t>mico de lo</w:t>
      </w:r>
      <w:r w:rsidR="003A13B7">
        <w:t>s</w:t>
      </w:r>
      <w:r w:rsidR="00057844">
        <w:t xml:space="preserve"> ambientes </w:t>
      </w:r>
      <w:r w:rsidR="003A13B7">
        <w:t>acuáticos;</w:t>
      </w:r>
    </w:p>
    <w:p w:rsidR="00654AF9" w:rsidRDefault="00C2792C" w:rsidP="00654AF9">
      <w:pPr>
        <w:spacing w:line="360" w:lineRule="auto"/>
        <w:ind w:firstLine="2552"/>
        <w:jc w:val="both"/>
      </w:pPr>
      <w:r w:rsidRPr="00BD6756">
        <w:rPr>
          <w:b/>
        </w:rPr>
        <w:t xml:space="preserve">2) </w:t>
      </w:r>
      <w:r w:rsidRPr="00253348">
        <w:t>q</w:t>
      </w:r>
      <w:r>
        <w:t>ue e</w:t>
      </w:r>
      <w:r w:rsidR="00650324">
        <w:t>n tal sentido, para dotar de</w:t>
      </w:r>
      <w:r>
        <w:t xml:space="preserve"> mayor </w:t>
      </w:r>
      <w:r w:rsidR="00BD6756">
        <w:t>sostenibilidad</w:t>
      </w:r>
      <w:r w:rsidR="00654AF9">
        <w:t xml:space="preserve"> a la</w:t>
      </w:r>
      <w:r>
        <w:t xml:space="preserve"> actividad pesquera</w:t>
      </w:r>
      <w:r w:rsidR="001D0083">
        <w:t xml:space="preserve"> en Uruguay, el </w:t>
      </w:r>
      <w:r w:rsidR="00654AF9">
        <w:t>P</w:t>
      </w:r>
      <w:r w:rsidR="001D0083">
        <w:t>royecto apoyará</w:t>
      </w:r>
      <w:r>
        <w:t xml:space="preserve"> a la DINARA en la formulación y ejecución de </w:t>
      </w:r>
      <w:r w:rsidR="00BD6756">
        <w:t>programas</w:t>
      </w:r>
      <w:r>
        <w:t xml:space="preserve"> de investigación en el área de </w:t>
      </w:r>
      <w:r w:rsidR="00BD6756">
        <w:t>los</w:t>
      </w:r>
      <w:r>
        <w:t xml:space="preserve"> recurs</w:t>
      </w:r>
      <w:r w:rsidR="00BD6756">
        <w:t>os</w:t>
      </w:r>
      <w:r>
        <w:t xml:space="preserve"> acuáticos, tendientes a genera</w:t>
      </w:r>
      <w:r w:rsidR="001D0083">
        <w:t>r</w:t>
      </w:r>
      <w:r>
        <w:t xml:space="preserve"> y adaptar tecnologías adecuadas a las necesidades del país y a</w:t>
      </w:r>
      <w:r w:rsidR="00BD6756">
        <w:t xml:space="preserve"> </w:t>
      </w:r>
      <w:r>
        <w:t xml:space="preserve">las condiciones socioeconómicas en torno a la producción </w:t>
      </w:r>
      <w:r w:rsidR="008C5A3E">
        <w:t>y comercialización. Asimismo,</w:t>
      </w:r>
      <w:r>
        <w:t xml:space="preserve"> </w:t>
      </w:r>
      <w:r w:rsidR="00BD6756">
        <w:t>promoverá</w:t>
      </w:r>
      <w:r>
        <w:t xml:space="preserve"> el desarrollo del</w:t>
      </w:r>
      <w:r w:rsidR="00BD6756">
        <w:t xml:space="preserve"> </w:t>
      </w:r>
      <w:r w:rsidR="00414DFD">
        <w:t>acervo científico y tecnológico nacional en el área, a</w:t>
      </w:r>
      <w:r w:rsidR="00BD6756">
        <w:t xml:space="preserve"> través</w:t>
      </w:r>
      <w:r w:rsidR="00414DFD">
        <w:t xml:space="preserve">  de investigaciones y estudios llevado</w:t>
      </w:r>
      <w:r w:rsidR="00270DC5">
        <w:t>s</w:t>
      </w:r>
      <w:r w:rsidR="00414DFD">
        <w:t xml:space="preserve"> adelante por la </w:t>
      </w:r>
      <w:r w:rsidR="00BD6756">
        <w:t>propia</w:t>
      </w:r>
      <w:r w:rsidR="00414DFD">
        <w:t xml:space="preserve"> DINARA y una eficiente coordinación con </w:t>
      </w:r>
      <w:r w:rsidR="00BD6756">
        <w:t>programas</w:t>
      </w:r>
      <w:r w:rsidR="00414DFD">
        <w:t xml:space="preserve"> de investigación que se lleven a cabo</w:t>
      </w:r>
      <w:r w:rsidR="00BD6756">
        <w:t xml:space="preserve"> </w:t>
      </w:r>
      <w:r w:rsidR="00414DFD">
        <w:t xml:space="preserve">a nivel </w:t>
      </w:r>
      <w:r w:rsidR="00BD6756">
        <w:t>público</w:t>
      </w:r>
      <w:r w:rsidR="00414DFD">
        <w:t xml:space="preserve"> o privado</w:t>
      </w:r>
      <w:r w:rsidR="00FE1E25">
        <w:t>;</w:t>
      </w:r>
    </w:p>
    <w:p w:rsidR="00654AF9" w:rsidRDefault="00BD6756" w:rsidP="00654AF9">
      <w:pPr>
        <w:spacing w:line="360" w:lineRule="auto"/>
        <w:ind w:firstLine="2552"/>
        <w:jc w:val="both"/>
      </w:pPr>
      <w:r>
        <w:rPr>
          <w:b/>
        </w:rPr>
        <w:lastRenderedPageBreak/>
        <w:t>3</w:t>
      </w:r>
      <w:r w:rsidR="0066289E" w:rsidRPr="00C771C8">
        <w:rPr>
          <w:b/>
        </w:rPr>
        <w:t>)</w:t>
      </w:r>
      <w:r w:rsidR="0066289E">
        <w:t xml:space="preserve"> que</w:t>
      </w:r>
      <w:r w:rsidR="00654AF9">
        <w:t xml:space="preserve"> se establece que el P</w:t>
      </w:r>
      <w:r w:rsidR="003A13B7">
        <w:t>royecto será implementad</w:t>
      </w:r>
      <w:r w:rsidR="008C5A3E">
        <w:t xml:space="preserve">o por la DINARA/MGAP como Dirección responsable de la gestión de los recursos </w:t>
      </w:r>
      <w:r w:rsidR="009D3D26">
        <w:t>hidrobiológicos</w:t>
      </w:r>
      <w:r w:rsidR="008C5A3E">
        <w:t xml:space="preserve"> y los ecosistemas que los contienen, y tendrá a su cargo </w:t>
      </w:r>
      <w:r w:rsidR="00C2792C">
        <w:t xml:space="preserve">la </w:t>
      </w:r>
      <w:r w:rsidR="00B01243">
        <w:t>planificación</w:t>
      </w:r>
      <w:r w:rsidR="00C2792C">
        <w:t xml:space="preserve"> y gesti</w:t>
      </w:r>
      <w:r w:rsidR="00FE1E25">
        <w:t xml:space="preserve">ón </w:t>
      </w:r>
      <w:r w:rsidR="00C2792C">
        <w:t xml:space="preserve"> general de las actividades del proyecto;</w:t>
      </w:r>
    </w:p>
    <w:p w:rsidR="00654AF9" w:rsidRDefault="00BD6756" w:rsidP="00654AF9">
      <w:pPr>
        <w:spacing w:line="360" w:lineRule="auto"/>
        <w:ind w:firstLine="2552"/>
        <w:jc w:val="both"/>
      </w:pPr>
      <w:r>
        <w:rPr>
          <w:b/>
        </w:rPr>
        <w:t>4</w:t>
      </w:r>
      <w:r w:rsidR="00C2792C" w:rsidRPr="00BD6756">
        <w:rPr>
          <w:b/>
        </w:rPr>
        <w:t>)</w:t>
      </w:r>
      <w:r w:rsidR="00C2792C">
        <w:t xml:space="preserve"> que el Proyecto tendrá un Comité Directivo</w:t>
      </w:r>
      <w:r w:rsidR="00654AF9">
        <w:t>,</w:t>
      </w:r>
      <w:r w:rsidR="00FE1E25" w:rsidRPr="00FE1E25">
        <w:t xml:space="preserve"> </w:t>
      </w:r>
      <w:r w:rsidR="00FE1E25">
        <w:t>el cual tomar</w:t>
      </w:r>
      <w:r w:rsidR="00C843E9">
        <w:t>á</w:t>
      </w:r>
      <w:r w:rsidR="00FE1E25">
        <w:t xml:space="preserve"> la</w:t>
      </w:r>
      <w:r w:rsidR="00C843E9">
        <w:t>s decisiones políticas, revisará</w:t>
      </w:r>
      <w:r w:rsidR="00FE1E25">
        <w:t xml:space="preserve"> el avance del proyecto, aprobará los planes de trabajo y los documentos del proyecto y estará</w:t>
      </w:r>
      <w:r w:rsidR="008C5A3E">
        <w:t xml:space="preserve"> integrado por </w:t>
      </w:r>
      <w:r w:rsidR="00C2792C">
        <w:t xml:space="preserve"> </w:t>
      </w:r>
      <w:r w:rsidR="00FE1E25">
        <w:t>representante</w:t>
      </w:r>
      <w:r w:rsidR="008C5A3E">
        <w:t>s</w:t>
      </w:r>
      <w:r w:rsidR="00FE1E25">
        <w:t xml:space="preserve">  de la DINARA/MGA</w:t>
      </w:r>
      <w:r w:rsidR="00C2792C">
        <w:t xml:space="preserve">P, </w:t>
      </w:r>
      <w:r w:rsidR="00FE1E25">
        <w:t xml:space="preserve">de </w:t>
      </w:r>
      <w:r w:rsidR="00C2792C">
        <w:t xml:space="preserve">la Agencia </w:t>
      </w:r>
      <w:r w:rsidR="00B01243">
        <w:t>Uruguaya</w:t>
      </w:r>
      <w:r w:rsidR="00C2792C">
        <w:t xml:space="preserve"> de </w:t>
      </w:r>
      <w:r w:rsidR="00B01243">
        <w:t>Cooperación</w:t>
      </w:r>
      <w:r w:rsidR="00C2792C">
        <w:t xml:space="preserve"> Internacional (AUCI) y </w:t>
      </w:r>
      <w:r w:rsidR="00654AF9">
        <w:t>del PNUD;</w:t>
      </w:r>
    </w:p>
    <w:p w:rsidR="00654AF9" w:rsidRDefault="00BD6756" w:rsidP="00654AF9">
      <w:pPr>
        <w:spacing w:line="360" w:lineRule="auto"/>
        <w:ind w:firstLine="2552"/>
        <w:jc w:val="both"/>
      </w:pPr>
      <w:r>
        <w:rPr>
          <w:b/>
        </w:rPr>
        <w:t>5</w:t>
      </w:r>
      <w:r w:rsidR="0066289E" w:rsidRPr="00D57360">
        <w:rPr>
          <w:b/>
        </w:rPr>
        <w:t>)</w:t>
      </w:r>
      <w:r w:rsidR="008C5A3E">
        <w:t xml:space="preserve"> que el plazo de vigencia del Proyecto será desde</w:t>
      </w:r>
      <w:r w:rsidR="00253348">
        <w:t xml:space="preserve"> </w:t>
      </w:r>
      <w:r w:rsidR="00A4510A">
        <w:t>mayo</w:t>
      </w:r>
      <w:r w:rsidR="0066289E">
        <w:t xml:space="preserve"> de 201</w:t>
      </w:r>
      <w:r w:rsidR="00A4510A">
        <w:t>7</w:t>
      </w:r>
      <w:r w:rsidR="0066289E">
        <w:t xml:space="preserve"> </w:t>
      </w:r>
      <w:r w:rsidR="00253348">
        <w:t>hasta</w:t>
      </w:r>
      <w:r w:rsidR="0066289E">
        <w:t xml:space="preserve"> </w:t>
      </w:r>
      <w:r w:rsidR="00A4510A">
        <w:t>mayo</w:t>
      </w:r>
      <w:r w:rsidR="0066289E">
        <w:t xml:space="preserve"> de 20</w:t>
      </w:r>
      <w:r w:rsidR="00373693">
        <w:t>21, previéndose una e</w:t>
      </w:r>
      <w:r w:rsidR="00492FA0">
        <w:t>r</w:t>
      </w:r>
      <w:r w:rsidR="00373693">
        <w:t>o</w:t>
      </w:r>
      <w:r w:rsidR="00492FA0">
        <w:t>gació</w:t>
      </w:r>
      <w:r w:rsidR="00373693">
        <w:t xml:space="preserve">n </w:t>
      </w:r>
      <w:r w:rsidR="00B01243">
        <w:t>total a cargo de la DINARA/MGAP de U$S 1</w:t>
      </w:r>
      <w:r w:rsidR="00654AF9">
        <w:t>:</w:t>
      </w:r>
      <w:r w:rsidR="00B01243">
        <w:t>932.098, según el siguiente detalle</w:t>
      </w:r>
      <w:r w:rsidR="00492FA0">
        <w:t xml:space="preserve">: </w:t>
      </w:r>
    </w:p>
    <w:p w:rsidR="00654AF9" w:rsidRDefault="00492FA0" w:rsidP="00654AF9">
      <w:pPr>
        <w:spacing w:line="360" w:lineRule="auto"/>
        <w:jc w:val="both"/>
      </w:pPr>
      <w:r w:rsidRPr="00492FA0">
        <w:rPr>
          <w:b/>
        </w:rPr>
        <w:t>a)</w:t>
      </w:r>
      <w:r w:rsidR="00654AF9">
        <w:t xml:space="preserve"> Ejercicio 2017: U$S 321.887;</w:t>
      </w:r>
    </w:p>
    <w:p w:rsidR="00654AF9" w:rsidRDefault="00492FA0" w:rsidP="00654AF9">
      <w:pPr>
        <w:spacing w:line="360" w:lineRule="auto"/>
        <w:jc w:val="both"/>
      </w:pPr>
      <w:r w:rsidRPr="00492FA0">
        <w:rPr>
          <w:b/>
        </w:rPr>
        <w:t>b)</w:t>
      </w:r>
      <w:r w:rsidR="00654AF9">
        <w:t xml:space="preserve"> Ejercicio 2018: U$S 483.117;</w:t>
      </w:r>
    </w:p>
    <w:p w:rsidR="00654AF9" w:rsidRDefault="00492FA0" w:rsidP="00654AF9">
      <w:pPr>
        <w:spacing w:line="360" w:lineRule="auto"/>
        <w:jc w:val="both"/>
      </w:pPr>
      <w:r w:rsidRPr="00492FA0">
        <w:rPr>
          <w:b/>
        </w:rPr>
        <w:t>c)</w:t>
      </w:r>
      <w:r>
        <w:t xml:space="preserve"> </w:t>
      </w:r>
      <w:r w:rsidR="00654AF9">
        <w:t>Ejercicio 2019: U$S 483.490;</w:t>
      </w:r>
    </w:p>
    <w:p w:rsidR="00654AF9" w:rsidRDefault="00492FA0" w:rsidP="00654AF9">
      <w:pPr>
        <w:spacing w:line="360" w:lineRule="auto"/>
        <w:jc w:val="both"/>
      </w:pPr>
      <w:r w:rsidRPr="00A17820">
        <w:rPr>
          <w:b/>
        </w:rPr>
        <w:t>d)</w:t>
      </w:r>
      <w:r w:rsidR="00654AF9">
        <w:t xml:space="preserve"> E</w:t>
      </w:r>
      <w:r>
        <w:t>jercicio 2020 U$S 482.755</w:t>
      </w:r>
      <w:r w:rsidR="00654AF9">
        <w:t>;</w:t>
      </w:r>
      <w:r>
        <w:t xml:space="preserve"> y </w:t>
      </w:r>
    </w:p>
    <w:p w:rsidR="0066289E" w:rsidRDefault="00492FA0" w:rsidP="00654AF9">
      <w:pPr>
        <w:spacing w:line="360" w:lineRule="auto"/>
        <w:jc w:val="both"/>
      </w:pPr>
      <w:r w:rsidRPr="00B87A5C">
        <w:rPr>
          <w:b/>
        </w:rPr>
        <w:t>e)</w:t>
      </w:r>
      <w:r>
        <w:t xml:space="preserve"> </w:t>
      </w:r>
      <w:r w:rsidR="00654AF9">
        <w:t>E</w:t>
      </w:r>
      <w:r>
        <w:t>jercicio 2021: U$S 160.849</w:t>
      </w:r>
      <w:r w:rsidR="00BD6756">
        <w:t>. Los fondos</w:t>
      </w:r>
      <w:r>
        <w:t xml:space="preserve"> serán depositados durante la </w:t>
      </w:r>
      <w:r w:rsidR="00BD6756">
        <w:t>ejecución</w:t>
      </w:r>
      <w:r>
        <w:t xml:space="preserve"> del </w:t>
      </w:r>
      <w:r w:rsidR="00BD6756">
        <w:t>proyecto</w:t>
      </w:r>
      <w:r>
        <w:t xml:space="preserve"> en las cuentas del PNUD</w:t>
      </w:r>
      <w:r w:rsidR="00654AF9">
        <w:t>,</w:t>
      </w:r>
      <w:r>
        <w:t xml:space="preserve"> de a</w:t>
      </w:r>
      <w:r w:rsidR="008C5A3E">
        <w:t>cuerdo con</w:t>
      </w:r>
      <w:r w:rsidR="00BD6756">
        <w:t xml:space="preserve"> l</w:t>
      </w:r>
      <w:r w:rsidR="00654AF9">
        <w:t>as necesidades financieras del P</w:t>
      </w:r>
      <w:r w:rsidR="00BD6756">
        <w:t>royecto, anticipando los f</w:t>
      </w:r>
      <w:r w:rsidR="00253348">
        <w:t>o</w:t>
      </w:r>
      <w:r w:rsidR="00BD6756">
        <w:t>ndo</w:t>
      </w:r>
      <w:r w:rsidR="00253348">
        <w:t>s</w:t>
      </w:r>
      <w:r w:rsidR="00BD6756">
        <w:t xml:space="preserve"> necesarios para el siguiente semestre</w:t>
      </w:r>
      <w:r w:rsidR="0066289E">
        <w:t>;</w:t>
      </w:r>
    </w:p>
    <w:p w:rsidR="00A17820" w:rsidRDefault="00270DC5" w:rsidP="00654AF9">
      <w:pPr>
        <w:tabs>
          <w:tab w:val="left" w:pos="1843"/>
        </w:tabs>
        <w:spacing w:line="360" w:lineRule="auto"/>
        <w:ind w:firstLine="2552"/>
        <w:jc w:val="both"/>
        <w:rPr>
          <w:rFonts w:cs="Arial"/>
          <w:lang w:val="es-MX"/>
        </w:rPr>
      </w:pPr>
      <w:r>
        <w:rPr>
          <w:b/>
        </w:rPr>
        <w:t>6</w:t>
      </w:r>
      <w:r w:rsidR="0066289E" w:rsidRPr="005E6B99">
        <w:rPr>
          <w:b/>
        </w:rPr>
        <w:t>)</w:t>
      </w:r>
      <w:r w:rsidR="0066289E">
        <w:t xml:space="preserve"> que</w:t>
      </w:r>
      <w:r w:rsidR="00BD6756">
        <w:t xml:space="preserve"> </w:t>
      </w:r>
      <w:r w:rsidR="0066289E">
        <w:t xml:space="preserve">se adjunta </w:t>
      </w:r>
      <w:r w:rsidR="00654AF9">
        <w:t>P</w:t>
      </w:r>
      <w:r w:rsidR="0066289E">
        <w:t xml:space="preserve">royecto de </w:t>
      </w:r>
      <w:r w:rsidR="00FE1E25">
        <w:t>R</w:t>
      </w:r>
      <w:r w:rsidR="0066289E">
        <w:t xml:space="preserve">esolución del </w:t>
      </w:r>
      <w:r w:rsidR="00BD6756">
        <w:t>Director N</w:t>
      </w:r>
      <w:r w:rsidR="00A17820">
        <w:t>a</w:t>
      </w:r>
      <w:r w:rsidR="00BD6756">
        <w:t>cional</w:t>
      </w:r>
      <w:r w:rsidR="00A17820">
        <w:t xml:space="preserve"> </w:t>
      </w:r>
      <w:r w:rsidR="00BD6756">
        <w:t>de Re</w:t>
      </w:r>
      <w:r w:rsidR="00A17820">
        <w:t xml:space="preserve">cursos </w:t>
      </w:r>
      <w:r>
        <w:t>Acuáticos</w:t>
      </w:r>
      <w:r w:rsidR="0066289E">
        <w:t>, por el cual se autoriza</w:t>
      </w:r>
      <w:r w:rsidR="00C843E9">
        <w:t>,</w:t>
      </w:r>
      <w:r w:rsidR="0066289E">
        <w:t xml:space="preserve"> </w:t>
      </w:r>
      <w:r w:rsidR="00A17820">
        <w:t xml:space="preserve">ad referéndum de la intervención de este Tribunal, la </w:t>
      </w:r>
      <w:r>
        <w:t>transferencia</w:t>
      </w:r>
      <w:r w:rsidR="00A17820">
        <w:t xml:space="preserve"> de fondos al PNUD </w:t>
      </w:r>
      <w:r w:rsidR="00A17820">
        <w:rPr>
          <w:rFonts w:cs="Arial"/>
          <w:lang w:val="es-MX"/>
        </w:rPr>
        <w:t xml:space="preserve">para la </w:t>
      </w:r>
      <w:r>
        <w:rPr>
          <w:rFonts w:cs="Arial"/>
          <w:lang w:val="es-MX"/>
        </w:rPr>
        <w:t>implementación</w:t>
      </w:r>
      <w:r w:rsidR="00A17820">
        <w:rPr>
          <w:rFonts w:cs="Arial"/>
          <w:lang w:val="es-MX"/>
        </w:rPr>
        <w:t xml:space="preserve"> del Proyecto URU/17/001 “Fortalecimiento de las capacidades técnicas y de funcionamiento de la Dirección Nacional de Recursos Acuáticos” por el monto de U$S 321.887, el cual se atenderá con cargo al Pr</w:t>
      </w:r>
      <w:r>
        <w:rPr>
          <w:rFonts w:cs="Arial"/>
          <w:lang w:val="es-MX"/>
        </w:rPr>
        <w:t>o</w:t>
      </w:r>
      <w:r w:rsidR="00A17820">
        <w:rPr>
          <w:rFonts w:cs="Arial"/>
          <w:lang w:val="es-MX"/>
        </w:rPr>
        <w:t>gram</w:t>
      </w:r>
      <w:r>
        <w:rPr>
          <w:rFonts w:cs="Arial"/>
          <w:lang w:val="es-MX"/>
        </w:rPr>
        <w:t>a</w:t>
      </w:r>
      <w:r w:rsidR="00A17820">
        <w:rPr>
          <w:rFonts w:cs="Arial"/>
          <w:lang w:val="es-MX"/>
        </w:rPr>
        <w:t xml:space="preserve"> 322, Proyecto 208, Objeto del gasto 551</w:t>
      </w:r>
      <w:r w:rsidR="00654AF9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”Cient</w:t>
      </w:r>
      <w:r w:rsidR="00654AF9">
        <w:rPr>
          <w:rFonts w:cs="Arial"/>
          <w:lang w:val="es-MX"/>
        </w:rPr>
        <w:t>í</w:t>
      </w:r>
      <w:r>
        <w:rPr>
          <w:rFonts w:cs="Arial"/>
          <w:lang w:val="es-MX"/>
        </w:rPr>
        <w:t>ficas y de investigación”</w:t>
      </w:r>
      <w:r w:rsidR="00A17820">
        <w:rPr>
          <w:rFonts w:cs="Arial"/>
          <w:lang w:val="es-MX"/>
        </w:rPr>
        <w:t>, Financiacion1.1;</w:t>
      </w:r>
    </w:p>
    <w:p w:rsidR="00C933DA" w:rsidRPr="005706C4" w:rsidRDefault="0066289E" w:rsidP="00654AF9">
      <w:pPr>
        <w:spacing w:line="360" w:lineRule="auto"/>
        <w:ind w:firstLine="709"/>
        <w:jc w:val="both"/>
      </w:pPr>
      <w:r>
        <w:rPr>
          <w:b/>
          <w:bCs/>
        </w:rPr>
        <w:t>CONSIDERANDO</w:t>
      </w:r>
      <w:r w:rsidRPr="009D4F48">
        <w:rPr>
          <w:b/>
          <w:bCs/>
        </w:rPr>
        <w:t>:</w:t>
      </w:r>
      <w:r w:rsidRPr="009D4F48">
        <w:rPr>
          <w:b/>
        </w:rPr>
        <w:t xml:space="preserve"> 1)</w:t>
      </w:r>
      <w:r>
        <w:t xml:space="preserve"> que de conformidad con lo dispuest</w:t>
      </w:r>
      <w:r w:rsidR="008C5A3E">
        <w:t xml:space="preserve">o por el </w:t>
      </w:r>
      <w:r w:rsidR="00654AF9">
        <w:t>Inciso segundo del A</w:t>
      </w:r>
      <w:r w:rsidR="008C5A3E">
        <w:t>rtículo</w:t>
      </w:r>
      <w:r>
        <w:t xml:space="preserve"> 145 de la Ley </w:t>
      </w:r>
      <w:r w:rsidR="008C5A3E">
        <w:t xml:space="preserve"> Nº </w:t>
      </w:r>
      <w:r>
        <w:t>15.851</w:t>
      </w:r>
      <w:r w:rsidR="008C5A3E">
        <w:t xml:space="preserve"> de </w:t>
      </w:r>
      <w:r w:rsidR="00C933DA">
        <w:t>24/12/1986</w:t>
      </w:r>
      <w:r>
        <w:t xml:space="preserve">, </w:t>
      </w:r>
      <w:r w:rsidR="00C933DA">
        <w:t>“</w:t>
      </w:r>
      <w:r w:rsidR="00C933DA" w:rsidRPr="00C933DA">
        <w:rPr>
          <w:i/>
        </w:rPr>
        <w:t xml:space="preserve">no requieren </w:t>
      </w:r>
      <w:r w:rsidR="00C933DA" w:rsidRPr="00C933DA">
        <w:rPr>
          <w:i/>
        </w:rPr>
        <w:lastRenderedPageBreak/>
        <w:t>ratificación legislativa los convenios o contratos que el Poder Ejecutivo, los Entes Autónomos y Servicios Descentralizados celebren con organismos internacionales de los que el país forma parte”</w:t>
      </w:r>
      <w:r w:rsidR="005706C4">
        <w:t xml:space="preserve">, pero deberá darse cuenta a la Asamblea General </w:t>
      </w:r>
      <w:r w:rsidR="005706C4" w:rsidRPr="005706C4">
        <w:rPr>
          <w:i/>
        </w:rPr>
        <w:t>“dentro de los diez días de su celebración”;</w:t>
      </w:r>
    </w:p>
    <w:p w:rsidR="005F00F9" w:rsidRDefault="005F00F9" w:rsidP="00654AF9">
      <w:pPr>
        <w:tabs>
          <w:tab w:val="left" w:pos="2268"/>
        </w:tabs>
        <w:spacing w:line="360" w:lineRule="auto"/>
        <w:ind w:firstLine="2835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 xml:space="preserve">2) </w:t>
      </w:r>
      <w:r>
        <w:rPr>
          <w:rFonts w:cs="Arial"/>
          <w:lang w:val="es-MX"/>
        </w:rPr>
        <w:t xml:space="preserve">que </w:t>
      </w:r>
      <w:r w:rsidR="00EF62E4">
        <w:rPr>
          <w:rFonts w:cs="Arial"/>
          <w:lang w:val="es-MX"/>
        </w:rPr>
        <w:t xml:space="preserve">el Decreto Ley </w:t>
      </w:r>
      <w:r w:rsidR="00C933DA">
        <w:rPr>
          <w:rFonts w:cs="Arial"/>
          <w:lang w:val="es-MX"/>
        </w:rPr>
        <w:t xml:space="preserve">Nº </w:t>
      </w:r>
      <w:r w:rsidR="00EF62E4">
        <w:rPr>
          <w:rFonts w:cs="Arial"/>
          <w:lang w:val="es-MX"/>
        </w:rPr>
        <w:t xml:space="preserve">14.484 del 18/12/1975, </w:t>
      </w:r>
      <w:r w:rsidR="00C933DA">
        <w:rPr>
          <w:rFonts w:cs="Arial"/>
          <w:lang w:val="es-MX"/>
        </w:rPr>
        <w:t>dispone que</w:t>
      </w:r>
      <w:r w:rsidR="00EF62E4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la Dirección Nacional de Recursos Acuáticos </w:t>
      </w:r>
      <w:r w:rsidR="00EF62E4">
        <w:rPr>
          <w:rFonts w:cs="Arial"/>
          <w:lang w:val="es-MX"/>
        </w:rPr>
        <w:t xml:space="preserve">del Ministerio de Ganadería Agricultura y Pesca </w:t>
      </w:r>
      <w:r>
        <w:rPr>
          <w:rFonts w:cs="Arial"/>
          <w:lang w:val="es-MX"/>
        </w:rPr>
        <w:t xml:space="preserve"> tiene a su cargo la orientación, asesoramiento, fomento, desarrollo y control en todos sus aspectos, de la actividad pesquera e industrias derivadas, tanto en el plano privado como público, a nivel nacional y local. A tales efectos, le compete, proyectar el ejercicio de las actividades en el sector público y privado a fin de proteger, conservar y desarrollar los recursos de la pesca y caza acuática y regular la captura, explotación, manipuleo, transporte, distribución, industrialización y comercialización de aquellas actividades y productos derivados, con destino al mercado interno o a la exportación, y fiscalizar el cumplimiento de las reglamentaciones pertinentes;</w:t>
      </w:r>
    </w:p>
    <w:p w:rsidR="005F00F9" w:rsidRPr="006C0D48" w:rsidRDefault="005F00F9" w:rsidP="00654AF9">
      <w:pPr>
        <w:spacing w:line="360" w:lineRule="auto"/>
        <w:ind w:firstLine="2835"/>
        <w:jc w:val="both"/>
        <w:rPr>
          <w:rFonts w:cs="Arial"/>
          <w:bCs/>
        </w:rPr>
      </w:pPr>
      <w:r>
        <w:rPr>
          <w:b/>
          <w:bCs/>
        </w:rPr>
        <w:t xml:space="preserve">3) </w:t>
      </w:r>
      <w:r>
        <w:rPr>
          <w:rFonts w:cs="Arial"/>
          <w:bCs/>
        </w:rPr>
        <w:t>que e</w:t>
      </w:r>
      <w:r w:rsidRPr="006C0D48">
        <w:rPr>
          <w:rFonts w:cs="Arial"/>
          <w:bCs/>
        </w:rPr>
        <w:t>l Programa de las Naciones Unidas para el Desarrollo (PNUD)</w:t>
      </w:r>
      <w:r>
        <w:rPr>
          <w:rFonts w:cs="Arial"/>
          <w:bCs/>
        </w:rPr>
        <w:t>,</w:t>
      </w:r>
      <w:r w:rsidR="005706C4">
        <w:rPr>
          <w:rFonts w:cs="Arial"/>
          <w:bCs/>
        </w:rPr>
        <w:t xml:space="preserve"> es un organismo </w:t>
      </w:r>
      <w:r w:rsidRPr="006C0D48">
        <w:rPr>
          <w:rFonts w:cs="Arial"/>
          <w:bCs/>
        </w:rPr>
        <w:t>de las Naciones Unidas</w:t>
      </w:r>
      <w:r w:rsidR="00C933DA">
        <w:rPr>
          <w:rFonts w:cs="Arial"/>
          <w:bCs/>
        </w:rPr>
        <w:t xml:space="preserve"> que el país integra</w:t>
      </w:r>
      <w:r w:rsidR="00C843E9">
        <w:rPr>
          <w:rFonts w:cs="Arial"/>
          <w:bCs/>
        </w:rPr>
        <w:t>,</w:t>
      </w:r>
      <w:r w:rsidR="005706C4">
        <w:rPr>
          <w:rFonts w:cs="Arial"/>
          <w:bCs/>
        </w:rPr>
        <w:t xml:space="preserve"> destinado a</w:t>
      </w:r>
      <w:r w:rsidR="00C933DA">
        <w:rPr>
          <w:rFonts w:cs="Arial"/>
          <w:bCs/>
        </w:rPr>
        <w:t xml:space="preserve"> la promoción del </w:t>
      </w:r>
      <w:r w:rsidRPr="006C0D48">
        <w:rPr>
          <w:rFonts w:cs="Arial"/>
          <w:bCs/>
        </w:rPr>
        <w:t>desarrollo</w:t>
      </w:r>
      <w:r w:rsidR="005706C4">
        <w:rPr>
          <w:rFonts w:cs="Arial"/>
          <w:bCs/>
        </w:rPr>
        <w:t>, que</w:t>
      </w:r>
      <w:r>
        <w:rPr>
          <w:rFonts w:cs="Arial"/>
          <w:bCs/>
        </w:rPr>
        <w:t xml:space="preserve"> tiene</w:t>
      </w:r>
      <w:r w:rsidR="00C933DA">
        <w:rPr>
          <w:rFonts w:cs="Arial"/>
          <w:bCs/>
        </w:rPr>
        <w:t xml:space="preserve"> entre sus </w:t>
      </w:r>
      <w:r>
        <w:rPr>
          <w:rFonts w:cs="Arial"/>
          <w:bCs/>
        </w:rPr>
        <w:t xml:space="preserve">objetivos, la promoción de </w:t>
      </w:r>
      <w:r w:rsidRPr="006C0D48">
        <w:rPr>
          <w:rFonts w:cs="Arial"/>
          <w:bCs/>
        </w:rPr>
        <w:t xml:space="preserve">los derechos </w:t>
      </w:r>
      <w:r>
        <w:rPr>
          <w:rFonts w:cs="Arial"/>
          <w:bCs/>
        </w:rPr>
        <w:t xml:space="preserve">humanos y la equidad de género, brindando </w:t>
      </w:r>
      <w:r w:rsidRPr="006C0D48">
        <w:rPr>
          <w:rFonts w:cs="Arial"/>
          <w:bCs/>
        </w:rPr>
        <w:t xml:space="preserve">asistencia técnica a fin de alcanzar un desarrollo humano sostenible teniendo en cuenta las prioridades de cada </w:t>
      </w:r>
      <w:r w:rsidR="00FE1E25">
        <w:rPr>
          <w:rFonts w:cs="Arial"/>
          <w:bCs/>
        </w:rPr>
        <w:t>N</w:t>
      </w:r>
      <w:r w:rsidRPr="006C0D48">
        <w:rPr>
          <w:rFonts w:cs="Arial"/>
          <w:bCs/>
        </w:rPr>
        <w:t>ación</w:t>
      </w:r>
      <w:r>
        <w:rPr>
          <w:rFonts w:cs="Arial"/>
          <w:bCs/>
        </w:rPr>
        <w:t>;</w:t>
      </w:r>
    </w:p>
    <w:p w:rsidR="0066289E" w:rsidRDefault="0066289E" w:rsidP="00654AF9">
      <w:pPr>
        <w:spacing w:line="360" w:lineRule="auto"/>
        <w:ind w:firstLine="709"/>
        <w:jc w:val="both"/>
      </w:pPr>
      <w:r>
        <w:rPr>
          <w:b/>
          <w:bCs/>
        </w:rPr>
        <w:t>ATENTO:</w:t>
      </w:r>
      <w:r>
        <w:t xml:space="preserve"> a lo dispuesto por el </w:t>
      </w:r>
      <w:r w:rsidR="00667762">
        <w:t>A</w:t>
      </w:r>
      <w:r>
        <w:t xml:space="preserve">rtículo 211 </w:t>
      </w:r>
      <w:r w:rsidR="00667762">
        <w:t>L</w:t>
      </w:r>
      <w:r>
        <w:t>it</w:t>
      </w:r>
      <w:r w:rsidR="00667762">
        <w:t>.</w:t>
      </w:r>
      <w:r>
        <w:t xml:space="preserve"> B) de la Constitución de la República; </w:t>
      </w:r>
    </w:p>
    <w:p w:rsidR="0066289E" w:rsidRPr="00457F06" w:rsidRDefault="0066289E" w:rsidP="00C843E9">
      <w:pPr>
        <w:pStyle w:val="Ttulo1"/>
        <w:spacing w:line="360" w:lineRule="auto"/>
      </w:pPr>
      <w:r w:rsidRPr="00C933DA">
        <w:rPr>
          <w:rFonts w:ascii="Arial" w:hAnsi="Arial" w:cs="Arial"/>
        </w:rPr>
        <w:t>EL TRIBUNAL ACUERDA</w:t>
      </w:r>
    </w:p>
    <w:p w:rsidR="005706C4" w:rsidRPr="0060696E" w:rsidRDefault="0060696E" w:rsidP="0060696E">
      <w:pPr>
        <w:spacing w:line="360" w:lineRule="auto"/>
        <w:ind w:left="284" w:hanging="284"/>
        <w:jc w:val="both"/>
        <w:rPr>
          <w:rFonts w:cs="Arial"/>
          <w:lang w:val="es-MX"/>
        </w:rPr>
      </w:pPr>
      <w:r>
        <w:rPr>
          <w:b/>
        </w:rPr>
        <w:t xml:space="preserve">1) </w:t>
      </w:r>
      <w:r w:rsidR="0066289E">
        <w:t xml:space="preserve">No formular observaciones al </w:t>
      </w:r>
      <w:r w:rsidR="00253348" w:rsidRPr="0060696E">
        <w:rPr>
          <w:rFonts w:cs="Arial"/>
          <w:lang w:val="es-MX"/>
        </w:rPr>
        <w:t>Proyecto URU/17/001 “Fortalecimiento de las capacidades técnicas y de funcionamiento de la Dirección Nacional de Recursos Acuáticos”</w:t>
      </w:r>
      <w:r w:rsidR="0066289E">
        <w:t xml:space="preserve">, a suscribir entre </w:t>
      </w:r>
      <w:r w:rsidR="00253348" w:rsidRPr="0060696E">
        <w:rPr>
          <w:rFonts w:cs="Arial"/>
          <w:lang w:val="es-MX"/>
        </w:rPr>
        <w:t>el Ministerio de Ganadería Agricultura y Pesca y el Programa de las Naciones Unidas para el Desarrollo;</w:t>
      </w:r>
    </w:p>
    <w:p w:rsidR="00667762" w:rsidRPr="00253348" w:rsidRDefault="00667762" w:rsidP="00667762">
      <w:pPr>
        <w:spacing w:line="360" w:lineRule="auto"/>
        <w:jc w:val="both"/>
      </w:pPr>
    </w:p>
    <w:p w:rsidR="003A39A3" w:rsidRDefault="00667762" w:rsidP="00667762">
      <w:pPr>
        <w:spacing w:line="360" w:lineRule="auto"/>
        <w:ind w:left="284" w:hanging="284"/>
        <w:jc w:val="both"/>
      </w:pPr>
      <w:r>
        <w:rPr>
          <w:rFonts w:cs="Arial"/>
          <w:b/>
          <w:lang w:val="es-MX"/>
        </w:rPr>
        <w:lastRenderedPageBreak/>
        <w:t>2)</w:t>
      </w:r>
      <w:r w:rsidR="00253348" w:rsidRPr="00E44436">
        <w:rPr>
          <w:rFonts w:cs="Arial"/>
          <w:lang w:val="es-MX"/>
        </w:rPr>
        <w:t xml:space="preserve"> </w:t>
      </w:r>
      <w:r w:rsidR="00E44436">
        <w:t>Cometer a</w:t>
      </w:r>
      <w:r w:rsidR="0066289E">
        <w:t xml:space="preserve"> la Contadora Auditora destacada ante </w:t>
      </w:r>
      <w:r w:rsidR="00E44436">
        <w:t xml:space="preserve">el Ministerio de Ganadería Agricultura y Pesca, </w:t>
      </w:r>
      <w:r w:rsidR="0066289E">
        <w:t>la intervención de</w:t>
      </w:r>
      <w:r w:rsidR="003A39A3">
        <w:t xml:space="preserve"> </w:t>
      </w:r>
      <w:r w:rsidR="0066289E">
        <w:t>l</w:t>
      </w:r>
      <w:r w:rsidR="003A39A3">
        <w:t>os</w:t>
      </w:r>
      <w:r w:rsidR="0066289E">
        <w:t xml:space="preserve"> gasto</w:t>
      </w:r>
      <w:r w:rsidR="003A39A3">
        <w:t>s</w:t>
      </w:r>
      <w:r w:rsidR="0066289E">
        <w:t xml:space="preserve"> derivado</w:t>
      </w:r>
      <w:r w:rsidR="003A39A3">
        <w:t>s</w:t>
      </w:r>
      <w:r w:rsidR="0066289E">
        <w:t xml:space="preserve"> del citado Proyecto</w:t>
      </w:r>
      <w:r w:rsidR="0066289E" w:rsidRPr="00DA2CD2">
        <w:t xml:space="preserve"> </w:t>
      </w:r>
      <w:r w:rsidR="00E44436" w:rsidRPr="00E44436">
        <w:rPr>
          <w:rFonts w:cs="Arial"/>
          <w:lang w:val="es-MX"/>
        </w:rPr>
        <w:t>URU/17/001</w:t>
      </w:r>
      <w:r w:rsidR="003A39A3">
        <w:rPr>
          <w:rFonts w:cs="Arial"/>
          <w:lang w:val="es-MX"/>
        </w:rPr>
        <w:t>,</w:t>
      </w:r>
      <w:r w:rsidR="0066289E">
        <w:t xml:space="preserve"> previa verificación de</w:t>
      </w:r>
      <w:r w:rsidR="00C933DA">
        <w:t xml:space="preserve"> la suscripción del mismo</w:t>
      </w:r>
      <w:r w:rsidR="005706C4">
        <w:t xml:space="preserve"> y de su comunicación a la Asamblea General, así como</w:t>
      </w:r>
      <w:r w:rsidR="00C933DA">
        <w:t xml:space="preserve"> de</w:t>
      </w:r>
      <w:r w:rsidR="0066289E">
        <w:t xml:space="preserve"> su imputación con cargo a grupo adecuado con disponibilidad suficiente</w:t>
      </w:r>
      <w:r w:rsidR="003A39A3">
        <w:t>;</w:t>
      </w:r>
    </w:p>
    <w:p w:rsidR="0066289E" w:rsidRDefault="00667762" w:rsidP="00667762">
      <w:pPr>
        <w:spacing w:line="360" w:lineRule="auto"/>
        <w:ind w:left="284" w:hanging="284"/>
        <w:jc w:val="both"/>
      </w:pPr>
      <w:r>
        <w:rPr>
          <w:b/>
        </w:rPr>
        <w:t xml:space="preserve">3) </w:t>
      </w:r>
      <w:r w:rsidR="0066289E">
        <w:t xml:space="preserve">Comunicar a la Contadora Auditora destacada ante la </w:t>
      </w:r>
      <w:r w:rsidR="003A39A3">
        <w:rPr>
          <w:rFonts w:cs="Arial"/>
          <w:lang w:val="es-MX"/>
        </w:rPr>
        <w:t>Ministerio de Ganadería Agricultura y Pesca;</w:t>
      </w:r>
      <w:r>
        <w:rPr>
          <w:rFonts w:cs="Arial"/>
          <w:lang w:val="es-MX"/>
        </w:rPr>
        <w:t xml:space="preserve"> y</w:t>
      </w:r>
    </w:p>
    <w:p w:rsidR="0066289E" w:rsidRDefault="00667762" w:rsidP="00667762">
      <w:pPr>
        <w:spacing w:line="360" w:lineRule="auto"/>
        <w:jc w:val="both"/>
      </w:pPr>
      <w:r>
        <w:rPr>
          <w:b/>
        </w:rPr>
        <w:t xml:space="preserve">4) </w:t>
      </w:r>
      <w:r w:rsidR="0066289E">
        <w:t>Devolver las actuaciones.</w:t>
      </w:r>
    </w:p>
    <w:p w:rsidR="003A39A3" w:rsidRDefault="003A39A3" w:rsidP="0066289E">
      <w:pPr>
        <w:spacing w:line="360" w:lineRule="auto"/>
        <w:jc w:val="both"/>
        <w:rPr>
          <w:sz w:val="16"/>
          <w:szCs w:val="16"/>
        </w:rPr>
      </w:pPr>
    </w:p>
    <w:p w:rsidR="00667762" w:rsidRPr="00667762" w:rsidRDefault="00667762" w:rsidP="0066289E">
      <w:pPr>
        <w:spacing w:line="360" w:lineRule="auto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lc</w:t>
      </w:r>
      <w:proofErr w:type="spellEnd"/>
      <w:proofErr w:type="gramEnd"/>
    </w:p>
    <w:sectPr w:rsidR="00667762" w:rsidRPr="00667762" w:rsidSect="00987E98">
      <w:footerReference w:type="default" r:id="rId8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62" w:rsidRDefault="00667762" w:rsidP="00667762">
      <w:r>
        <w:separator/>
      </w:r>
    </w:p>
  </w:endnote>
  <w:endnote w:type="continuationSeparator" w:id="0">
    <w:p w:rsidR="00667762" w:rsidRDefault="00667762" w:rsidP="0066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704962"/>
      <w:docPartObj>
        <w:docPartGallery w:val="Page Numbers (Bottom of Page)"/>
        <w:docPartUnique/>
      </w:docPartObj>
    </w:sdtPr>
    <w:sdtEndPr/>
    <w:sdtContent>
      <w:p w:rsidR="00667762" w:rsidRDefault="0066776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E98">
          <w:rPr>
            <w:noProof/>
          </w:rPr>
          <w:t>4</w:t>
        </w:r>
        <w:r>
          <w:fldChar w:fldCharType="end"/>
        </w:r>
      </w:p>
    </w:sdtContent>
  </w:sdt>
  <w:p w:rsidR="00667762" w:rsidRDefault="006677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62" w:rsidRDefault="00667762" w:rsidP="00667762">
      <w:r>
        <w:separator/>
      </w:r>
    </w:p>
  </w:footnote>
  <w:footnote w:type="continuationSeparator" w:id="0">
    <w:p w:rsidR="00667762" w:rsidRDefault="00667762" w:rsidP="0066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22A3C"/>
    <w:multiLevelType w:val="hybridMultilevel"/>
    <w:tmpl w:val="EBEA29E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4D6103"/>
    <w:multiLevelType w:val="hybridMultilevel"/>
    <w:tmpl w:val="68341B5C"/>
    <w:lvl w:ilvl="0" w:tplc="02CEF6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9E"/>
    <w:rsid w:val="00057844"/>
    <w:rsid w:val="001D0083"/>
    <w:rsid w:val="00253348"/>
    <w:rsid w:val="00270DC5"/>
    <w:rsid w:val="00373693"/>
    <w:rsid w:val="003A13B7"/>
    <w:rsid w:val="003A39A3"/>
    <w:rsid w:val="00414DFD"/>
    <w:rsid w:val="00492FA0"/>
    <w:rsid w:val="005706C4"/>
    <w:rsid w:val="005F00F9"/>
    <w:rsid w:val="0060696E"/>
    <w:rsid w:val="00650324"/>
    <w:rsid w:val="00651240"/>
    <w:rsid w:val="00654AF9"/>
    <w:rsid w:val="0066289E"/>
    <w:rsid w:val="00667762"/>
    <w:rsid w:val="006875D8"/>
    <w:rsid w:val="006C4A8D"/>
    <w:rsid w:val="008811F2"/>
    <w:rsid w:val="008C5A3E"/>
    <w:rsid w:val="008E3F30"/>
    <w:rsid w:val="00987E98"/>
    <w:rsid w:val="009D3D26"/>
    <w:rsid w:val="00A17820"/>
    <w:rsid w:val="00A4510A"/>
    <w:rsid w:val="00B01243"/>
    <w:rsid w:val="00B87A5C"/>
    <w:rsid w:val="00BC3C7C"/>
    <w:rsid w:val="00BD6756"/>
    <w:rsid w:val="00C2792C"/>
    <w:rsid w:val="00C843E9"/>
    <w:rsid w:val="00C933DA"/>
    <w:rsid w:val="00D5260E"/>
    <w:rsid w:val="00D96E59"/>
    <w:rsid w:val="00DC4A24"/>
    <w:rsid w:val="00E16425"/>
    <w:rsid w:val="00E44436"/>
    <w:rsid w:val="00EF62E4"/>
    <w:rsid w:val="00F86FBA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9E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66289E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66289E"/>
    <w:rPr>
      <w:rFonts w:ascii="Arial" w:hAnsi="Arial"/>
      <w:b/>
      <w:bCs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933DA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933DA"/>
    <w:rPr>
      <w:rFonts w:ascii="Consolas" w:hAnsi="Consolas" w:cs="Consolas"/>
      <w:lang w:eastAsia="es-ES"/>
    </w:rPr>
  </w:style>
  <w:style w:type="paragraph" w:styleId="Prrafodelista">
    <w:name w:val="List Paragraph"/>
    <w:basedOn w:val="Normal"/>
    <w:uiPriority w:val="34"/>
    <w:qFormat/>
    <w:rsid w:val="006677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77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762"/>
    <w:rPr>
      <w:rFonts w:ascii="Arial" w:hAnsi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677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762"/>
    <w:rPr>
      <w:rFonts w:ascii="Arial" w:hAnsi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98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9E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66289E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66289E"/>
    <w:rPr>
      <w:rFonts w:ascii="Arial" w:hAnsi="Arial"/>
      <w:b/>
      <w:bCs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933DA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933DA"/>
    <w:rPr>
      <w:rFonts w:ascii="Consolas" w:hAnsi="Consolas" w:cs="Consolas"/>
      <w:lang w:eastAsia="es-ES"/>
    </w:rPr>
  </w:style>
  <w:style w:type="paragraph" w:styleId="Prrafodelista">
    <w:name w:val="List Paragraph"/>
    <w:basedOn w:val="Normal"/>
    <w:uiPriority w:val="34"/>
    <w:qFormat/>
    <w:rsid w:val="006677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77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762"/>
    <w:rPr>
      <w:rFonts w:ascii="Arial" w:hAnsi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677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762"/>
    <w:rPr>
      <w:rFonts w:ascii="Arial" w:hAnsi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98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2017-10-24T18:58:00Z</cp:lastPrinted>
  <dcterms:created xsi:type="dcterms:W3CDTF">2017-10-24T18:57:00Z</dcterms:created>
  <dcterms:modified xsi:type="dcterms:W3CDTF">2017-10-24T18:58:00Z</dcterms:modified>
</cp:coreProperties>
</file>