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12" w:rsidRPr="00786EEB" w:rsidRDefault="00CC7B12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2761/17</w:t>
      </w:r>
    </w:p>
    <w:p w:rsidR="00CC7B12" w:rsidRDefault="00CC7B12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CC7B12" w:rsidRPr="00762B34" w:rsidRDefault="00CC7B1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CC7B12" w:rsidRPr="00762B34" w:rsidRDefault="00CC7B12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CC7B12" w:rsidRPr="00762B34" w:rsidRDefault="00CC7B1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CC7B12" w:rsidRPr="00762B34" w:rsidRDefault="00CC7B12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CC7B12" w:rsidRPr="00762B34" w:rsidRDefault="00CC7B1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30 DE AGOSTO </w:t>
      </w:r>
      <w:r>
        <w:rPr>
          <w:rFonts w:ascii="Helvetica" w:hAnsi="Helvetica"/>
          <w:b/>
          <w:lang w:val="es-ES_tradnl"/>
        </w:rPr>
        <w:t>DE 2017</w:t>
      </w:r>
    </w:p>
    <w:p w:rsidR="00CC7B12" w:rsidRPr="00762B34" w:rsidRDefault="00CC7B1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CC7B12" w:rsidRPr="00CC7B12" w:rsidRDefault="00CC7B12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CC7B12">
        <w:rPr>
          <w:rFonts w:cs="Arial"/>
          <w:b/>
          <w:lang w:val="es-AR"/>
        </w:rPr>
        <w:t>(E. E. Nº 2017-17-1-0004773</w:t>
      </w:r>
      <w:r>
        <w:rPr>
          <w:rFonts w:cs="Arial"/>
          <w:b/>
          <w:lang w:val="es-AR"/>
        </w:rPr>
        <w:t xml:space="preserve">, </w:t>
      </w:r>
      <w:proofErr w:type="spellStart"/>
      <w:r>
        <w:rPr>
          <w:rFonts w:cs="Arial"/>
          <w:b/>
          <w:lang w:val="es-AR"/>
        </w:rPr>
        <w:t>Ents</w:t>
      </w:r>
      <w:proofErr w:type="spellEnd"/>
      <w:r>
        <w:rPr>
          <w:rFonts w:cs="Arial"/>
          <w:b/>
          <w:lang w:val="es-AR"/>
        </w:rPr>
        <w:t>. 3848/17 y 4028/17</w:t>
      </w:r>
      <w:r w:rsidRPr="00CC7B12">
        <w:rPr>
          <w:rFonts w:cs="Arial"/>
          <w:b/>
          <w:lang w:val="es-AR"/>
        </w:rPr>
        <w:t>)</w:t>
      </w:r>
    </w:p>
    <w:p w:rsidR="00CC7B12" w:rsidRPr="00CC7B12" w:rsidRDefault="00CC7B12">
      <w:pPr>
        <w:rPr>
          <w:lang w:val="es-AR"/>
        </w:rPr>
      </w:pPr>
    </w:p>
    <w:p w:rsidR="00CC7B12" w:rsidRDefault="00CC7B12" w:rsidP="00CC7B12">
      <w:pPr>
        <w:keepNext/>
        <w:spacing w:line="360" w:lineRule="auto"/>
        <w:ind w:firstLine="851"/>
        <w:jc w:val="both"/>
        <w:outlineLvl w:val="1"/>
        <w:rPr>
          <w:rFonts w:cs="Arial"/>
          <w:lang w:val="es-MX" w:eastAsia="es-MX"/>
        </w:rPr>
      </w:pPr>
      <w:r w:rsidRPr="00CC7B12">
        <w:rPr>
          <w:rFonts w:cs="Arial"/>
          <w:b/>
          <w:lang w:val="es-MX" w:eastAsia="es-MX"/>
        </w:rPr>
        <w:t>VISTO:</w:t>
      </w:r>
      <w:r w:rsidRPr="00CC7B12">
        <w:rPr>
          <w:rFonts w:cs="Arial"/>
          <w:lang w:val="es-MX" w:eastAsia="es-MX"/>
        </w:rPr>
        <w:t xml:space="preserve"> que este Tribunal ha examinado el proyecto de Presupuesto Operativo, de Operaciones Financieras y de Inversiones para el Ejercicio 2018, remitido por el Banco de Previsión Social;</w:t>
      </w:r>
    </w:p>
    <w:p w:rsidR="00CC7B12" w:rsidRDefault="00CC7B12" w:rsidP="00CC7B12">
      <w:pPr>
        <w:keepNext/>
        <w:spacing w:line="360" w:lineRule="auto"/>
        <w:ind w:firstLine="851"/>
        <w:jc w:val="both"/>
        <w:outlineLvl w:val="1"/>
        <w:rPr>
          <w:rFonts w:cs="Arial"/>
          <w:lang w:eastAsia="es-MX"/>
        </w:rPr>
      </w:pPr>
      <w:r w:rsidRPr="00CC7B12">
        <w:rPr>
          <w:rFonts w:cs="Arial"/>
          <w:b/>
          <w:lang w:eastAsia="es-MX"/>
        </w:rPr>
        <w:t>CONSIDERANDO:</w:t>
      </w:r>
      <w:r w:rsidRPr="00CC7B12">
        <w:rPr>
          <w:rFonts w:cs="Arial"/>
          <w:lang w:eastAsia="es-MX"/>
        </w:rPr>
        <w:t xml:space="preserve"> que las conclusiones obtenidas son las que se expresan en el Dictamen que se adjunta;</w:t>
      </w:r>
    </w:p>
    <w:p w:rsidR="00CC7B12" w:rsidRPr="00CC7B12" w:rsidRDefault="00CC7B12" w:rsidP="00CC7B12">
      <w:pPr>
        <w:keepNext/>
        <w:spacing w:line="360" w:lineRule="auto"/>
        <w:ind w:firstLine="851"/>
        <w:jc w:val="both"/>
        <w:outlineLvl w:val="1"/>
        <w:rPr>
          <w:rFonts w:cs="Arial"/>
          <w:lang w:eastAsia="es-MX"/>
        </w:rPr>
      </w:pPr>
      <w:r w:rsidRPr="00CC7B12">
        <w:rPr>
          <w:rFonts w:cs="Arial"/>
          <w:b/>
          <w:lang w:eastAsia="es-MX"/>
        </w:rPr>
        <w:t>ATENTO:</w:t>
      </w:r>
      <w:r w:rsidRPr="00CC7B12">
        <w:rPr>
          <w:rFonts w:cs="Arial"/>
          <w:lang w:eastAsia="es-MX"/>
        </w:rPr>
        <w:t xml:space="preserve"> a lo dispuesto por los Artículos 211 Literal A) y 221 de la Constitución de la República;</w:t>
      </w:r>
    </w:p>
    <w:p w:rsidR="00CC7B12" w:rsidRPr="00CC7B12" w:rsidRDefault="00CC7B12" w:rsidP="00CC7B12">
      <w:pPr>
        <w:keepNext/>
        <w:spacing w:line="360" w:lineRule="auto"/>
        <w:ind w:left="142"/>
        <w:jc w:val="center"/>
        <w:outlineLvl w:val="2"/>
        <w:rPr>
          <w:rFonts w:cs="Arial"/>
          <w:b/>
          <w:lang w:val="es-MX" w:eastAsia="es-MX"/>
        </w:rPr>
      </w:pPr>
      <w:r w:rsidRPr="00CC7B12">
        <w:rPr>
          <w:rFonts w:cs="Arial"/>
          <w:b/>
          <w:lang w:val="es-MX" w:eastAsia="es-MX"/>
        </w:rPr>
        <w:t>EL TRIBUNAL ACUERDA</w:t>
      </w:r>
    </w:p>
    <w:p w:rsidR="00CC7B12" w:rsidRPr="00CC7B12" w:rsidRDefault="00CC7B12" w:rsidP="00CC7B12">
      <w:pPr>
        <w:numPr>
          <w:ilvl w:val="0"/>
          <w:numId w:val="1"/>
        </w:numPr>
        <w:tabs>
          <w:tab w:val="clear" w:pos="502"/>
          <w:tab w:val="num" w:pos="284"/>
        </w:tabs>
        <w:spacing w:line="360" w:lineRule="auto"/>
        <w:ind w:left="284" w:hanging="284"/>
        <w:jc w:val="both"/>
        <w:rPr>
          <w:rFonts w:cs="Arial"/>
          <w:lang w:eastAsia="es-MX"/>
        </w:rPr>
      </w:pPr>
      <w:r w:rsidRPr="00CC7B12">
        <w:rPr>
          <w:rFonts w:cs="Arial"/>
          <w:lang w:eastAsia="es-MX"/>
        </w:rPr>
        <w:t>Emitir su pronunciamiento respecto al proyecto de Presupuesto Operativo</w:t>
      </w:r>
      <w:r>
        <w:rPr>
          <w:rFonts w:cs="Arial"/>
          <w:lang w:eastAsia="es-MX"/>
        </w:rPr>
        <w:t>,</w:t>
      </w:r>
      <w:r w:rsidRPr="00CC7B12">
        <w:rPr>
          <w:rFonts w:cs="Arial"/>
          <w:lang w:eastAsia="es-MX"/>
        </w:rPr>
        <w:t xml:space="preserve"> de Operaciones Financieras y de Inversiones del Banco de Previsión Social correspondiente al Ejercicio 2018, en los términos del Dictamen que se adjunta;</w:t>
      </w:r>
    </w:p>
    <w:p w:rsidR="00CC7B12" w:rsidRPr="00CC7B12" w:rsidRDefault="00CC7B12" w:rsidP="00CC7B12">
      <w:pPr>
        <w:numPr>
          <w:ilvl w:val="0"/>
          <w:numId w:val="1"/>
        </w:numPr>
        <w:tabs>
          <w:tab w:val="clear" w:pos="502"/>
          <w:tab w:val="num" w:pos="284"/>
          <w:tab w:val="num" w:pos="567"/>
          <w:tab w:val="num" w:pos="1996"/>
        </w:tabs>
        <w:spacing w:line="360" w:lineRule="auto"/>
        <w:ind w:left="284" w:hanging="284"/>
        <w:jc w:val="both"/>
        <w:rPr>
          <w:rFonts w:cs="Arial"/>
          <w:lang w:eastAsia="es-MX"/>
        </w:rPr>
      </w:pPr>
      <w:r w:rsidRPr="00CC7B12">
        <w:rPr>
          <w:rFonts w:cs="Arial"/>
          <w:lang w:eastAsia="es-MX"/>
        </w:rPr>
        <w:t>No formular observaciones al proyecto de Presupuesto Operativo</w:t>
      </w:r>
      <w:r>
        <w:rPr>
          <w:rFonts w:cs="Arial"/>
          <w:lang w:eastAsia="es-MX"/>
        </w:rPr>
        <w:t>,</w:t>
      </w:r>
      <w:r w:rsidRPr="00CC7B12">
        <w:rPr>
          <w:rFonts w:cs="Arial"/>
          <w:lang w:eastAsia="es-MX"/>
        </w:rPr>
        <w:t xml:space="preserve"> de Operaciones Financieras y de Inversiones del Banco de Previsión Social c</w:t>
      </w:r>
      <w:r>
        <w:rPr>
          <w:rFonts w:cs="Arial"/>
          <w:lang w:eastAsia="es-MX"/>
        </w:rPr>
        <w:t>orrespondiente al E</w:t>
      </w:r>
      <w:r w:rsidRPr="00CC7B12">
        <w:rPr>
          <w:rFonts w:cs="Arial"/>
          <w:lang w:eastAsia="es-MX"/>
        </w:rPr>
        <w:t>jercicio 2018;</w:t>
      </w:r>
    </w:p>
    <w:p w:rsidR="00CC7B12" w:rsidRPr="00CC7B12" w:rsidRDefault="00CC7B12" w:rsidP="00CC7B12">
      <w:pPr>
        <w:numPr>
          <w:ilvl w:val="0"/>
          <w:numId w:val="1"/>
        </w:numPr>
        <w:tabs>
          <w:tab w:val="clear" w:pos="502"/>
          <w:tab w:val="num" w:pos="284"/>
          <w:tab w:val="num" w:pos="1996"/>
        </w:tabs>
        <w:spacing w:line="360" w:lineRule="auto"/>
        <w:ind w:left="284" w:hanging="284"/>
        <w:jc w:val="both"/>
        <w:rPr>
          <w:rFonts w:cs="Arial"/>
          <w:lang w:eastAsia="es-MX"/>
        </w:rPr>
      </w:pPr>
      <w:r w:rsidRPr="00CC7B12">
        <w:rPr>
          <w:rFonts w:cs="Arial"/>
          <w:lang w:eastAsia="es-MX"/>
        </w:rPr>
        <w:t>Ténga</w:t>
      </w:r>
      <w:r>
        <w:rPr>
          <w:rFonts w:cs="Arial"/>
          <w:lang w:eastAsia="es-MX"/>
        </w:rPr>
        <w:t>se presente lo señalado en los N</w:t>
      </w:r>
      <w:r w:rsidRPr="00CC7B12">
        <w:rPr>
          <w:rFonts w:cs="Arial"/>
          <w:lang w:eastAsia="es-MX"/>
        </w:rPr>
        <w:t>umerales 2.3</w:t>
      </w:r>
      <w:r>
        <w:rPr>
          <w:rFonts w:cs="Arial"/>
          <w:lang w:eastAsia="es-MX"/>
        </w:rPr>
        <w:t>)</w:t>
      </w:r>
      <w:r w:rsidRPr="00CC7B12">
        <w:rPr>
          <w:rFonts w:cs="Arial"/>
          <w:lang w:eastAsia="es-MX"/>
        </w:rPr>
        <w:t xml:space="preserve"> al 2.9</w:t>
      </w:r>
      <w:r>
        <w:rPr>
          <w:rFonts w:cs="Arial"/>
          <w:lang w:eastAsia="es-MX"/>
        </w:rPr>
        <w:t>)</w:t>
      </w:r>
      <w:r w:rsidRPr="00CC7B12">
        <w:rPr>
          <w:rFonts w:cs="Arial"/>
          <w:lang w:eastAsia="es-MX"/>
        </w:rPr>
        <w:t>;</w:t>
      </w:r>
    </w:p>
    <w:p w:rsidR="00CC7B12" w:rsidRPr="00CC7B12" w:rsidRDefault="00CC7B12" w:rsidP="00CC7B12">
      <w:pPr>
        <w:numPr>
          <w:ilvl w:val="0"/>
          <w:numId w:val="1"/>
        </w:numPr>
        <w:tabs>
          <w:tab w:val="clear" w:pos="502"/>
          <w:tab w:val="num" w:pos="284"/>
          <w:tab w:val="num" w:pos="1996"/>
        </w:tabs>
        <w:spacing w:line="360" w:lineRule="auto"/>
        <w:ind w:left="284" w:hanging="284"/>
        <w:jc w:val="both"/>
        <w:rPr>
          <w:rFonts w:cs="Arial"/>
          <w:lang w:eastAsia="es-MX"/>
        </w:rPr>
      </w:pPr>
      <w:r w:rsidRPr="00CC7B12">
        <w:rPr>
          <w:rFonts w:cs="Arial"/>
          <w:lang w:eastAsia="es-MX"/>
        </w:rPr>
        <w:t xml:space="preserve"> Comunicar al Ministerio de Trabajo y Seguridad Social, al Organismo y a la Oficina de Planeamiento y Presupuesto.</w:t>
      </w:r>
    </w:p>
    <w:p w:rsidR="00CC7B12" w:rsidRPr="00CC7B12" w:rsidRDefault="00CC7B12" w:rsidP="00CC7B12">
      <w:pPr>
        <w:jc w:val="both"/>
        <w:rPr>
          <w:rFonts w:cs="Arial"/>
          <w:szCs w:val="20"/>
          <w:lang w:eastAsia="es-MX"/>
        </w:rPr>
      </w:pPr>
    </w:p>
    <w:p w:rsidR="00F86359" w:rsidRDefault="00F86359">
      <w:pPr>
        <w:jc w:val="both"/>
      </w:pPr>
    </w:p>
    <w:p w:rsidR="00CC7B12" w:rsidRDefault="00CC7B12">
      <w:pPr>
        <w:jc w:val="both"/>
      </w:pPr>
    </w:p>
    <w:p w:rsidR="00CC7B12" w:rsidRDefault="00CC7B12" w:rsidP="00CC7B12">
      <w:pPr>
        <w:ind w:hanging="426"/>
        <w:jc w:val="both"/>
      </w:pPr>
      <w:proofErr w:type="gramStart"/>
      <w:r>
        <w:t>dc</w:t>
      </w:r>
      <w:proofErr w:type="gramEnd"/>
    </w:p>
    <w:p w:rsidR="00EF51EE" w:rsidRDefault="00EF51EE" w:rsidP="00CC7B12">
      <w:pPr>
        <w:ind w:hanging="426"/>
        <w:jc w:val="both"/>
      </w:pPr>
    </w:p>
    <w:p w:rsidR="00EF51EE" w:rsidRPr="007553C0" w:rsidRDefault="00EF51E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DICTAMEN</w:t>
      </w:r>
    </w:p>
    <w:p w:rsidR="00EF51EE" w:rsidRPr="007553C0" w:rsidRDefault="00EF51EE">
      <w:pPr>
        <w:jc w:val="center"/>
        <w:rPr>
          <w:rFonts w:cs="Arial"/>
          <w:b/>
          <w:lang w:val="es-MX"/>
        </w:rPr>
      </w:pPr>
    </w:p>
    <w:p w:rsidR="00EF51EE" w:rsidRPr="003F2E53" w:rsidRDefault="00EF51EE" w:rsidP="00D166BE">
      <w:pPr>
        <w:spacing w:line="360" w:lineRule="auto"/>
        <w:jc w:val="both"/>
        <w:rPr>
          <w:rFonts w:cs="Arial"/>
          <w:lang w:val="es-MX"/>
        </w:rPr>
      </w:pPr>
      <w:r w:rsidRPr="003F2E53">
        <w:rPr>
          <w:rFonts w:cs="Arial"/>
          <w:lang w:val="es-MX"/>
        </w:rPr>
        <w:t>El Tribu</w:t>
      </w:r>
      <w:r>
        <w:rPr>
          <w:rFonts w:cs="Arial"/>
          <w:lang w:val="es-MX"/>
        </w:rPr>
        <w:t>nal de Cuentas ha examinado el p</w:t>
      </w:r>
      <w:r w:rsidRPr="003F2E53">
        <w:rPr>
          <w:rFonts w:cs="Arial"/>
          <w:lang w:val="es-MX"/>
        </w:rPr>
        <w:t>royecto de Pr</w:t>
      </w:r>
      <w:r>
        <w:rPr>
          <w:rFonts w:cs="Arial"/>
          <w:lang w:val="es-MX"/>
        </w:rPr>
        <w:t>esupuesto para el Ejercicio 2018</w:t>
      </w:r>
      <w:r w:rsidRPr="003F2E53">
        <w:rPr>
          <w:rFonts w:cs="Arial"/>
          <w:lang w:val="es-MX"/>
        </w:rPr>
        <w:t xml:space="preserve"> del Banco de Previsión Social (B.P.S.).</w:t>
      </w:r>
      <w:r>
        <w:rPr>
          <w:rFonts w:cs="Arial"/>
          <w:lang w:val="es-MX"/>
        </w:rPr>
        <w:t xml:space="preserve"> </w:t>
      </w:r>
      <w:r w:rsidRPr="003F2E53">
        <w:rPr>
          <w:rFonts w:cs="Arial"/>
          <w:lang w:val="es-MX"/>
        </w:rPr>
        <w:t>Toda la información inc</w:t>
      </w:r>
      <w:r>
        <w:rPr>
          <w:rFonts w:cs="Arial"/>
          <w:lang w:val="es-MX"/>
        </w:rPr>
        <w:t>luida en el referido p</w:t>
      </w:r>
      <w:r w:rsidRPr="003F2E53">
        <w:rPr>
          <w:rFonts w:cs="Arial"/>
          <w:lang w:val="es-MX"/>
        </w:rPr>
        <w:t>royecto y los supuestos sobre los que se basa son responsabilidad del Directorio del Banco de Previsión Social. La responsabilidad del Tribunal de Cuentas es ex</w:t>
      </w:r>
      <w:r>
        <w:rPr>
          <w:rFonts w:cs="Arial"/>
          <w:lang w:val="es-MX"/>
        </w:rPr>
        <w:t>presar una opinión sobre dicho p</w:t>
      </w:r>
      <w:r w:rsidRPr="003F2E53">
        <w:rPr>
          <w:rFonts w:cs="Arial"/>
          <w:lang w:val="es-MX"/>
        </w:rPr>
        <w:t xml:space="preserve">royecto de Presupuesto de </w:t>
      </w:r>
      <w:r>
        <w:rPr>
          <w:rFonts w:cs="Arial"/>
          <w:lang w:val="es-MX"/>
        </w:rPr>
        <w:t>acuerdo con lo dispuesto por los A</w:t>
      </w:r>
      <w:r w:rsidRPr="003F2E53">
        <w:rPr>
          <w:rFonts w:cs="Arial"/>
          <w:lang w:val="es-MX"/>
        </w:rPr>
        <w:t>rtículos 211</w:t>
      </w:r>
      <w:r w:rsidRPr="003F2E53">
        <w:rPr>
          <w:rFonts w:cs="Arial"/>
          <w:lang w:val="es-UY"/>
        </w:rPr>
        <w:t xml:space="preserve"> Inc</w:t>
      </w:r>
      <w:r>
        <w:rPr>
          <w:rFonts w:cs="Arial"/>
          <w:lang w:val="es-UY"/>
        </w:rPr>
        <w:t>iso</w:t>
      </w:r>
      <w:r w:rsidRPr="003F2E53">
        <w:rPr>
          <w:rFonts w:cs="Arial"/>
          <w:lang w:val="es-MX"/>
        </w:rPr>
        <w:t xml:space="preserve"> A) y 221 de la Constitución de la República, y establecer en caso que corresponda, los hallazgos realizados con relación al cumplimiento de las normas constitucionales, legales y reglamentarias que resulten aplicables.</w:t>
      </w:r>
    </w:p>
    <w:p w:rsidR="00EF51EE" w:rsidRPr="00C61733" w:rsidRDefault="00EF51EE" w:rsidP="00D166BE">
      <w:pPr>
        <w:pStyle w:val="Piedepgina"/>
        <w:spacing w:line="360" w:lineRule="auto"/>
        <w:jc w:val="both"/>
        <w:rPr>
          <w:rFonts w:cs="Arial"/>
          <w:b/>
          <w:bCs/>
        </w:rPr>
      </w:pPr>
      <w:r w:rsidRPr="00C61733">
        <w:rPr>
          <w:rFonts w:cs="Arial"/>
          <w:b/>
        </w:rPr>
        <w:t>1)</w:t>
      </w:r>
      <w:r w:rsidRPr="00C61733">
        <w:rPr>
          <w:rFonts w:cs="Arial"/>
        </w:rPr>
        <w:t xml:space="preserve"> </w:t>
      </w:r>
      <w:r w:rsidRPr="00C61733">
        <w:rPr>
          <w:rFonts w:cs="Arial"/>
          <w:b/>
          <w:bCs/>
        </w:rPr>
        <w:t>ANALISIS DE INGRESOS PROYECTADOS Y ASIGNACIONES PRESUPUESTALES</w:t>
      </w:r>
    </w:p>
    <w:p w:rsidR="00EF51EE" w:rsidRDefault="00EF51EE" w:rsidP="00EF51EE">
      <w:pPr>
        <w:pStyle w:val="Piedepgina"/>
        <w:numPr>
          <w:ilvl w:val="1"/>
          <w:numId w:val="2"/>
        </w:numPr>
        <w:tabs>
          <w:tab w:val="clear" w:pos="4419"/>
          <w:tab w:val="clear" w:pos="8838"/>
        </w:tabs>
        <w:jc w:val="both"/>
        <w:rPr>
          <w:rFonts w:cs="Arial"/>
          <w:b/>
        </w:rPr>
      </w:pPr>
      <w:r w:rsidRPr="003F2E53">
        <w:rPr>
          <w:rFonts w:cs="Arial"/>
          <w:b/>
        </w:rPr>
        <w:t>Ingresos proyectados</w:t>
      </w:r>
    </w:p>
    <w:tbl>
      <w:tblPr>
        <w:tblW w:w="7719" w:type="dxa"/>
        <w:jc w:val="center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2626"/>
      </w:tblGrid>
      <w:tr w:rsidR="00EF51EE" w:rsidRPr="008823C0" w:rsidTr="004111AC">
        <w:trPr>
          <w:trHeight w:val="330"/>
          <w:jc w:val="center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8823C0" w:rsidRDefault="00EF51EE" w:rsidP="004111AC">
            <w:pPr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8823C0">
              <w:rPr>
                <w:rFonts w:cs="Arial"/>
                <w:b/>
                <w:bCs/>
                <w:color w:val="000000"/>
                <w:lang w:val="es-UY" w:eastAsia="es-UY"/>
              </w:rPr>
              <w:t>Denominación</w:t>
            </w:r>
          </w:p>
        </w:tc>
        <w:tc>
          <w:tcPr>
            <w:tcW w:w="2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8823C0" w:rsidRDefault="00EF51EE" w:rsidP="004111AC">
            <w:pPr>
              <w:jc w:val="center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8823C0">
              <w:rPr>
                <w:rFonts w:cs="Arial"/>
                <w:b/>
                <w:bCs/>
                <w:color w:val="000000"/>
                <w:lang w:val="es-UY" w:eastAsia="es-UY"/>
              </w:rPr>
              <w:t>Importe en $</w:t>
            </w:r>
          </w:p>
        </w:tc>
      </w:tr>
      <w:tr w:rsidR="00EF51EE" w:rsidRPr="008823C0" w:rsidTr="004111AC">
        <w:trPr>
          <w:trHeight w:val="315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8823C0" w:rsidRDefault="00EF51EE" w:rsidP="004111AC">
            <w:pPr>
              <w:rPr>
                <w:rFonts w:cs="Arial"/>
                <w:color w:val="000000"/>
                <w:lang w:val="es-UY" w:eastAsia="es-UY"/>
              </w:rPr>
            </w:pPr>
            <w:r w:rsidRPr="008823C0">
              <w:rPr>
                <w:rFonts w:cs="Arial"/>
                <w:color w:val="000000"/>
                <w:lang w:val="es-UY" w:eastAsia="es-UY"/>
              </w:rPr>
              <w:t>Ingresos Tributarios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8823C0" w:rsidRDefault="00EF51EE" w:rsidP="004111AC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 w:rsidRPr="008823C0">
              <w:rPr>
                <w:rFonts w:cs="Arial"/>
                <w:color w:val="000000"/>
                <w:lang w:val="es-UY" w:eastAsia="es-UY"/>
              </w:rPr>
              <w:t>162.820.708.219</w:t>
            </w:r>
          </w:p>
        </w:tc>
      </w:tr>
      <w:tr w:rsidR="00EF51EE" w:rsidRPr="008823C0" w:rsidTr="004111AC">
        <w:trPr>
          <w:trHeight w:val="315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8823C0" w:rsidRDefault="00EF51EE" w:rsidP="004111AC">
            <w:pPr>
              <w:rPr>
                <w:rFonts w:cs="Arial"/>
                <w:color w:val="000000"/>
                <w:lang w:val="es-UY" w:eastAsia="es-UY"/>
              </w:rPr>
            </w:pPr>
            <w:r w:rsidRPr="008823C0">
              <w:rPr>
                <w:rFonts w:cs="Arial"/>
                <w:color w:val="000000"/>
                <w:lang w:val="es-UY" w:eastAsia="es-UY"/>
              </w:rPr>
              <w:t>Ingresos No Tributarios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8823C0" w:rsidRDefault="00EF51EE" w:rsidP="004111AC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 w:rsidRPr="008823C0">
              <w:rPr>
                <w:rFonts w:cs="Arial"/>
                <w:color w:val="000000"/>
                <w:lang w:val="es-UY" w:eastAsia="es-UY"/>
              </w:rPr>
              <w:t>2.037.335.208</w:t>
            </w:r>
          </w:p>
        </w:tc>
      </w:tr>
      <w:tr w:rsidR="00EF51EE" w:rsidRPr="008823C0" w:rsidTr="004111AC">
        <w:trPr>
          <w:trHeight w:val="315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8823C0" w:rsidRDefault="00EF51EE" w:rsidP="004111AC">
            <w:pPr>
              <w:rPr>
                <w:rFonts w:cs="Arial"/>
                <w:color w:val="000000"/>
                <w:lang w:val="es-UY" w:eastAsia="es-UY"/>
              </w:rPr>
            </w:pPr>
            <w:r w:rsidRPr="008823C0">
              <w:rPr>
                <w:rFonts w:cs="Arial"/>
                <w:color w:val="000000"/>
                <w:lang w:val="es-UY" w:eastAsia="es-UY"/>
              </w:rPr>
              <w:t>Ingresos por Transferencias y otros conceptos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8823C0" w:rsidRDefault="00EF51EE" w:rsidP="00166B06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>
              <w:rPr>
                <w:rFonts w:cs="Arial"/>
                <w:color w:val="000000"/>
                <w:lang w:val="es-UY" w:eastAsia="es-UY"/>
              </w:rPr>
              <w:t>15</w:t>
            </w:r>
            <w:r w:rsidRPr="008823C0">
              <w:rPr>
                <w:rFonts w:cs="Arial"/>
                <w:color w:val="000000"/>
                <w:lang w:val="es-UY" w:eastAsia="es-UY"/>
              </w:rPr>
              <w:t>4.</w:t>
            </w:r>
            <w:r>
              <w:rPr>
                <w:rFonts w:cs="Arial"/>
                <w:color w:val="000000"/>
                <w:lang w:val="es-UY" w:eastAsia="es-UY"/>
              </w:rPr>
              <w:t>922.812.247</w:t>
            </w:r>
          </w:p>
        </w:tc>
      </w:tr>
      <w:tr w:rsidR="00EF51EE" w:rsidRPr="008823C0" w:rsidTr="004111AC">
        <w:trPr>
          <w:trHeight w:val="315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1EE" w:rsidRPr="008823C0" w:rsidRDefault="00EF51EE" w:rsidP="004111AC">
            <w:pPr>
              <w:rPr>
                <w:rFonts w:cs="Arial"/>
                <w:color w:val="000000"/>
                <w:lang w:val="es-UY" w:eastAsia="es-UY"/>
              </w:rPr>
            </w:pPr>
            <w:r>
              <w:rPr>
                <w:rFonts w:cs="Arial"/>
                <w:color w:val="000000"/>
                <w:lang w:val="es-UY" w:eastAsia="es-UY"/>
              </w:rPr>
              <w:t>Asistencia Financiera (Art. 67 Constitución de la República)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1EE" w:rsidRPr="008823C0" w:rsidRDefault="00EF51EE" w:rsidP="004111AC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>
              <w:rPr>
                <w:rFonts w:cs="Arial"/>
                <w:color w:val="000000"/>
                <w:lang w:val="es-UY" w:eastAsia="es-UY"/>
              </w:rPr>
              <w:t>19.693.994.772</w:t>
            </w:r>
          </w:p>
        </w:tc>
      </w:tr>
      <w:tr w:rsidR="00EF51EE" w:rsidRPr="008823C0" w:rsidTr="004111AC">
        <w:trPr>
          <w:trHeight w:val="300"/>
          <w:jc w:val="center"/>
        </w:trPr>
        <w:tc>
          <w:tcPr>
            <w:tcW w:w="50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8823C0" w:rsidRDefault="00EF51EE" w:rsidP="004111AC">
            <w:pPr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8823C0">
              <w:rPr>
                <w:rFonts w:cs="Arial"/>
                <w:b/>
                <w:bCs/>
                <w:color w:val="000000"/>
                <w:lang w:val="es-UY" w:eastAsia="es-UY"/>
              </w:rPr>
              <w:t>Total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8823C0" w:rsidRDefault="00EF51EE" w:rsidP="004111AC">
            <w:pPr>
              <w:jc w:val="right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8823C0">
              <w:rPr>
                <w:rFonts w:cs="Arial"/>
                <w:b/>
                <w:bCs/>
                <w:color w:val="000000"/>
                <w:lang w:val="es-UY" w:eastAsia="es-UY"/>
              </w:rPr>
              <w:t>339.474.850.447</w:t>
            </w:r>
          </w:p>
        </w:tc>
      </w:tr>
      <w:tr w:rsidR="00EF51EE" w:rsidRPr="008823C0" w:rsidTr="00D51248">
        <w:trPr>
          <w:trHeight w:val="276"/>
          <w:jc w:val="center"/>
        </w:trPr>
        <w:tc>
          <w:tcPr>
            <w:tcW w:w="5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51EE" w:rsidRPr="008823C0" w:rsidRDefault="00EF51EE" w:rsidP="004111AC">
            <w:pPr>
              <w:rPr>
                <w:rFonts w:cs="Arial"/>
                <w:b/>
                <w:bCs/>
                <w:color w:val="000000"/>
                <w:lang w:val="es-UY" w:eastAsia="es-UY"/>
              </w:rPr>
            </w:pPr>
          </w:p>
        </w:tc>
        <w:tc>
          <w:tcPr>
            <w:tcW w:w="2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51EE" w:rsidRPr="008823C0" w:rsidRDefault="00EF51EE" w:rsidP="004111AC">
            <w:pPr>
              <w:rPr>
                <w:rFonts w:cs="Arial"/>
                <w:b/>
                <w:bCs/>
                <w:color w:val="000000"/>
                <w:lang w:val="es-UY" w:eastAsia="es-UY"/>
              </w:rPr>
            </w:pPr>
          </w:p>
        </w:tc>
      </w:tr>
    </w:tbl>
    <w:p w:rsidR="00EF51EE" w:rsidRDefault="00EF51EE" w:rsidP="00D166BE">
      <w:pPr>
        <w:pStyle w:val="Piedepgina"/>
        <w:jc w:val="both"/>
        <w:rPr>
          <w:rFonts w:cs="Arial"/>
          <w:b/>
        </w:rPr>
      </w:pPr>
    </w:p>
    <w:p w:rsidR="00EF51EE" w:rsidRDefault="00EF51EE" w:rsidP="00D166BE">
      <w:pPr>
        <w:pStyle w:val="Piedepgina"/>
        <w:spacing w:line="36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1.2) Asignaciones presupuestales</w:t>
      </w:r>
    </w:p>
    <w:p w:rsidR="00EF51EE" w:rsidRDefault="00EF51EE" w:rsidP="00D166BE">
      <w:pPr>
        <w:pStyle w:val="Piedepgina"/>
        <w:jc w:val="both"/>
        <w:rPr>
          <w:rFonts w:cs="Arial"/>
          <w:b/>
        </w:rPr>
      </w:pPr>
      <w:r>
        <w:rPr>
          <w:rFonts w:cs="Arial"/>
          <w:b/>
        </w:rPr>
        <w:t>Presupuesto de Egresos Operativos</w:t>
      </w:r>
    </w:p>
    <w:tbl>
      <w:tblPr>
        <w:tblW w:w="7385" w:type="dxa"/>
        <w:jc w:val="center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3119"/>
        <w:gridCol w:w="2410"/>
      </w:tblGrid>
      <w:tr w:rsidR="00EF51EE" w:rsidRPr="009C1A2C" w:rsidTr="004111AC">
        <w:trPr>
          <w:trHeight w:val="330"/>
          <w:jc w:val="center"/>
        </w:trPr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9C1A2C" w:rsidRDefault="00EF51EE" w:rsidP="004111AC">
            <w:pPr>
              <w:jc w:val="center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9C1A2C">
              <w:rPr>
                <w:rFonts w:cs="Arial"/>
                <w:b/>
                <w:bCs/>
                <w:color w:val="000000"/>
                <w:lang w:val="es-UY" w:eastAsia="es-UY"/>
              </w:rPr>
              <w:t>Grupo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9C1A2C" w:rsidRDefault="00EF51EE" w:rsidP="004111AC">
            <w:pPr>
              <w:jc w:val="center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9C1A2C">
              <w:rPr>
                <w:rFonts w:cs="Arial"/>
                <w:b/>
                <w:bCs/>
                <w:color w:val="000000"/>
                <w:lang w:val="es-UY" w:eastAsia="es-UY"/>
              </w:rPr>
              <w:t>Denominación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9C1A2C" w:rsidRDefault="00EF51EE" w:rsidP="004111AC">
            <w:pPr>
              <w:jc w:val="center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9C1A2C">
              <w:rPr>
                <w:rFonts w:cs="Arial"/>
                <w:b/>
                <w:bCs/>
                <w:color w:val="000000"/>
                <w:lang w:val="es-UY" w:eastAsia="es-UY"/>
              </w:rPr>
              <w:t>Importe en $</w:t>
            </w:r>
          </w:p>
        </w:tc>
      </w:tr>
      <w:tr w:rsidR="00EF51EE" w:rsidRPr="009C1A2C" w:rsidTr="004111AC">
        <w:trPr>
          <w:trHeight w:val="330"/>
          <w:jc w:val="center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9C1A2C" w:rsidRDefault="00EF51EE" w:rsidP="004111AC">
            <w:pPr>
              <w:jc w:val="center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9C1A2C">
              <w:rPr>
                <w:rFonts w:cs="Arial"/>
                <w:b/>
                <w:bCs/>
                <w:color w:val="000000"/>
                <w:lang w:val="es-UY" w:eastAsia="es-UY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9C1A2C" w:rsidRDefault="00EF51EE" w:rsidP="004111AC">
            <w:pPr>
              <w:jc w:val="both"/>
              <w:rPr>
                <w:rFonts w:cs="Arial"/>
                <w:color w:val="000000"/>
                <w:lang w:val="es-UY" w:eastAsia="es-UY"/>
              </w:rPr>
            </w:pPr>
            <w:r w:rsidRPr="009C1A2C">
              <w:rPr>
                <w:rFonts w:cs="Arial"/>
                <w:color w:val="000000"/>
                <w:lang w:val="es-UY" w:eastAsia="es-UY"/>
              </w:rPr>
              <w:t>Servicios Personales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9C1A2C" w:rsidRDefault="00EF51EE" w:rsidP="004111AC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 w:rsidRPr="009C1A2C">
              <w:rPr>
                <w:rFonts w:cs="Arial"/>
                <w:color w:val="000000"/>
                <w:lang w:val="es-UY" w:eastAsia="es-UY"/>
              </w:rPr>
              <w:t>6.298.963.038</w:t>
            </w:r>
          </w:p>
        </w:tc>
      </w:tr>
      <w:tr w:rsidR="00EF51EE" w:rsidRPr="009C1A2C" w:rsidTr="004111AC">
        <w:trPr>
          <w:trHeight w:val="330"/>
          <w:jc w:val="center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9C1A2C" w:rsidRDefault="00EF51EE" w:rsidP="004111AC">
            <w:pPr>
              <w:jc w:val="center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9C1A2C">
              <w:rPr>
                <w:rFonts w:cs="Arial"/>
                <w:b/>
                <w:bCs/>
                <w:color w:val="000000"/>
                <w:lang w:val="es-UY" w:eastAsia="es-UY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9C1A2C" w:rsidRDefault="00EF51EE" w:rsidP="004111AC">
            <w:pPr>
              <w:jc w:val="both"/>
              <w:rPr>
                <w:rFonts w:cs="Arial"/>
                <w:color w:val="000000"/>
                <w:lang w:val="es-UY" w:eastAsia="es-UY"/>
              </w:rPr>
            </w:pPr>
            <w:r w:rsidRPr="009C1A2C">
              <w:rPr>
                <w:rFonts w:cs="Arial"/>
                <w:color w:val="000000"/>
                <w:lang w:val="es-UY" w:eastAsia="es-UY"/>
              </w:rPr>
              <w:t>Bienes de Consumo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9C1A2C" w:rsidRDefault="00EF51EE" w:rsidP="004111AC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 w:rsidRPr="009C1A2C">
              <w:rPr>
                <w:rFonts w:cs="Arial"/>
                <w:color w:val="000000"/>
                <w:lang w:val="es-UY" w:eastAsia="es-UY"/>
              </w:rPr>
              <w:t>58.941.571</w:t>
            </w:r>
          </w:p>
        </w:tc>
      </w:tr>
      <w:tr w:rsidR="00EF51EE" w:rsidRPr="009C1A2C" w:rsidTr="004111AC">
        <w:trPr>
          <w:trHeight w:val="330"/>
          <w:jc w:val="center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9C1A2C" w:rsidRDefault="00EF51EE" w:rsidP="004111AC">
            <w:pPr>
              <w:jc w:val="center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9C1A2C">
              <w:rPr>
                <w:rFonts w:cs="Arial"/>
                <w:b/>
                <w:bCs/>
                <w:color w:val="000000"/>
                <w:lang w:val="es-UY" w:eastAsia="es-UY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9C1A2C" w:rsidRDefault="00EF51EE" w:rsidP="004111AC">
            <w:pPr>
              <w:jc w:val="both"/>
              <w:rPr>
                <w:rFonts w:cs="Arial"/>
                <w:color w:val="000000"/>
                <w:lang w:val="es-UY" w:eastAsia="es-UY"/>
              </w:rPr>
            </w:pPr>
            <w:r w:rsidRPr="009C1A2C">
              <w:rPr>
                <w:rFonts w:cs="Arial"/>
                <w:color w:val="000000"/>
                <w:lang w:val="es-UY" w:eastAsia="es-UY"/>
              </w:rPr>
              <w:t>Servicios no Personales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9C1A2C" w:rsidRDefault="00EF51EE" w:rsidP="004111AC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 w:rsidRPr="009C1A2C">
              <w:rPr>
                <w:rFonts w:cs="Arial"/>
                <w:color w:val="000000"/>
                <w:lang w:val="es-UY" w:eastAsia="es-UY"/>
              </w:rPr>
              <w:t>2.386.341.454</w:t>
            </w:r>
          </w:p>
        </w:tc>
      </w:tr>
      <w:tr w:rsidR="00EF51EE" w:rsidRPr="009C1A2C" w:rsidTr="004111AC">
        <w:trPr>
          <w:trHeight w:val="330"/>
          <w:jc w:val="center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9C1A2C" w:rsidRDefault="00EF51EE" w:rsidP="004111AC">
            <w:pPr>
              <w:jc w:val="center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9C1A2C">
              <w:rPr>
                <w:rFonts w:cs="Arial"/>
                <w:b/>
                <w:bCs/>
                <w:color w:val="000000"/>
                <w:lang w:val="es-UY" w:eastAsia="es-UY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9C1A2C" w:rsidRDefault="00EF51EE" w:rsidP="004111AC">
            <w:pPr>
              <w:jc w:val="both"/>
              <w:rPr>
                <w:rFonts w:cs="Arial"/>
                <w:color w:val="000000"/>
                <w:lang w:val="es-UY" w:eastAsia="es-UY"/>
              </w:rPr>
            </w:pPr>
            <w:r w:rsidRPr="009C1A2C">
              <w:rPr>
                <w:rFonts w:cs="Arial"/>
                <w:color w:val="000000"/>
                <w:lang w:val="es-UY" w:eastAsia="es-UY"/>
              </w:rPr>
              <w:t>Transferencias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9C1A2C" w:rsidRDefault="00EF51EE" w:rsidP="004111AC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 w:rsidRPr="009C1A2C">
              <w:rPr>
                <w:rFonts w:cs="Arial"/>
                <w:color w:val="000000"/>
                <w:lang w:val="es-UY" w:eastAsia="es-UY"/>
              </w:rPr>
              <w:t>330.160.997.614</w:t>
            </w:r>
          </w:p>
        </w:tc>
      </w:tr>
      <w:tr w:rsidR="00EF51EE" w:rsidRPr="009C1A2C" w:rsidTr="004111AC">
        <w:trPr>
          <w:trHeight w:val="330"/>
          <w:jc w:val="center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9C1A2C" w:rsidRDefault="00EF51EE" w:rsidP="004111AC">
            <w:pPr>
              <w:jc w:val="center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9C1A2C">
              <w:rPr>
                <w:rFonts w:cs="Arial"/>
                <w:b/>
                <w:bCs/>
                <w:color w:val="000000"/>
                <w:lang w:val="es-UY" w:eastAsia="es-UY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9C1A2C" w:rsidRDefault="00EF51EE" w:rsidP="004111AC">
            <w:pPr>
              <w:jc w:val="both"/>
              <w:rPr>
                <w:rFonts w:cs="Arial"/>
                <w:color w:val="000000"/>
                <w:lang w:val="es-UY" w:eastAsia="es-UY"/>
              </w:rPr>
            </w:pPr>
            <w:r w:rsidRPr="009C1A2C">
              <w:rPr>
                <w:rFonts w:cs="Arial"/>
                <w:color w:val="000000"/>
                <w:lang w:val="es-UY" w:eastAsia="es-UY"/>
              </w:rPr>
              <w:t>Gastos no clasificados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9C1A2C" w:rsidRDefault="00EF51EE" w:rsidP="004111AC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 w:rsidRPr="009C1A2C">
              <w:rPr>
                <w:rFonts w:cs="Arial"/>
                <w:color w:val="000000"/>
                <w:lang w:val="es-UY" w:eastAsia="es-UY"/>
              </w:rPr>
              <w:t>79.436.474</w:t>
            </w:r>
          </w:p>
        </w:tc>
      </w:tr>
      <w:tr w:rsidR="00EF51EE" w:rsidRPr="009C1A2C" w:rsidTr="004111AC">
        <w:trPr>
          <w:trHeight w:val="300"/>
          <w:jc w:val="center"/>
        </w:trPr>
        <w:tc>
          <w:tcPr>
            <w:tcW w:w="18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9C1A2C" w:rsidRDefault="00EF51EE" w:rsidP="004111AC">
            <w:pPr>
              <w:jc w:val="center"/>
              <w:rPr>
                <w:rFonts w:cs="Arial"/>
                <w:b/>
                <w:bCs/>
                <w:color w:val="000000"/>
                <w:lang w:val="es-UY" w:eastAsia="es-UY"/>
              </w:rPr>
            </w:pPr>
            <w:r>
              <w:rPr>
                <w:rFonts w:cs="Arial"/>
                <w:b/>
                <w:bCs/>
                <w:color w:val="000000"/>
                <w:lang w:val="es-UY" w:eastAsia="es-UY"/>
              </w:rPr>
              <w:t>T</w:t>
            </w:r>
            <w:r w:rsidRPr="009C1A2C">
              <w:rPr>
                <w:rFonts w:cs="Arial"/>
                <w:b/>
                <w:bCs/>
                <w:color w:val="000000"/>
                <w:lang w:val="es-UY" w:eastAsia="es-UY"/>
              </w:rPr>
              <w:t>otal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9C1A2C" w:rsidRDefault="00EF51EE" w:rsidP="004111AC">
            <w:pPr>
              <w:jc w:val="right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9C1A2C">
              <w:rPr>
                <w:rFonts w:cs="Arial"/>
                <w:b/>
                <w:bCs/>
                <w:color w:val="000000"/>
                <w:lang w:val="es-UY" w:eastAsia="es-UY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9C1A2C" w:rsidRDefault="00EF51EE" w:rsidP="004111AC">
            <w:pPr>
              <w:jc w:val="right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9C1A2C">
              <w:rPr>
                <w:rFonts w:cs="Arial"/>
                <w:b/>
                <w:bCs/>
                <w:color w:val="000000"/>
                <w:lang w:val="es-UY" w:eastAsia="es-UY"/>
              </w:rPr>
              <w:t>338.984.680.151</w:t>
            </w:r>
          </w:p>
        </w:tc>
      </w:tr>
      <w:tr w:rsidR="00EF51EE" w:rsidRPr="009C1A2C" w:rsidTr="004111AC">
        <w:trPr>
          <w:trHeight w:val="276"/>
          <w:jc w:val="center"/>
        </w:trPr>
        <w:tc>
          <w:tcPr>
            <w:tcW w:w="18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51EE" w:rsidRPr="009C1A2C" w:rsidRDefault="00EF51EE" w:rsidP="004111AC">
            <w:pPr>
              <w:rPr>
                <w:rFonts w:cs="Arial"/>
                <w:b/>
                <w:bCs/>
                <w:color w:val="000000"/>
                <w:lang w:val="es-UY" w:eastAsia="es-UY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51EE" w:rsidRPr="009C1A2C" w:rsidRDefault="00EF51EE" w:rsidP="004111AC">
            <w:pPr>
              <w:rPr>
                <w:rFonts w:cs="Arial"/>
                <w:b/>
                <w:bCs/>
                <w:color w:val="000000"/>
                <w:lang w:val="es-UY" w:eastAsia="es-UY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51EE" w:rsidRPr="009C1A2C" w:rsidRDefault="00EF51EE" w:rsidP="004111AC">
            <w:pPr>
              <w:rPr>
                <w:rFonts w:cs="Arial"/>
                <w:b/>
                <w:bCs/>
                <w:color w:val="000000"/>
                <w:lang w:val="es-UY" w:eastAsia="es-UY"/>
              </w:rPr>
            </w:pPr>
          </w:p>
        </w:tc>
      </w:tr>
    </w:tbl>
    <w:p w:rsidR="00EF51EE" w:rsidRDefault="00EF51EE" w:rsidP="00D166BE">
      <w:pPr>
        <w:pStyle w:val="Piedepgina"/>
        <w:jc w:val="both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Presupuesto de Inversiones</w:t>
      </w:r>
    </w:p>
    <w:p w:rsidR="00EF51EE" w:rsidRPr="00EC2FA3" w:rsidRDefault="00EF51EE" w:rsidP="00D166BE">
      <w:pPr>
        <w:pStyle w:val="Piedepgina"/>
        <w:jc w:val="both"/>
        <w:rPr>
          <w:b/>
          <w:bCs/>
          <w:highlight w:val="green"/>
        </w:rPr>
      </w:pPr>
    </w:p>
    <w:tbl>
      <w:tblPr>
        <w:tblW w:w="7401" w:type="dxa"/>
        <w:jc w:val="center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1"/>
        <w:gridCol w:w="3118"/>
        <w:gridCol w:w="2552"/>
      </w:tblGrid>
      <w:tr w:rsidR="00EF51EE" w:rsidRPr="0019042F" w:rsidTr="004111AC">
        <w:trPr>
          <w:trHeight w:val="330"/>
          <w:jc w:val="center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19042F" w:rsidRDefault="00EF51EE" w:rsidP="004111AC">
            <w:pPr>
              <w:jc w:val="center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19042F">
              <w:rPr>
                <w:rFonts w:cs="Arial"/>
                <w:b/>
                <w:bCs/>
                <w:color w:val="000000"/>
                <w:lang w:val="es-UY" w:eastAsia="es-UY"/>
              </w:rPr>
              <w:t>Grupo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19042F" w:rsidRDefault="00EF51EE" w:rsidP="004111AC">
            <w:pPr>
              <w:jc w:val="center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19042F">
              <w:rPr>
                <w:rFonts w:cs="Arial"/>
                <w:b/>
                <w:bCs/>
                <w:color w:val="000000"/>
                <w:lang w:val="es-UY" w:eastAsia="es-UY"/>
              </w:rPr>
              <w:t>Denominación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19042F" w:rsidRDefault="00EF51EE" w:rsidP="004111AC">
            <w:pPr>
              <w:jc w:val="center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19042F">
              <w:rPr>
                <w:rFonts w:cs="Arial"/>
                <w:b/>
                <w:bCs/>
                <w:color w:val="000000"/>
                <w:lang w:val="es-UY" w:eastAsia="es-UY"/>
              </w:rPr>
              <w:t>Importe  en $</w:t>
            </w:r>
          </w:p>
        </w:tc>
      </w:tr>
      <w:tr w:rsidR="00EF51EE" w:rsidRPr="0019042F" w:rsidTr="004111AC">
        <w:trPr>
          <w:trHeight w:val="330"/>
          <w:jc w:val="center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19042F" w:rsidRDefault="00EF51EE" w:rsidP="004111AC">
            <w:pPr>
              <w:jc w:val="center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19042F">
              <w:rPr>
                <w:rFonts w:cs="Arial"/>
                <w:b/>
                <w:bCs/>
                <w:color w:val="000000"/>
                <w:lang w:val="es-UY" w:eastAsia="es-UY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19042F" w:rsidRDefault="00EF51EE" w:rsidP="004111AC">
            <w:pPr>
              <w:jc w:val="both"/>
              <w:rPr>
                <w:rFonts w:cs="Arial"/>
                <w:color w:val="000000"/>
                <w:lang w:val="es-UY" w:eastAsia="es-UY"/>
              </w:rPr>
            </w:pPr>
            <w:r w:rsidRPr="0019042F">
              <w:rPr>
                <w:rFonts w:cs="Arial"/>
                <w:color w:val="000000"/>
                <w:lang w:val="es-UY" w:eastAsia="es-UY"/>
              </w:rPr>
              <w:t>Servicios no Personales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19042F" w:rsidRDefault="00EF51EE" w:rsidP="004111AC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 w:rsidRPr="0019042F">
              <w:rPr>
                <w:rFonts w:cs="Arial"/>
                <w:color w:val="000000"/>
                <w:lang w:val="es-UY" w:eastAsia="es-UY"/>
              </w:rPr>
              <w:t>398.356.202</w:t>
            </w:r>
          </w:p>
        </w:tc>
      </w:tr>
      <w:tr w:rsidR="00EF51EE" w:rsidRPr="0019042F" w:rsidTr="004111AC">
        <w:trPr>
          <w:trHeight w:val="330"/>
          <w:jc w:val="center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19042F" w:rsidRDefault="00EF51EE" w:rsidP="004111AC">
            <w:pPr>
              <w:jc w:val="center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19042F">
              <w:rPr>
                <w:rFonts w:cs="Arial"/>
                <w:b/>
                <w:bCs/>
                <w:color w:val="000000"/>
                <w:lang w:val="es-UY" w:eastAsia="es-UY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19042F" w:rsidRDefault="00EF51EE" w:rsidP="004111AC">
            <w:pPr>
              <w:jc w:val="both"/>
              <w:rPr>
                <w:rFonts w:cs="Arial"/>
                <w:color w:val="000000"/>
                <w:lang w:val="es-UY" w:eastAsia="es-UY"/>
              </w:rPr>
            </w:pPr>
            <w:r w:rsidRPr="0019042F">
              <w:rPr>
                <w:rFonts w:cs="Arial"/>
                <w:color w:val="000000"/>
                <w:lang w:val="es-UY" w:eastAsia="es-UY"/>
              </w:rPr>
              <w:t>Bienes de Uso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19042F" w:rsidRDefault="00EF51EE" w:rsidP="004111AC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 w:rsidRPr="0019042F">
              <w:rPr>
                <w:rFonts w:cs="Arial"/>
                <w:color w:val="000000"/>
                <w:lang w:val="es-UY" w:eastAsia="es-UY"/>
              </w:rPr>
              <w:t>91.814.094</w:t>
            </w:r>
          </w:p>
        </w:tc>
      </w:tr>
      <w:tr w:rsidR="00EF51EE" w:rsidRPr="0019042F" w:rsidTr="004111AC">
        <w:trPr>
          <w:trHeight w:val="330"/>
          <w:jc w:val="center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19042F" w:rsidRDefault="00EF51EE" w:rsidP="004111AC">
            <w:pPr>
              <w:jc w:val="center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19042F">
              <w:rPr>
                <w:rFonts w:cs="Arial"/>
                <w:b/>
                <w:bCs/>
                <w:color w:val="000000"/>
                <w:lang w:val="es-UY" w:eastAsia="es-UY"/>
              </w:rPr>
              <w:t>Total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1EE" w:rsidRPr="0019042F" w:rsidRDefault="00EF51EE" w:rsidP="004111AC">
            <w:pPr>
              <w:jc w:val="both"/>
              <w:rPr>
                <w:rFonts w:cs="Arial"/>
                <w:color w:val="000000"/>
                <w:lang w:val="es-UY" w:eastAsia="es-UY"/>
              </w:rPr>
            </w:pPr>
            <w:r w:rsidRPr="0019042F">
              <w:rPr>
                <w:rFonts w:cs="Arial"/>
                <w:color w:val="000000"/>
                <w:lang w:val="es-UY" w:eastAsia="es-UY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1EE" w:rsidRPr="0019042F" w:rsidRDefault="00EF51EE" w:rsidP="004111AC">
            <w:pPr>
              <w:jc w:val="right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19042F">
              <w:rPr>
                <w:rFonts w:cs="Arial"/>
                <w:b/>
                <w:bCs/>
                <w:color w:val="000000"/>
                <w:lang w:val="es-UY" w:eastAsia="es-UY"/>
              </w:rPr>
              <w:t>490.170.296</w:t>
            </w:r>
          </w:p>
        </w:tc>
      </w:tr>
    </w:tbl>
    <w:p w:rsidR="00EF51EE" w:rsidRDefault="00EF51EE" w:rsidP="00D166BE">
      <w:pPr>
        <w:pStyle w:val="Piedepgina"/>
        <w:jc w:val="both"/>
        <w:rPr>
          <w:rFonts w:cs="Arial"/>
          <w:b/>
          <w:bCs/>
        </w:rPr>
      </w:pPr>
    </w:p>
    <w:p w:rsidR="00EF51EE" w:rsidRDefault="00EF51EE" w:rsidP="00D166BE">
      <w:pPr>
        <w:pStyle w:val="Piedepgina"/>
        <w:jc w:val="both"/>
        <w:rPr>
          <w:rFonts w:cs="Arial"/>
          <w:b/>
          <w:bCs/>
        </w:rPr>
      </w:pPr>
    </w:p>
    <w:tbl>
      <w:tblPr>
        <w:tblW w:w="7104" w:type="dxa"/>
        <w:jc w:val="center"/>
        <w:tblInd w:w="-10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2143"/>
      </w:tblGrid>
      <w:tr w:rsidR="00EF51EE" w:rsidTr="007553C0">
        <w:trPr>
          <w:cantSplit/>
          <w:trHeight w:val="31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EE" w:rsidRPr="004F1067" w:rsidRDefault="00EF51EE" w:rsidP="004111AC">
            <w:pPr>
              <w:jc w:val="both"/>
              <w:rPr>
                <w:rFonts w:eastAsia="Arial Unicode MS" w:cs="Arial"/>
              </w:rPr>
            </w:pPr>
            <w:r w:rsidRPr="004F1067">
              <w:rPr>
                <w:rFonts w:cs="Arial"/>
                <w:b/>
                <w:bCs/>
              </w:rPr>
              <w:t>Total de egresos</w:t>
            </w:r>
            <w:r w:rsidRPr="004F1067">
              <w:rPr>
                <w:rFonts w:cs="Arial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1EE" w:rsidRPr="004F1067" w:rsidRDefault="00EF51EE" w:rsidP="007553C0">
            <w:pPr>
              <w:jc w:val="right"/>
              <w:rPr>
                <w:rFonts w:eastAsia="Arial Unicode MS" w:cs="Arial"/>
                <w:b/>
                <w:bCs/>
              </w:rPr>
            </w:pPr>
            <w:r w:rsidRPr="004F1067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color w:val="000000"/>
                <w:lang w:val="es-UY" w:eastAsia="es-UY"/>
              </w:rPr>
              <w:t>339.474.850.447</w:t>
            </w:r>
          </w:p>
        </w:tc>
      </w:tr>
    </w:tbl>
    <w:p w:rsidR="00EF51EE" w:rsidRDefault="00EF51EE" w:rsidP="00D166BE">
      <w:pPr>
        <w:pStyle w:val="Piedepgina"/>
        <w:jc w:val="both"/>
        <w:rPr>
          <w:rFonts w:cs="Arial"/>
          <w:highlight w:val="yellow"/>
          <w:u w:val="single"/>
        </w:rPr>
      </w:pPr>
    </w:p>
    <w:p w:rsidR="00EF51EE" w:rsidRDefault="00EF51EE" w:rsidP="00D166BE">
      <w:pPr>
        <w:pStyle w:val="Piedepgina"/>
        <w:spacing w:line="360" w:lineRule="auto"/>
        <w:jc w:val="both"/>
        <w:rPr>
          <w:rFonts w:cs="Arial"/>
          <w:b/>
          <w:bCs/>
        </w:rPr>
      </w:pPr>
    </w:p>
    <w:p w:rsidR="00EF51EE" w:rsidRPr="00DA6E30" w:rsidRDefault="00EF51EE" w:rsidP="00D166BE">
      <w:pPr>
        <w:pStyle w:val="Piedepgina"/>
        <w:tabs>
          <w:tab w:val="left" w:pos="708"/>
        </w:tabs>
        <w:jc w:val="both"/>
        <w:rPr>
          <w:rFonts w:cs="Arial"/>
          <w:b/>
          <w:bCs/>
        </w:rPr>
      </w:pPr>
      <w:r w:rsidRPr="009A0F52">
        <w:rPr>
          <w:b/>
          <w:bCs/>
        </w:rPr>
        <w:t>1</w:t>
      </w:r>
      <w:r w:rsidRPr="009A0F52">
        <w:rPr>
          <w:rFonts w:cs="Arial"/>
          <w:b/>
          <w:bCs/>
        </w:rPr>
        <w:t>.3) Análisis del Resultado Presupuestal</w:t>
      </w:r>
    </w:p>
    <w:p w:rsidR="00EF51EE" w:rsidRDefault="00EF51EE" w:rsidP="00D166BE">
      <w:pPr>
        <w:pStyle w:val="Piedepgina"/>
        <w:tabs>
          <w:tab w:val="left" w:pos="708"/>
        </w:tabs>
        <w:jc w:val="both"/>
        <w:rPr>
          <w:b/>
          <w:bCs/>
        </w:rPr>
      </w:pPr>
    </w:p>
    <w:tbl>
      <w:tblPr>
        <w:tblW w:w="554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2552"/>
      </w:tblGrid>
      <w:tr w:rsidR="00EF51EE" w:rsidRPr="000310A4" w:rsidTr="004111AC">
        <w:trPr>
          <w:trHeight w:val="672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EE" w:rsidRPr="000310A4" w:rsidRDefault="00EF51EE" w:rsidP="004111AC">
            <w:pPr>
              <w:jc w:val="center"/>
              <w:rPr>
                <w:rFonts w:cs="Arial"/>
                <w:b/>
                <w:bCs/>
              </w:rPr>
            </w:pPr>
            <w:r w:rsidRPr="000310A4">
              <w:rPr>
                <w:rFonts w:cs="Arial"/>
                <w:b/>
                <w:bCs/>
              </w:rPr>
              <w:t>Concepto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EE" w:rsidRPr="000310A4" w:rsidRDefault="00EF51EE" w:rsidP="004111AC">
            <w:pPr>
              <w:jc w:val="center"/>
              <w:rPr>
                <w:rFonts w:cs="Arial"/>
                <w:b/>
                <w:bCs/>
              </w:rPr>
            </w:pPr>
            <w:r w:rsidRPr="000310A4">
              <w:rPr>
                <w:rFonts w:cs="Arial"/>
                <w:b/>
                <w:bCs/>
              </w:rPr>
              <w:t>Importe en $</w:t>
            </w:r>
          </w:p>
        </w:tc>
      </w:tr>
      <w:tr w:rsidR="00EF51EE" w:rsidRPr="000310A4" w:rsidTr="004111AC">
        <w:trPr>
          <w:trHeight w:val="315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EE" w:rsidRPr="000310A4" w:rsidRDefault="00EF51EE" w:rsidP="0067645F">
            <w:pPr>
              <w:rPr>
                <w:rFonts w:cs="Arial"/>
                <w:b/>
                <w:bCs/>
              </w:rPr>
            </w:pPr>
            <w:r w:rsidRPr="000310A4">
              <w:rPr>
                <w:rFonts w:cs="Arial"/>
                <w:b/>
                <w:bCs/>
              </w:rPr>
              <w:t>Ingresos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EE" w:rsidRPr="000310A4" w:rsidRDefault="00EF51EE" w:rsidP="00166B06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339.474.850.447</w:t>
            </w:r>
          </w:p>
        </w:tc>
      </w:tr>
      <w:tr w:rsidR="00EF51EE" w:rsidRPr="000310A4" w:rsidTr="004111AC">
        <w:trPr>
          <w:trHeight w:val="449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EE" w:rsidRPr="000310A4" w:rsidRDefault="00EF51EE" w:rsidP="004111AC">
            <w:pPr>
              <w:rPr>
                <w:rFonts w:cs="Arial"/>
                <w:b/>
                <w:bCs/>
              </w:rPr>
            </w:pPr>
            <w:r w:rsidRPr="000310A4">
              <w:rPr>
                <w:rFonts w:cs="Arial"/>
                <w:b/>
                <w:bCs/>
              </w:rPr>
              <w:t xml:space="preserve">Egresos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EE" w:rsidRPr="000310A4" w:rsidRDefault="00EF51EE" w:rsidP="007553C0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339.474.850.447</w:t>
            </w:r>
          </w:p>
        </w:tc>
      </w:tr>
      <w:tr w:rsidR="00EF51EE" w:rsidRPr="000310A4" w:rsidTr="004111AC">
        <w:trPr>
          <w:trHeight w:val="315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EE" w:rsidRPr="000310A4" w:rsidRDefault="00EF51EE" w:rsidP="004111AC">
            <w:pPr>
              <w:rPr>
                <w:rFonts w:cs="Arial"/>
                <w:bCs/>
              </w:rPr>
            </w:pPr>
            <w:r w:rsidRPr="000310A4">
              <w:rPr>
                <w:rFonts w:cs="Arial"/>
                <w:bCs/>
              </w:rPr>
              <w:t>Egresos Operativos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EE" w:rsidRPr="000310A4" w:rsidRDefault="00EF51EE" w:rsidP="004111AC">
            <w:pPr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338.984.680.151</w:t>
            </w:r>
            <w:r w:rsidRPr="000310A4">
              <w:rPr>
                <w:rFonts w:cs="Arial"/>
                <w:bCs/>
              </w:rPr>
              <w:t xml:space="preserve"> </w:t>
            </w:r>
          </w:p>
        </w:tc>
      </w:tr>
      <w:tr w:rsidR="00EF51EE" w:rsidRPr="000310A4" w:rsidTr="004111AC">
        <w:trPr>
          <w:trHeight w:val="315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EE" w:rsidRPr="000310A4" w:rsidRDefault="00EF51EE" w:rsidP="004111AC">
            <w:pPr>
              <w:rPr>
                <w:rFonts w:cs="Arial"/>
                <w:bCs/>
              </w:rPr>
            </w:pPr>
            <w:r w:rsidRPr="000310A4">
              <w:rPr>
                <w:rFonts w:cs="Arial"/>
                <w:bCs/>
              </w:rPr>
              <w:t>Inversiones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EE" w:rsidRPr="000310A4" w:rsidRDefault="00EF51EE" w:rsidP="004111AC">
            <w:pPr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    490.170.296</w:t>
            </w:r>
            <w:r w:rsidRPr="000310A4">
              <w:rPr>
                <w:rFonts w:cs="Arial"/>
                <w:bCs/>
              </w:rPr>
              <w:t xml:space="preserve"> </w:t>
            </w:r>
          </w:p>
        </w:tc>
      </w:tr>
      <w:tr w:rsidR="00EF51EE" w:rsidRPr="000310A4" w:rsidTr="004111AC">
        <w:trPr>
          <w:trHeight w:val="465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EE" w:rsidRPr="000310A4" w:rsidRDefault="00EF51EE" w:rsidP="004111A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Resultado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EE" w:rsidRPr="000310A4" w:rsidRDefault="00EF51EE" w:rsidP="004111AC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-----------------------</w:t>
            </w:r>
          </w:p>
        </w:tc>
      </w:tr>
    </w:tbl>
    <w:p w:rsidR="00EF51EE" w:rsidRDefault="00EF51EE" w:rsidP="00D166BE">
      <w:pPr>
        <w:pStyle w:val="Piedepgina"/>
        <w:tabs>
          <w:tab w:val="left" w:pos="708"/>
        </w:tabs>
        <w:jc w:val="both"/>
        <w:rPr>
          <w:b/>
          <w:bCs/>
        </w:rPr>
      </w:pPr>
    </w:p>
    <w:p w:rsidR="00EF51EE" w:rsidRDefault="00EF51EE" w:rsidP="00D166BE">
      <w:pPr>
        <w:pStyle w:val="Piedepgina"/>
        <w:tabs>
          <w:tab w:val="left" w:pos="708"/>
        </w:tabs>
        <w:jc w:val="both"/>
        <w:rPr>
          <w:b/>
          <w:bCs/>
        </w:rPr>
      </w:pPr>
    </w:p>
    <w:p w:rsidR="00EF51EE" w:rsidRDefault="00EF51EE" w:rsidP="00D166BE">
      <w:pPr>
        <w:pStyle w:val="Piedepgina"/>
        <w:spacing w:line="360" w:lineRule="auto"/>
        <w:jc w:val="both"/>
        <w:rPr>
          <w:rFonts w:cs="Arial"/>
        </w:rPr>
      </w:pPr>
      <w:r w:rsidRPr="00DA6E30">
        <w:rPr>
          <w:rFonts w:cs="Arial"/>
          <w:b/>
          <w:bCs/>
        </w:rPr>
        <w:t>1.4)</w:t>
      </w:r>
      <w:r w:rsidRPr="00DA6E30">
        <w:rPr>
          <w:rFonts w:cs="Arial"/>
        </w:rPr>
        <w:t xml:space="preserve"> Los ingresos y egresos previstos fueron calculados a nive</w:t>
      </w:r>
      <w:r>
        <w:rPr>
          <w:rFonts w:cs="Arial"/>
        </w:rPr>
        <w:t>l de precios de enero-junio-2017</w:t>
      </w:r>
      <w:r w:rsidRPr="00DA6E30">
        <w:rPr>
          <w:rFonts w:cs="Arial"/>
        </w:rPr>
        <w:t xml:space="preserve"> a un tipo de cambio de $ </w:t>
      </w:r>
      <w:r>
        <w:rPr>
          <w:rFonts w:cs="Arial"/>
        </w:rPr>
        <w:t>28,6</w:t>
      </w:r>
      <w:r w:rsidRPr="00DA6E30">
        <w:rPr>
          <w:rFonts w:cs="Arial"/>
        </w:rPr>
        <w:t xml:space="preserve"> por dólar americano y un índice de precios de consumo de </w:t>
      </w:r>
      <w:r>
        <w:rPr>
          <w:rFonts w:cs="Arial"/>
        </w:rPr>
        <w:t>168,50.</w:t>
      </w:r>
    </w:p>
    <w:p w:rsidR="00EF51EE" w:rsidRDefault="00EF51EE" w:rsidP="00D166BE">
      <w:pPr>
        <w:pStyle w:val="Piedepgina"/>
        <w:spacing w:line="360" w:lineRule="auto"/>
        <w:jc w:val="both"/>
        <w:rPr>
          <w:rFonts w:cs="Arial"/>
          <w:u w:val="single"/>
        </w:rPr>
      </w:pPr>
    </w:p>
    <w:p w:rsidR="00EF51EE" w:rsidRPr="00CA12AD" w:rsidRDefault="00EF51EE" w:rsidP="00F550A2">
      <w:pPr>
        <w:pStyle w:val="Textoindependiente2"/>
        <w:spacing w:line="360" w:lineRule="auto"/>
        <w:rPr>
          <w:rFonts w:ascii="Helvetica" w:hAnsi="Helvetica"/>
          <w:b w:val="0"/>
          <w:bCs w:val="0"/>
          <w:spacing w:val="-3"/>
          <w:lang w:val="es-ES_tradnl" w:eastAsia="es-ES"/>
        </w:rPr>
      </w:pPr>
      <w:r>
        <w:t>2) CUMPLIMIENTO DE NORMAS CONSTITUCIONALES, LEGALES Y REGLAMENTARIAS</w:t>
      </w:r>
    </w:p>
    <w:p w:rsidR="00EF51EE" w:rsidRPr="00CA12AD" w:rsidRDefault="00EF51EE" w:rsidP="00F550A2">
      <w:pPr>
        <w:spacing w:line="360" w:lineRule="auto"/>
        <w:jc w:val="both"/>
        <w:rPr>
          <w:lang w:val="es-MX"/>
        </w:rPr>
      </w:pPr>
      <w:r>
        <w:rPr>
          <w:b/>
          <w:lang w:val="es-MX"/>
        </w:rPr>
        <w:t>2.</w:t>
      </w:r>
      <w:r w:rsidRPr="00CA12AD">
        <w:rPr>
          <w:b/>
          <w:lang w:val="es-MX"/>
        </w:rPr>
        <w:t>1)</w:t>
      </w:r>
      <w:r>
        <w:rPr>
          <w:lang w:val="es-MX"/>
        </w:rPr>
        <w:t xml:space="preserve">  El p</w:t>
      </w:r>
      <w:r w:rsidRPr="00CA12AD">
        <w:rPr>
          <w:lang w:val="es-MX"/>
        </w:rPr>
        <w:t xml:space="preserve">royecto remitido fue aprobado por el Directorio del Banco de Previsión Social por Resolución Nº </w:t>
      </w:r>
      <w:r>
        <w:rPr>
          <w:lang w:val="es-MX"/>
        </w:rPr>
        <w:t>24-1/2017</w:t>
      </w:r>
      <w:r w:rsidRPr="00594B05">
        <w:rPr>
          <w:lang w:val="es-MX"/>
        </w:rPr>
        <w:t xml:space="preserve"> de fecha 2</w:t>
      </w:r>
      <w:r>
        <w:rPr>
          <w:lang w:val="es-MX"/>
        </w:rPr>
        <w:t>6/07/2017</w:t>
      </w:r>
      <w:r w:rsidRPr="00CA12AD">
        <w:rPr>
          <w:lang w:val="es-MX"/>
        </w:rPr>
        <w:t>, e ingresó a este Trib</w:t>
      </w:r>
      <w:r>
        <w:rPr>
          <w:lang w:val="es-MX"/>
        </w:rPr>
        <w:t>unal para su consideración el 31/07/2017</w:t>
      </w:r>
      <w:r w:rsidRPr="00CA12AD">
        <w:rPr>
          <w:lang w:val="es-MX"/>
        </w:rPr>
        <w:t>, por lo que ha dado cumplimiento a lo previsto po</w:t>
      </w:r>
      <w:r>
        <w:rPr>
          <w:lang w:val="es-MX"/>
        </w:rPr>
        <w:t>r el Artículo 221 (Inciso 1</w:t>
      </w:r>
      <w:r w:rsidRPr="00CA12AD">
        <w:rPr>
          <w:lang w:val="es-MX"/>
        </w:rPr>
        <w:t xml:space="preserve">) de </w:t>
      </w:r>
      <w:smartTag w:uri="urn:schemas-microsoft-com:office:smarttags" w:element="PersonName">
        <w:smartTagPr>
          <w:attr w:name="ProductID" w:val="la Constitución"/>
        </w:smartTagPr>
        <w:r w:rsidRPr="00CA12AD">
          <w:rPr>
            <w:lang w:val="es-MX"/>
          </w:rPr>
          <w:t>la Constitución</w:t>
        </w:r>
      </w:smartTag>
      <w:r>
        <w:rPr>
          <w:lang w:val="es-MX"/>
        </w:rPr>
        <w:t xml:space="preserve"> de la República.</w:t>
      </w:r>
    </w:p>
    <w:p w:rsidR="00EF51EE" w:rsidRPr="00680090" w:rsidRDefault="00EF51EE" w:rsidP="00F550A2">
      <w:pPr>
        <w:spacing w:line="360" w:lineRule="auto"/>
        <w:jc w:val="both"/>
        <w:rPr>
          <w:lang w:val="es-MX"/>
        </w:rPr>
      </w:pPr>
      <w:r w:rsidRPr="00680090">
        <w:rPr>
          <w:b/>
          <w:lang w:val="es-MX"/>
        </w:rPr>
        <w:lastRenderedPageBreak/>
        <w:t>2.2)</w:t>
      </w:r>
      <w:r>
        <w:rPr>
          <w:lang w:val="es-MX"/>
        </w:rPr>
        <w:t xml:space="preserve"> Se da cumplimiento con</w:t>
      </w:r>
      <w:r w:rsidRPr="00680090">
        <w:rPr>
          <w:lang w:val="es-MX"/>
        </w:rPr>
        <w:t xml:space="preserve"> lo disp</w:t>
      </w:r>
      <w:r>
        <w:rPr>
          <w:lang w:val="es-MX"/>
        </w:rPr>
        <w:t>uesto por el A</w:t>
      </w:r>
      <w:r w:rsidRPr="00680090">
        <w:rPr>
          <w:lang w:val="es-MX"/>
        </w:rPr>
        <w:t>rtículo</w:t>
      </w:r>
      <w:r w:rsidRPr="00680090">
        <w:t xml:space="preserve"> </w:t>
      </w:r>
      <w:r>
        <w:rPr>
          <w:lang w:val="es-MX"/>
        </w:rPr>
        <w:t>216 I</w:t>
      </w:r>
      <w:r w:rsidRPr="00680090">
        <w:rPr>
          <w:lang w:val="es-MX"/>
        </w:rPr>
        <w:t xml:space="preserve">nciso 3 de </w:t>
      </w:r>
      <w:smartTag w:uri="urn:schemas-microsoft-com:office:smarttags" w:element="PersonName">
        <w:smartTagPr>
          <w:attr w:name="ProductID" w:val="la Constitución"/>
        </w:smartTagPr>
        <w:r w:rsidRPr="00680090">
          <w:rPr>
            <w:lang w:val="es-MX"/>
          </w:rPr>
          <w:t>la Constitución</w:t>
        </w:r>
      </w:smartTag>
      <w:r w:rsidRPr="00680090">
        <w:rPr>
          <w:lang w:val="es-MX"/>
        </w:rPr>
        <w:t xml:space="preserve"> de la República, en cuanto se ac</w:t>
      </w:r>
      <w:r>
        <w:rPr>
          <w:lang w:val="es-MX"/>
        </w:rPr>
        <w:t>ompaña un comparativo entre el P</w:t>
      </w:r>
      <w:r w:rsidRPr="00680090">
        <w:rPr>
          <w:lang w:val="es-MX"/>
        </w:rPr>
        <w:t>resupues</w:t>
      </w:r>
      <w:r>
        <w:rPr>
          <w:lang w:val="es-MX"/>
        </w:rPr>
        <w:t>to O</w:t>
      </w:r>
      <w:r w:rsidRPr="00680090">
        <w:rPr>
          <w:lang w:val="es-MX"/>
        </w:rPr>
        <w:t>perativo 2017 y el proyecta</w:t>
      </w:r>
      <w:r>
        <w:rPr>
          <w:lang w:val="es-MX"/>
        </w:rPr>
        <w:t>do 2018, siendo el P</w:t>
      </w:r>
      <w:r w:rsidRPr="00680090">
        <w:rPr>
          <w:lang w:val="es-MX"/>
        </w:rPr>
        <w:t>resupuesto año 2017 el vigente.</w:t>
      </w:r>
    </w:p>
    <w:p w:rsidR="00EF51EE" w:rsidRPr="00680090" w:rsidRDefault="00EF51EE" w:rsidP="00D166BE">
      <w:pPr>
        <w:tabs>
          <w:tab w:val="left" w:pos="-720"/>
        </w:tabs>
        <w:suppressAutoHyphens/>
        <w:spacing w:line="360" w:lineRule="auto"/>
        <w:jc w:val="both"/>
        <w:rPr>
          <w:b/>
          <w:lang w:val="es-MX"/>
        </w:rPr>
      </w:pPr>
      <w:r w:rsidRPr="00680090">
        <w:rPr>
          <w:b/>
          <w:bCs/>
          <w:lang w:val="es-MX"/>
        </w:rPr>
        <w:t>2.</w:t>
      </w:r>
      <w:r w:rsidRPr="00680090">
        <w:rPr>
          <w:b/>
          <w:bCs/>
          <w:lang w:val="es-ES_tradnl"/>
        </w:rPr>
        <w:t>3</w:t>
      </w:r>
      <w:r w:rsidRPr="00680090">
        <w:rPr>
          <w:b/>
          <w:bCs/>
          <w:lang w:val="es-MX"/>
        </w:rPr>
        <w:t xml:space="preserve">) </w:t>
      </w:r>
      <w:r>
        <w:t>El A</w:t>
      </w:r>
      <w:r w:rsidRPr="00680090">
        <w:t>rtículo 9 faculta pago de la Compensación Reestruc</w:t>
      </w:r>
      <w:r>
        <w:t>tura, creada y regulada por el A</w:t>
      </w:r>
      <w:r w:rsidRPr="00680090">
        <w:t>rtículo 9 del Decreto 475/2011 de fecha 28/12/</w:t>
      </w:r>
      <w:r>
        <w:t>20</w:t>
      </w:r>
      <w:r w:rsidRPr="00680090">
        <w:t xml:space="preserve">11. Dicha norma establece que la compensación será regulada por la Reglamentación a dictar por el Directorio, por lo que debe consignarse que los criterios establecidos no podrán modificarse con posterioridad a la aprobación del </w:t>
      </w:r>
      <w:r>
        <w:t>P</w:t>
      </w:r>
      <w:r w:rsidRPr="00680090">
        <w:t>resupuesto.</w:t>
      </w:r>
    </w:p>
    <w:p w:rsidR="00EF51EE" w:rsidRPr="00680090" w:rsidRDefault="00EF51EE" w:rsidP="00D166BE">
      <w:pPr>
        <w:tabs>
          <w:tab w:val="left" w:pos="-720"/>
        </w:tabs>
        <w:suppressAutoHyphens/>
        <w:spacing w:line="360" w:lineRule="auto"/>
        <w:jc w:val="both"/>
        <w:rPr>
          <w:rFonts w:ascii="Helvetica" w:hAnsi="Helvetica"/>
          <w:spacing w:val="-3"/>
          <w:lang w:val="es-ES_tradnl"/>
        </w:rPr>
      </w:pPr>
      <w:r w:rsidRPr="00680090">
        <w:rPr>
          <w:b/>
          <w:bCs/>
          <w:lang w:val="es-MX"/>
        </w:rPr>
        <w:t>2.4)</w:t>
      </w:r>
      <w:r w:rsidRPr="00680090">
        <w:rPr>
          <w:bCs/>
          <w:lang w:val="es-MX"/>
        </w:rPr>
        <w:t xml:space="preserve"> </w:t>
      </w:r>
      <w:r>
        <w:t>El A</w:t>
      </w:r>
      <w:r w:rsidRPr="00680090">
        <w:t>rtículo 22 prevé que al efectuar la prov</w:t>
      </w:r>
      <w:r>
        <w:t>isión o supresión de vacantes (A</w:t>
      </w:r>
      <w:r w:rsidRPr="00680090">
        <w:t>rtículo 65) el Banco deberá dar cumplimiento a las disposiciones de la Ley Nº18.561 (Protección integral de las personas con discapacidad). Debe señalars</w:t>
      </w:r>
      <w:r>
        <w:t>e que en dichas instancias, el O</w:t>
      </w:r>
      <w:r w:rsidRPr="00680090">
        <w:t>rganismo está asimismo obligado a dar cumplimiento a lo establecido por la Ley Nº 19.122 (Afrodescendi</w:t>
      </w:r>
      <w:r>
        <w:t>entes), y en particular por su A</w:t>
      </w:r>
      <w:r w:rsidRPr="00680090">
        <w:t>rtículo 4.</w:t>
      </w:r>
    </w:p>
    <w:p w:rsidR="00EF51EE" w:rsidRPr="00680090" w:rsidRDefault="00EF51EE" w:rsidP="00D166BE">
      <w:pPr>
        <w:tabs>
          <w:tab w:val="left" w:pos="-720"/>
        </w:tabs>
        <w:suppressAutoHyphens/>
        <w:spacing w:line="360" w:lineRule="auto"/>
        <w:jc w:val="both"/>
        <w:rPr>
          <w:bCs/>
          <w:lang w:val="es-ES_tradnl"/>
        </w:rPr>
      </w:pPr>
      <w:r w:rsidRPr="00680090">
        <w:rPr>
          <w:b/>
          <w:bCs/>
          <w:lang w:val="es-MX"/>
        </w:rPr>
        <w:t>2.5</w:t>
      </w:r>
      <w:r w:rsidRPr="00680090">
        <w:rPr>
          <w:b/>
          <w:lang w:val="es-ES_tradnl"/>
        </w:rPr>
        <w:t xml:space="preserve">) </w:t>
      </w:r>
      <w:r w:rsidRPr="00680090">
        <w:t xml:space="preserve">Para realización de trabajo extraordinario, de acuerdo con las previsiones </w:t>
      </w:r>
      <w:r>
        <w:t>del ya citado A</w:t>
      </w:r>
      <w:r w:rsidRPr="00680090">
        <w:t>rtículo 22 (RD 14-50/2002 y modificat</w:t>
      </w:r>
      <w:r>
        <w:t>ivas) la norma aplicable es el A</w:t>
      </w:r>
      <w:r w:rsidRPr="00680090">
        <w:t>rtículo 588 del Decreto Ley Nº 14.18</w:t>
      </w:r>
      <w:r>
        <w:t>9, en la redacción dada por el A</w:t>
      </w:r>
      <w:r w:rsidRPr="00680090">
        <w:t>rtículo 765 de la Ley Nº 19.335. Asimismo, la aplicación del referido régimen deberá ajustarse a los topes diarios, semanales y mensuales establecidos por la normativa vigente y los Convenios Internacionales del Trabajo.</w:t>
      </w:r>
    </w:p>
    <w:p w:rsidR="00EF51EE" w:rsidRDefault="00EF51EE" w:rsidP="00F550A2">
      <w:pPr>
        <w:autoSpaceDE w:val="0"/>
        <w:autoSpaceDN w:val="0"/>
        <w:adjustRightInd w:val="0"/>
        <w:spacing w:line="360" w:lineRule="auto"/>
        <w:jc w:val="both"/>
      </w:pPr>
      <w:r w:rsidRPr="00680090">
        <w:rPr>
          <w:b/>
          <w:bCs/>
          <w:lang w:val="es-MX"/>
        </w:rPr>
        <w:t>2.6</w:t>
      </w:r>
      <w:r w:rsidRPr="00680090">
        <w:rPr>
          <w:b/>
          <w:bCs/>
        </w:rPr>
        <w:t>)</w:t>
      </w:r>
      <w:r w:rsidRPr="00680090">
        <w:rPr>
          <w:lang w:val="es-MX"/>
        </w:rPr>
        <w:t xml:space="preserve"> </w:t>
      </w:r>
      <w:r w:rsidRPr="00680090">
        <w:t>La partida por noct</w:t>
      </w:r>
      <w:r>
        <w:t>urnidad, regulada por el mismo A</w:t>
      </w:r>
      <w:r w:rsidRPr="00680090">
        <w:t>rtículo 22, deberá atenerse a lo dispuesto por la Ley Nº</w:t>
      </w:r>
      <w:r>
        <w:t xml:space="preserve"> 19.313, en particular, por su A</w:t>
      </w:r>
      <w:r w:rsidRPr="00680090">
        <w:t>rtículo 4, que prevé el pago de una sobretasa mínima por nocturnidad del 20%, a todo trabajo que se desempeñe entre las 22 horas y las 6 horas del día siguiente.</w:t>
      </w:r>
    </w:p>
    <w:p w:rsidR="00EF51EE" w:rsidRPr="00680090" w:rsidRDefault="00EF51EE" w:rsidP="00F550A2">
      <w:pPr>
        <w:autoSpaceDE w:val="0"/>
        <w:autoSpaceDN w:val="0"/>
        <w:adjustRightInd w:val="0"/>
        <w:spacing w:line="360" w:lineRule="auto"/>
        <w:jc w:val="both"/>
        <w:rPr>
          <w:lang w:val="es-MX"/>
        </w:rPr>
      </w:pPr>
    </w:p>
    <w:p w:rsidR="00EF51EE" w:rsidRPr="00680090" w:rsidRDefault="00EF51EE" w:rsidP="00F550A2">
      <w:pPr>
        <w:spacing w:line="360" w:lineRule="auto"/>
        <w:jc w:val="both"/>
        <w:rPr>
          <w:lang w:val="es-MX"/>
        </w:rPr>
      </w:pPr>
      <w:r w:rsidRPr="00680090">
        <w:rPr>
          <w:b/>
          <w:lang w:val="es-MX"/>
        </w:rPr>
        <w:lastRenderedPageBreak/>
        <w:t>2.7)</w:t>
      </w:r>
      <w:r w:rsidRPr="00680090">
        <w:rPr>
          <w:lang w:val="es-MX"/>
        </w:rPr>
        <w:t xml:space="preserve"> </w:t>
      </w:r>
      <w:r w:rsidRPr="00680090">
        <w:t>De acuerdo con lo previs</w:t>
      </w:r>
      <w:r>
        <w:t>to por el A</w:t>
      </w:r>
      <w:r w:rsidRPr="00680090">
        <w:t>rtículo 24, los viáticos tendrán naturaleza indemnizatoria, cuando estén sometidos a rendición de cuentas. En caso contrario, tienen naturaleza retributiva por lo que deben ser considerados a todos los efectos impositivos y para la determinación de los topes salariales legalmente establecidos.</w:t>
      </w:r>
    </w:p>
    <w:p w:rsidR="00EF51EE" w:rsidRPr="00680090" w:rsidRDefault="00EF51EE" w:rsidP="00F550A2">
      <w:pPr>
        <w:spacing w:line="360" w:lineRule="auto"/>
        <w:jc w:val="both"/>
        <w:rPr>
          <w:lang w:val="es-MX"/>
        </w:rPr>
      </w:pPr>
      <w:r w:rsidRPr="00680090">
        <w:rPr>
          <w:b/>
          <w:lang w:val="es-MX"/>
        </w:rPr>
        <w:t>2.8)</w:t>
      </w:r>
      <w:r w:rsidRPr="00680090">
        <w:rPr>
          <w:lang w:val="es-MX"/>
        </w:rPr>
        <w:t xml:space="preserve"> </w:t>
      </w:r>
      <w:r>
        <w:t>El A</w:t>
      </w:r>
      <w:r w:rsidRPr="00680090">
        <w:t>rtículo 60 que prevé la ampliación de proyectos de inversión y la incorporación de proyectos no previstos, no merece en principio observación siempre que no implique una modificación presupuestal fuera de l</w:t>
      </w:r>
      <w:r>
        <w:t>as instancias previstas por el A</w:t>
      </w:r>
      <w:r w:rsidRPr="00680090">
        <w:t>rtículo 221 de la Constitución de la República.</w:t>
      </w:r>
    </w:p>
    <w:p w:rsidR="00EF51EE" w:rsidRPr="00680090" w:rsidRDefault="00EF51EE" w:rsidP="00D166BE">
      <w:pPr>
        <w:tabs>
          <w:tab w:val="left" w:pos="-720"/>
        </w:tabs>
        <w:suppressAutoHyphens/>
        <w:spacing w:line="360" w:lineRule="auto"/>
        <w:jc w:val="both"/>
        <w:rPr>
          <w:b/>
          <w:lang w:val="es-ES_tradnl"/>
        </w:rPr>
      </w:pPr>
      <w:r w:rsidRPr="00680090">
        <w:rPr>
          <w:b/>
          <w:lang w:val="es-MX"/>
        </w:rPr>
        <w:t xml:space="preserve">2.9) </w:t>
      </w:r>
      <w:r>
        <w:t>De acuerdo con</w:t>
      </w:r>
      <w:r w:rsidRPr="00680090">
        <w:t xml:space="preserve"> la normativa constitucional </w:t>
      </w:r>
      <w:r>
        <w:t>vigente el Directorio del Banco</w:t>
      </w:r>
      <w:r w:rsidRPr="00680090">
        <w:t xml:space="preserve"> debe tener pre</w:t>
      </w:r>
      <w:r>
        <w:t>sente que luego de aprobado el P</w:t>
      </w:r>
      <w:r w:rsidRPr="00680090">
        <w:t>resupuesto no puede modificarlo hasta la nueva instancia presupuestal.</w:t>
      </w:r>
    </w:p>
    <w:p w:rsidR="00EF51EE" w:rsidRPr="00680090" w:rsidRDefault="00EF51EE" w:rsidP="00D166BE">
      <w:pPr>
        <w:tabs>
          <w:tab w:val="left" w:pos="-720"/>
        </w:tabs>
        <w:suppressAutoHyphens/>
        <w:spacing w:line="360" w:lineRule="auto"/>
        <w:jc w:val="both"/>
        <w:rPr>
          <w:b/>
          <w:lang w:val="es-ES_tradnl"/>
        </w:rPr>
      </w:pPr>
      <w:r w:rsidRPr="00680090">
        <w:rPr>
          <w:b/>
          <w:lang w:val="es-ES_tradnl"/>
        </w:rPr>
        <w:t xml:space="preserve">2.10) </w:t>
      </w:r>
      <w:r w:rsidRPr="00680090">
        <w:rPr>
          <w:lang w:val="es-MX"/>
        </w:rPr>
        <w:t xml:space="preserve">Respecto al cumplimiento de lo previsto en </w:t>
      </w:r>
      <w:r>
        <w:rPr>
          <w:lang w:val="es-MX"/>
        </w:rPr>
        <w:t>el Numeral 2° de la Ordenanza N°</w:t>
      </w:r>
      <w:r w:rsidRPr="00680090">
        <w:rPr>
          <w:lang w:val="es-MX"/>
        </w:rPr>
        <w:t xml:space="preserve"> 88 de este Tribunal, relativa a la conformidad técnica de los proyectos en la etapa de pre-inversión, se verificó que </w:t>
      </w:r>
      <w:r w:rsidRPr="00E17A23">
        <w:rPr>
          <w:lang w:val="es-MX"/>
        </w:rPr>
        <w:t>los dieciséis</w:t>
      </w:r>
      <w:r w:rsidRPr="00680090">
        <w:rPr>
          <w:lang w:val="es-MX"/>
        </w:rPr>
        <w:t xml:space="preserve"> proyectos en curso del BPS cuentan con informe de Conformidad Técnica (CT) </w:t>
      </w:r>
      <w:r w:rsidRPr="00680090">
        <w:rPr>
          <w:rFonts w:ascii="LiberationSans-Regular" w:hAnsi="LiberationSans-Regular" w:cs="LiberationSans-Regular"/>
          <w:lang w:val="es-UY" w:eastAsia="es-UY"/>
        </w:rPr>
        <w:t>de la Oficina de Pl</w:t>
      </w:r>
      <w:r>
        <w:rPr>
          <w:rFonts w:ascii="LiberationSans-Regular" w:hAnsi="LiberationSans-Regular" w:cs="LiberationSans-Regular"/>
          <w:lang w:val="es-UY" w:eastAsia="es-UY"/>
        </w:rPr>
        <w:t>aneamiento y Presupuesto (Ley N° 18.996 y Decreto N°</w:t>
      </w:r>
      <w:r w:rsidRPr="00680090">
        <w:rPr>
          <w:rFonts w:ascii="LiberationSans-Regular" w:hAnsi="LiberationSans-Regular" w:cs="LiberationSans-Regular"/>
          <w:lang w:val="es-UY" w:eastAsia="es-UY"/>
        </w:rPr>
        <w:t xml:space="preserve"> 231/015).</w:t>
      </w:r>
    </w:p>
    <w:p w:rsidR="00EF51EE" w:rsidRDefault="00EF51EE" w:rsidP="00D166BE">
      <w:pPr>
        <w:tabs>
          <w:tab w:val="left" w:pos="-720"/>
        </w:tabs>
        <w:suppressAutoHyphens/>
        <w:spacing w:line="360" w:lineRule="auto"/>
        <w:jc w:val="both"/>
        <w:rPr>
          <w:rFonts w:cs="Arial"/>
          <w:highlight w:val="yellow"/>
          <w:lang w:val="es-MX"/>
        </w:rPr>
      </w:pPr>
      <w:r w:rsidRPr="00680090">
        <w:rPr>
          <w:b/>
          <w:lang w:val="es-MX"/>
        </w:rPr>
        <w:t>2.11)</w:t>
      </w:r>
      <w:r w:rsidRPr="00680090">
        <w:rPr>
          <w:lang w:val="es-MX"/>
        </w:rPr>
        <w:t xml:space="preserve"> </w:t>
      </w:r>
      <w:r w:rsidRPr="00680090">
        <w:t xml:space="preserve">Este Tribunal </w:t>
      </w:r>
      <w:r>
        <w:t>emite su dictamen sobre el p</w:t>
      </w:r>
      <w:r w:rsidRPr="00680090">
        <w:t>royecto de Presupuesto del Banco de Previsión Social para el ejercicio 2018, en el plazo constitucional</w:t>
      </w:r>
      <w:r>
        <w:softHyphen/>
      </w:r>
      <w:r w:rsidRPr="00680090">
        <w:t>mente previsto y con las mayorías requeridas a tales efectos.</w:t>
      </w:r>
    </w:p>
    <w:p w:rsidR="00EF51EE" w:rsidRDefault="00EF51EE" w:rsidP="00D166BE">
      <w:pPr>
        <w:pStyle w:val="Textoindependiente"/>
        <w:spacing w:line="360" w:lineRule="auto"/>
        <w:rPr>
          <w:rFonts w:ascii="Arial" w:hAnsi="Arial" w:cs="Arial"/>
          <w:b/>
          <w:bCs/>
          <w:highlight w:val="yellow"/>
        </w:rPr>
      </w:pPr>
    </w:p>
    <w:p w:rsidR="00EF51EE" w:rsidRDefault="00EF51EE" w:rsidP="00D166BE">
      <w:pPr>
        <w:pStyle w:val="Textoindependiente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 OPINIÓN</w:t>
      </w:r>
    </w:p>
    <w:p w:rsidR="00EF51EE" w:rsidRPr="001F1F06" w:rsidRDefault="00EF51EE" w:rsidP="00D166BE">
      <w:pPr>
        <w:pStyle w:val="Textoindependiente"/>
        <w:spacing w:line="360" w:lineRule="auto"/>
        <w:rPr>
          <w:rFonts w:ascii="Arial" w:hAnsi="Arial" w:cs="Arial"/>
        </w:rPr>
      </w:pPr>
      <w:r w:rsidRPr="001F1F06">
        <w:rPr>
          <w:rFonts w:ascii="Arial" w:hAnsi="Arial" w:cs="Arial"/>
        </w:rPr>
        <w:t>En opini</w:t>
      </w:r>
      <w:r>
        <w:rPr>
          <w:rFonts w:ascii="Arial" w:hAnsi="Arial" w:cs="Arial"/>
        </w:rPr>
        <w:t>ón del Tribunal de Cuentas, el p</w:t>
      </w:r>
      <w:r w:rsidRPr="001F1F06">
        <w:rPr>
          <w:rFonts w:ascii="Arial" w:hAnsi="Arial" w:cs="Arial"/>
        </w:rPr>
        <w:t>royecto de Presupuesto del Banco de Previsión Social c</w:t>
      </w:r>
      <w:r>
        <w:rPr>
          <w:rFonts w:ascii="Arial" w:hAnsi="Arial" w:cs="Arial"/>
        </w:rPr>
        <w:t>orrespondiente al Ejercicio 2018</w:t>
      </w:r>
      <w:r w:rsidRPr="001F1F06">
        <w:rPr>
          <w:rFonts w:ascii="Arial" w:hAnsi="Arial" w:cs="Arial"/>
        </w:rPr>
        <w:t xml:space="preserve"> ha sido preparado en forma razonable de acuerdo con los supuestos efectuados por el Organismo y se presenta de conformidad con las disposiciones constitucionales, legales y reglamentarias vigente</w:t>
      </w:r>
      <w:r>
        <w:rPr>
          <w:rFonts w:ascii="Arial" w:hAnsi="Arial" w:cs="Arial"/>
        </w:rPr>
        <w:t>s</w:t>
      </w:r>
      <w:r w:rsidRPr="001F1F06">
        <w:rPr>
          <w:rFonts w:ascii="Arial" w:hAnsi="Arial" w:cs="Arial"/>
        </w:rPr>
        <w:t>.</w:t>
      </w:r>
    </w:p>
    <w:p w:rsidR="00EF51EE" w:rsidRDefault="00EF51EE" w:rsidP="000A1353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70"/>
        </w:tabs>
        <w:jc w:val="right"/>
        <w:rPr>
          <w:rFonts w:ascii="Arial" w:hAnsi="Arial" w:cs="Arial"/>
        </w:rPr>
      </w:pPr>
      <w:r w:rsidRPr="00680090">
        <w:rPr>
          <w:rFonts w:ascii="Arial" w:hAnsi="Arial" w:cs="Arial"/>
        </w:rPr>
        <w:t>Montevideo, 22 de agosto</w:t>
      </w:r>
      <w:r>
        <w:rPr>
          <w:rFonts w:ascii="Arial" w:hAnsi="Arial" w:cs="Arial"/>
        </w:rPr>
        <w:t xml:space="preserve"> de 2017</w:t>
      </w:r>
    </w:p>
    <w:p w:rsidR="00EF51EE" w:rsidRPr="00EF51EE" w:rsidRDefault="00EF51EE" w:rsidP="00EF51EE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70"/>
        </w:tabs>
        <w:ind w:hanging="426"/>
        <w:jc w:val="left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EF51EE" w:rsidRPr="00EF51EE" w:rsidSect="00CC7B12">
      <w:footerReference w:type="even" r:id="rId9"/>
      <w:footerReference w:type="default" r:id="rId10"/>
      <w:pgSz w:w="11906" w:h="16838" w:code="9"/>
      <w:pgMar w:top="328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51EE">
      <w:r>
        <w:separator/>
      </w:r>
    </w:p>
  </w:endnote>
  <w:endnote w:type="continuationSeparator" w:id="0">
    <w:p w:rsidR="00000000" w:rsidRDefault="00EF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DDF" w:rsidRDefault="00CC7B1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33</w:t>
    </w:r>
    <w:r>
      <w:rPr>
        <w:rStyle w:val="Nmerodepgina"/>
      </w:rPr>
      <w:fldChar w:fldCharType="end"/>
    </w:r>
  </w:p>
  <w:p w:rsidR="00810DDF" w:rsidRDefault="00EF51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DDF" w:rsidRPr="005D3F9B" w:rsidRDefault="00EF51EE" w:rsidP="005D3F9B">
    <w:pPr>
      <w:pStyle w:val="Piedepgina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51EE">
      <w:r>
        <w:separator/>
      </w:r>
    </w:p>
  </w:footnote>
  <w:footnote w:type="continuationSeparator" w:id="0">
    <w:p w:rsidR="00000000" w:rsidRDefault="00EF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1DE0"/>
    <w:multiLevelType w:val="hybridMultilevel"/>
    <w:tmpl w:val="A568F41C"/>
    <w:lvl w:ilvl="0" w:tplc="5A3057A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12370E4B"/>
    <w:multiLevelType w:val="multilevel"/>
    <w:tmpl w:val="0E04F70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12"/>
    <w:rsid w:val="00330727"/>
    <w:rsid w:val="009D365A"/>
    <w:rsid w:val="00CC7B12"/>
    <w:rsid w:val="00EF51EE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C7B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B12"/>
    <w:rPr>
      <w:rFonts w:ascii="Arial" w:hAnsi="Arial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CC7B12"/>
  </w:style>
  <w:style w:type="paragraph" w:styleId="Textoindependiente">
    <w:name w:val="Body Text"/>
    <w:basedOn w:val="Normal"/>
    <w:link w:val="TextoindependienteCar"/>
    <w:semiHidden/>
    <w:rsid w:val="00EF51EE"/>
    <w:pPr>
      <w:jc w:val="both"/>
    </w:pPr>
    <w:rPr>
      <w:rFonts w:ascii="Bookman Old Style" w:hAnsi="Bookman Old Style"/>
      <w:szCs w:val="20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F51EE"/>
    <w:rPr>
      <w:rFonts w:ascii="Bookman Old Style" w:hAnsi="Bookman Old Style"/>
      <w:sz w:val="24"/>
      <w:lang w:val="es-MX" w:eastAsia="es-MX"/>
    </w:rPr>
  </w:style>
  <w:style w:type="paragraph" w:styleId="Textoindependiente2">
    <w:name w:val="Body Text 2"/>
    <w:basedOn w:val="Normal"/>
    <w:link w:val="Textoindependiente2Car"/>
    <w:semiHidden/>
    <w:rsid w:val="00EF51EE"/>
    <w:pPr>
      <w:jc w:val="both"/>
    </w:pPr>
    <w:rPr>
      <w:b/>
      <w:bCs/>
      <w:szCs w:val="20"/>
      <w:lang w:eastAsia="es-MX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F51EE"/>
    <w:rPr>
      <w:rFonts w:ascii="Arial" w:hAnsi="Arial"/>
      <w:b/>
      <w:bCs/>
      <w:sz w:val="24"/>
      <w:lang w:val="es-ES" w:eastAsia="es-MX"/>
    </w:rPr>
  </w:style>
  <w:style w:type="paragraph" w:styleId="Ttulo">
    <w:name w:val="Title"/>
    <w:basedOn w:val="Normal"/>
    <w:link w:val="TtuloCar"/>
    <w:qFormat/>
    <w:rsid w:val="00EF51EE"/>
    <w:pPr>
      <w:jc w:val="center"/>
    </w:pPr>
    <w:rPr>
      <w:rFonts w:ascii="Bookman Old Style" w:hAnsi="Bookman Old Style"/>
      <w:b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EF51EE"/>
    <w:rPr>
      <w:rFonts w:ascii="Bookman Old Style" w:hAnsi="Bookman Old Style"/>
      <w:b/>
      <w:sz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C7B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B12"/>
    <w:rPr>
      <w:rFonts w:ascii="Arial" w:hAnsi="Arial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CC7B12"/>
  </w:style>
  <w:style w:type="paragraph" w:styleId="Textoindependiente">
    <w:name w:val="Body Text"/>
    <w:basedOn w:val="Normal"/>
    <w:link w:val="TextoindependienteCar"/>
    <w:semiHidden/>
    <w:rsid w:val="00EF51EE"/>
    <w:pPr>
      <w:jc w:val="both"/>
    </w:pPr>
    <w:rPr>
      <w:rFonts w:ascii="Bookman Old Style" w:hAnsi="Bookman Old Style"/>
      <w:szCs w:val="20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F51EE"/>
    <w:rPr>
      <w:rFonts w:ascii="Bookman Old Style" w:hAnsi="Bookman Old Style"/>
      <w:sz w:val="24"/>
      <w:lang w:val="es-MX" w:eastAsia="es-MX"/>
    </w:rPr>
  </w:style>
  <w:style w:type="paragraph" w:styleId="Textoindependiente2">
    <w:name w:val="Body Text 2"/>
    <w:basedOn w:val="Normal"/>
    <w:link w:val="Textoindependiente2Car"/>
    <w:semiHidden/>
    <w:rsid w:val="00EF51EE"/>
    <w:pPr>
      <w:jc w:val="both"/>
    </w:pPr>
    <w:rPr>
      <w:b/>
      <w:bCs/>
      <w:szCs w:val="20"/>
      <w:lang w:eastAsia="es-MX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F51EE"/>
    <w:rPr>
      <w:rFonts w:ascii="Arial" w:hAnsi="Arial"/>
      <w:b/>
      <w:bCs/>
      <w:sz w:val="24"/>
      <w:lang w:val="es-ES" w:eastAsia="es-MX"/>
    </w:rPr>
  </w:style>
  <w:style w:type="paragraph" w:styleId="Ttulo">
    <w:name w:val="Title"/>
    <w:basedOn w:val="Normal"/>
    <w:link w:val="TtuloCar"/>
    <w:qFormat/>
    <w:rsid w:val="00EF51EE"/>
    <w:pPr>
      <w:jc w:val="center"/>
    </w:pPr>
    <w:rPr>
      <w:rFonts w:ascii="Bookman Old Style" w:hAnsi="Bookman Old Style"/>
      <w:b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EF51EE"/>
    <w:rPr>
      <w:rFonts w:ascii="Bookman Old Style" w:hAnsi="Bookman Old Style"/>
      <w:b/>
      <w:sz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BB3A3-13AF-433C-933A-A06DBB5D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1063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2017-09-01T15:34:00Z</cp:lastPrinted>
  <dcterms:created xsi:type="dcterms:W3CDTF">2017-09-01T15:29:00Z</dcterms:created>
  <dcterms:modified xsi:type="dcterms:W3CDTF">2017-11-29T16:50:00Z</dcterms:modified>
</cp:coreProperties>
</file>