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E9" w:rsidRPr="00786EEB" w:rsidRDefault="00F464E9"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2762/17</w:t>
      </w:r>
    </w:p>
    <w:p w:rsidR="00F464E9" w:rsidRDefault="00F464E9" w:rsidP="00786EEB">
      <w:pPr>
        <w:tabs>
          <w:tab w:val="center" w:pos="4253"/>
        </w:tabs>
        <w:suppressAutoHyphens/>
        <w:jc w:val="right"/>
        <w:rPr>
          <w:rFonts w:cs="Arial"/>
          <w:b/>
          <w:lang w:val="es-ES_tradnl"/>
        </w:rPr>
      </w:pPr>
    </w:p>
    <w:p w:rsidR="00F464E9" w:rsidRPr="00762B34" w:rsidRDefault="00F464E9">
      <w:pPr>
        <w:tabs>
          <w:tab w:val="center" w:pos="4253"/>
        </w:tabs>
        <w:suppressAutoHyphens/>
        <w:jc w:val="center"/>
        <w:rPr>
          <w:rFonts w:cs="Arial"/>
          <w:b/>
          <w:lang w:val="es-ES_tradnl"/>
        </w:rPr>
      </w:pPr>
      <w:r w:rsidRPr="00762B34">
        <w:rPr>
          <w:rFonts w:cs="Arial"/>
          <w:b/>
          <w:lang w:val="es-ES_tradnl"/>
        </w:rPr>
        <w:t>RESOLUCION ADOPTADA POR EL</w:t>
      </w:r>
    </w:p>
    <w:p w:rsidR="00F464E9" w:rsidRPr="00762B34" w:rsidRDefault="00F464E9">
      <w:pPr>
        <w:tabs>
          <w:tab w:val="left" w:pos="-720"/>
        </w:tabs>
        <w:suppressAutoHyphens/>
        <w:jc w:val="center"/>
        <w:rPr>
          <w:rFonts w:cs="Arial"/>
          <w:b/>
          <w:lang w:val="es-ES_tradnl"/>
        </w:rPr>
      </w:pPr>
    </w:p>
    <w:p w:rsidR="00F464E9" w:rsidRPr="00762B34" w:rsidRDefault="00F464E9">
      <w:pPr>
        <w:tabs>
          <w:tab w:val="center" w:pos="4253"/>
        </w:tabs>
        <w:suppressAutoHyphens/>
        <w:jc w:val="center"/>
        <w:rPr>
          <w:rFonts w:cs="Arial"/>
          <w:b/>
          <w:lang w:val="es-ES_tradnl"/>
        </w:rPr>
      </w:pPr>
      <w:r w:rsidRPr="00762B34">
        <w:rPr>
          <w:rFonts w:cs="Arial"/>
          <w:b/>
          <w:lang w:val="es-ES_tradnl"/>
        </w:rPr>
        <w:t>TRIBUNAL DE CUENTAS</w:t>
      </w:r>
    </w:p>
    <w:p w:rsidR="00F464E9" w:rsidRPr="00762B34" w:rsidRDefault="00F464E9">
      <w:pPr>
        <w:tabs>
          <w:tab w:val="left" w:pos="-720"/>
        </w:tabs>
        <w:suppressAutoHyphens/>
        <w:jc w:val="center"/>
        <w:rPr>
          <w:rFonts w:cs="Arial"/>
          <w:b/>
          <w:lang w:val="es-ES_tradnl"/>
        </w:rPr>
      </w:pPr>
    </w:p>
    <w:p w:rsidR="00F464E9" w:rsidRPr="00762B34" w:rsidRDefault="00F464E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30 DE AGOSTO </w:t>
      </w:r>
      <w:r>
        <w:rPr>
          <w:rFonts w:ascii="Helvetica" w:hAnsi="Helvetica"/>
          <w:b/>
          <w:lang w:val="es-ES_tradnl"/>
        </w:rPr>
        <w:t>DE 2017</w:t>
      </w:r>
    </w:p>
    <w:p w:rsidR="00F464E9" w:rsidRPr="00762B34" w:rsidRDefault="00F464E9">
      <w:pPr>
        <w:tabs>
          <w:tab w:val="center" w:pos="4253"/>
        </w:tabs>
        <w:suppressAutoHyphens/>
        <w:jc w:val="center"/>
        <w:rPr>
          <w:rFonts w:cs="Arial"/>
          <w:b/>
          <w:lang w:val="es-ES_tradnl"/>
        </w:rPr>
      </w:pPr>
    </w:p>
    <w:p w:rsidR="00F464E9" w:rsidRPr="00F464E9" w:rsidRDefault="00F464E9">
      <w:pPr>
        <w:tabs>
          <w:tab w:val="center" w:pos="4253"/>
        </w:tabs>
        <w:suppressAutoHyphens/>
        <w:jc w:val="center"/>
        <w:rPr>
          <w:rFonts w:cs="Arial"/>
          <w:b/>
          <w:lang w:val="es-AR"/>
        </w:rPr>
      </w:pPr>
      <w:r w:rsidRPr="00F464E9">
        <w:rPr>
          <w:rFonts w:cs="Arial"/>
          <w:b/>
          <w:lang w:val="es-AR"/>
        </w:rPr>
        <w:t>(E. E. Nº 2017-17-1-0004781</w:t>
      </w:r>
      <w:r>
        <w:rPr>
          <w:rFonts w:cs="Arial"/>
          <w:b/>
          <w:lang w:val="es-AR"/>
        </w:rPr>
        <w:t xml:space="preserve">, </w:t>
      </w:r>
      <w:proofErr w:type="spellStart"/>
      <w:r>
        <w:rPr>
          <w:rFonts w:cs="Arial"/>
          <w:b/>
          <w:lang w:val="es-AR"/>
        </w:rPr>
        <w:t>Ents</w:t>
      </w:r>
      <w:proofErr w:type="spellEnd"/>
      <w:r>
        <w:rPr>
          <w:rFonts w:cs="Arial"/>
          <w:b/>
          <w:lang w:val="es-AR"/>
        </w:rPr>
        <w:t>.</w:t>
      </w:r>
      <w:r w:rsidRPr="00F464E9">
        <w:rPr>
          <w:rFonts w:cs="Arial"/>
          <w:b/>
          <w:lang w:val="es-AR"/>
        </w:rPr>
        <w:t xml:space="preserve"> 3809/17 y 4313/17)</w:t>
      </w:r>
    </w:p>
    <w:p w:rsidR="00F464E9" w:rsidRPr="00F464E9" w:rsidRDefault="00F464E9">
      <w:pPr>
        <w:tabs>
          <w:tab w:val="center" w:pos="4253"/>
        </w:tabs>
        <w:suppressAutoHyphens/>
        <w:jc w:val="center"/>
        <w:rPr>
          <w:rFonts w:ascii="Helvetica" w:hAnsi="Helvetica"/>
          <w:b/>
          <w:lang w:val="es-AR"/>
        </w:rPr>
      </w:pPr>
    </w:p>
    <w:p w:rsidR="00F464E9" w:rsidRPr="00D22160" w:rsidRDefault="00F464E9" w:rsidP="00F464E9">
      <w:pPr>
        <w:tabs>
          <w:tab w:val="center" w:pos="4253"/>
        </w:tabs>
        <w:suppressAutoHyphens/>
        <w:jc w:val="center"/>
        <w:rPr>
          <w:rFonts w:cs="Arial"/>
          <w:b/>
          <w:bCs/>
          <w:lang w:val="es-MX"/>
        </w:rPr>
      </w:pPr>
    </w:p>
    <w:p w:rsidR="00F464E9" w:rsidRDefault="00F464E9" w:rsidP="00F464E9">
      <w:pPr>
        <w:pStyle w:val="Ttulo2"/>
        <w:spacing w:line="360" w:lineRule="auto"/>
        <w:ind w:firstLine="851"/>
        <w:rPr>
          <w:rFonts w:ascii="Arial" w:hAnsi="Arial" w:cs="Arial"/>
        </w:rPr>
      </w:pPr>
      <w:r>
        <w:rPr>
          <w:rFonts w:ascii="Arial" w:hAnsi="Arial" w:cs="Arial"/>
          <w:b/>
        </w:rPr>
        <w:t>VISTO:</w:t>
      </w:r>
      <w:r>
        <w:rPr>
          <w:rFonts w:ascii="Arial" w:hAnsi="Arial" w:cs="Arial"/>
        </w:rPr>
        <w:t xml:space="preserve"> que este Tribunal ha examinado el proyecto de Presupuesto de Recursos, Operativo, de Operaciones Financieras y de Inversiones para el Ejercicio 2018, remitido por el Banco de la República Oriental del Uruguay;</w:t>
      </w:r>
    </w:p>
    <w:p w:rsidR="00F464E9" w:rsidRPr="00F464E9" w:rsidRDefault="00F464E9" w:rsidP="00F464E9">
      <w:pPr>
        <w:pStyle w:val="Ttulo2"/>
        <w:spacing w:line="360" w:lineRule="auto"/>
        <w:ind w:firstLine="851"/>
        <w:rPr>
          <w:rFonts w:ascii="Arial" w:hAnsi="Arial" w:cs="Arial"/>
        </w:rPr>
      </w:pPr>
      <w:r w:rsidRPr="00F464E9">
        <w:rPr>
          <w:rFonts w:ascii="Arial" w:hAnsi="Arial" w:cs="Arial"/>
          <w:b/>
        </w:rPr>
        <w:t>CONSIDERANDO:</w:t>
      </w:r>
      <w:r w:rsidRPr="00F464E9">
        <w:rPr>
          <w:rFonts w:ascii="Arial" w:hAnsi="Arial" w:cs="Arial"/>
        </w:rPr>
        <w:t xml:space="preserve"> que las conclusiones obtenidas son las que se expresan en el Dictamen que se adjunta;</w:t>
      </w:r>
    </w:p>
    <w:p w:rsidR="00F464E9" w:rsidRPr="00917160" w:rsidRDefault="00F464E9" w:rsidP="00F464E9">
      <w:pPr>
        <w:spacing w:line="360" w:lineRule="auto"/>
        <w:ind w:firstLine="851"/>
        <w:jc w:val="both"/>
        <w:rPr>
          <w:rFonts w:cs="Arial"/>
        </w:rPr>
      </w:pPr>
      <w:r>
        <w:rPr>
          <w:rFonts w:cs="Arial"/>
          <w:b/>
        </w:rPr>
        <w:t>ATENTO:</w:t>
      </w:r>
      <w:r>
        <w:rPr>
          <w:rFonts w:cs="Arial"/>
        </w:rPr>
        <w:t xml:space="preserve"> a lo dispuesto por los Artículos 211 Literal A) y 221 de la </w:t>
      </w:r>
      <w:r w:rsidRPr="00917160">
        <w:rPr>
          <w:rFonts w:cs="Arial"/>
        </w:rPr>
        <w:t>Constitución de la República;</w:t>
      </w:r>
    </w:p>
    <w:p w:rsidR="00F464E9" w:rsidRPr="00917160" w:rsidRDefault="00F464E9" w:rsidP="00F464E9">
      <w:pPr>
        <w:pStyle w:val="Ttulo3"/>
        <w:spacing w:line="360" w:lineRule="auto"/>
        <w:rPr>
          <w:rFonts w:ascii="Arial" w:hAnsi="Arial" w:cs="Arial"/>
        </w:rPr>
      </w:pPr>
      <w:r w:rsidRPr="00917160">
        <w:rPr>
          <w:rFonts w:ascii="Arial" w:hAnsi="Arial" w:cs="Arial"/>
        </w:rPr>
        <w:t>EL TRIBUNAL ACUERDA</w:t>
      </w:r>
    </w:p>
    <w:p w:rsidR="00F464E9" w:rsidRPr="00917160" w:rsidRDefault="00F464E9" w:rsidP="00F464E9">
      <w:pPr>
        <w:numPr>
          <w:ilvl w:val="0"/>
          <w:numId w:val="1"/>
        </w:numPr>
        <w:spacing w:line="360" w:lineRule="auto"/>
        <w:ind w:left="284" w:hanging="284"/>
        <w:jc w:val="both"/>
        <w:rPr>
          <w:rFonts w:cs="Arial"/>
        </w:rPr>
      </w:pPr>
      <w:r w:rsidRPr="00917160">
        <w:rPr>
          <w:rFonts w:cs="Arial"/>
        </w:rPr>
        <w:t xml:space="preserve">Emitir </w:t>
      </w:r>
      <w:r>
        <w:rPr>
          <w:rFonts w:cs="Arial"/>
        </w:rPr>
        <w:t>su pronunciamiento respecto al p</w:t>
      </w:r>
      <w:r w:rsidRPr="00917160">
        <w:rPr>
          <w:rFonts w:cs="Arial"/>
        </w:rPr>
        <w:t xml:space="preserve">royecto de Presupuesto de Recursos, Operativo, de Operaciones Financieras y de Inversiones del </w:t>
      </w:r>
      <w:r w:rsidRPr="00917160">
        <w:rPr>
          <w:rFonts w:cs="Arial"/>
          <w:lang w:val="es-MX"/>
        </w:rPr>
        <w:t>Banco de la República Oriental del Uruguay</w:t>
      </w:r>
      <w:r w:rsidRPr="00917160">
        <w:rPr>
          <w:rFonts w:cs="Arial"/>
        </w:rPr>
        <w:t xml:space="preserve"> correspondiente al Ejercicio 2018, en los términos del Dictamen que se adjunta;</w:t>
      </w:r>
    </w:p>
    <w:p w:rsidR="00F464E9" w:rsidRPr="00917160" w:rsidRDefault="00F464E9" w:rsidP="00F464E9">
      <w:pPr>
        <w:numPr>
          <w:ilvl w:val="0"/>
          <w:numId w:val="1"/>
        </w:numPr>
        <w:spacing w:line="360" w:lineRule="auto"/>
        <w:ind w:left="284" w:hanging="284"/>
        <w:jc w:val="both"/>
        <w:rPr>
          <w:rFonts w:cs="Arial"/>
        </w:rPr>
      </w:pPr>
      <w:r w:rsidRPr="00917160">
        <w:rPr>
          <w:rFonts w:cs="Arial"/>
        </w:rPr>
        <w:t xml:space="preserve">Observar el </w:t>
      </w:r>
      <w:r>
        <w:rPr>
          <w:rFonts w:cs="Arial"/>
        </w:rPr>
        <w:t>p</w:t>
      </w:r>
      <w:r w:rsidRPr="00917160">
        <w:rPr>
          <w:rFonts w:cs="Arial"/>
        </w:rPr>
        <w:t>royecto de Presupuesto del Banco de la República Oriental del Uruguay para el Ejercicio 2018 de acuerdo con lo expresado en los Numerales 2.4), 2.6), 2.8), 2.9) y 2.12) del Dictamen que se adjunta;</w:t>
      </w:r>
    </w:p>
    <w:p w:rsidR="00F464E9" w:rsidRPr="00917160" w:rsidRDefault="00F464E9" w:rsidP="00F464E9">
      <w:pPr>
        <w:numPr>
          <w:ilvl w:val="0"/>
          <w:numId w:val="1"/>
        </w:numPr>
        <w:autoSpaceDE w:val="0"/>
        <w:autoSpaceDN w:val="0"/>
        <w:adjustRightInd w:val="0"/>
        <w:spacing w:line="360" w:lineRule="auto"/>
        <w:ind w:left="284" w:hanging="284"/>
        <w:jc w:val="both"/>
        <w:rPr>
          <w:rFonts w:cs="Arial"/>
          <w:szCs w:val="24"/>
        </w:rPr>
      </w:pPr>
      <w:r w:rsidRPr="00917160">
        <w:rPr>
          <w:rFonts w:cs="Arial"/>
          <w:szCs w:val="24"/>
        </w:rPr>
        <w:t>Téngase presente lo señalado en los Numerales 1.1), 2.3), 2.5), 2.7), 2.10),  2.11) y 2.13);</w:t>
      </w:r>
    </w:p>
    <w:p w:rsidR="00F464E9" w:rsidRPr="00917160" w:rsidRDefault="00F464E9" w:rsidP="00F464E9">
      <w:pPr>
        <w:numPr>
          <w:ilvl w:val="0"/>
          <w:numId w:val="1"/>
        </w:numPr>
        <w:spacing w:line="360" w:lineRule="auto"/>
        <w:ind w:left="284" w:hanging="284"/>
        <w:jc w:val="both"/>
        <w:rPr>
          <w:rFonts w:cs="Arial"/>
        </w:rPr>
      </w:pPr>
      <w:r w:rsidRPr="00917160">
        <w:rPr>
          <w:rFonts w:cs="Arial"/>
        </w:rPr>
        <w:t>Comunicar al Ministerio de Economía y Finanzas, al Organismo y a la Oficina de Planeamiento y Presupuesto.</w:t>
      </w:r>
    </w:p>
    <w:p w:rsidR="00F464E9" w:rsidRPr="00FD2DAF" w:rsidRDefault="00F464E9" w:rsidP="00F464E9">
      <w:pPr>
        <w:spacing w:line="360" w:lineRule="auto"/>
        <w:jc w:val="both"/>
        <w:rPr>
          <w:rFonts w:cs="Arial"/>
          <w:sz w:val="16"/>
          <w:szCs w:val="16"/>
        </w:rPr>
      </w:pPr>
    </w:p>
    <w:p w:rsidR="00F464E9" w:rsidRDefault="00F464E9" w:rsidP="00F464E9">
      <w:pPr>
        <w:spacing w:line="360" w:lineRule="auto"/>
        <w:jc w:val="both"/>
        <w:rPr>
          <w:rFonts w:cs="Arial"/>
          <w:sz w:val="16"/>
          <w:szCs w:val="16"/>
        </w:rPr>
      </w:pPr>
    </w:p>
    <w:p w:rsidR="00F86359" w:rsidRDefault="00F464E9" w:rsidP="00F464E9">
      <w:pPr>
        <w:ind w:hanging="426"/>
        <w:jc w:val="both"/>
      </w:pPr>
      <w:proofErr w:type="gramStart"/>
      <w:r>
        <w:t>dc</w:t>
      </w:r>
      <w:proofErr w:type="gramEnd"/>
    </w:p>
    <w:p w:rsidR="00665904" w:rsidRPr="00ED66AE" w:rsidRDefault="004C0C4E" w:rsidP="00B80CB6">
      <w:pPr>
        <w:pStyle w:val="Ttulo"/>
        <w:rPr>
          <w:rFonts w:ascii="Arial" w:hAnsi="Arial" w:cs="Arial"/>
        </w:rPr>
      </w:pPr>
      <w:r>
        <w:rPr>
          <w:rFonts w:ascii="Arial" w:hAnsi="Arial" w:cs="Arial"/>
        </w:rPr>
        <w:lastRenderedPageBreak/>
        <w:t>DICTAMEN</w:t>
      </w:r>
    </w:p>
    <w:p w:rsidR="00665904" w:rsidRDefault="00665904">
      <w:pPr>
        <w:pStyle w:val="Ttulo"/>
        <w:rPr>
          <w:rFonts w:ascii="Arial" w:hAnsi="Arial" w:cs="Arial"/>
        </w:rPr>
      </w:pPr>
    </w:p>
    <w:p w:rsidR="00665904" w:rsidRDefault="00665904" w:rsidP="001B4402">
      <w:pPr>
        <w:spacing w:line="360" w:lineRule="auto"/>
        <w:jc w:val="both"/>
        <w:rPr>
          <w:rFonts w:cs="Arial"/>
          <w:b/>
          <w:bCs/>
        </w:rPr>
      </w:pPr>
      <w:r>
        <w:rPr>
          <w:rFonts w:cs="Arial"/>
          <w:lang w:val="es-MX"/>
        </w:rPr>
        <w:t>El Tribunal de Cuentas ha examinado el proyecto de Presupuesto para el Ejercicio 2018 del Banco de la República Oriental del Uruguay (BROU). Toda la información incluida en el referido proyecto y los supuestos sobre los que se basa son responsabilidad del Directorio del BROU. La responsabilidad del Tribunal de Cuentas es expresar una opinión sobre dicho proyecto de Presupuesto, de acuerdo con lo dispuesto por los Artículos 211</w:t>
      </w:r>
      <w:r>
        <w:rPr>
          <w:rFonts w:cs="Arial"/>
          <w:lang w:val="es-UY"/>
        </w:rPr>
        <w:t xml:space="preserve"> Literal</w:t>
      </w:r>
      <w:r>
        <w:rPr>
          <w:rFonts w:cs="Arial"/>
          <w:lang w:val="es-MX"/>
        </w:rPr>
        <w:t xml:space="preserve"> A) y 221 de la Constitución de la República, y establecer, en caso que corresponda, los hallazgos constatados con relación al cumplimiento de las normas constitucionales, legales y reglamentarias que resulten aplicables.</w:t>
      </w:r>
    </w:p>
    <w:p w:rsidR="00665904" w:rsidRDefault="00665904">
      <w:pPr>
        <w:spacing w:line="360" w:lineRule="auto"/>
        <w:ind w:left="284"/>
        <w:jc w:val="both"/>
        <w:rPr>
          <w:rFonts w:cs="Arial"/>
          <w:b/>
          <w:bCs/>
        </w:rPr>
      </w:pPr>
    </w:p>
    <w:p w:rsidR="00665904" w:rsidRDefault="00665904" w:rsidP="00665904">
      <w:pPr>
        <w:numPr>
          <w:ilvl w:val="0"/>
          <w:numId w:val="2"/>
        </w:numPr>
        <w:spacing w:line="360" w:lineRule="auto"/>
        <w:ind w:left="284" w:hanging="284"/>
        <w:jc w:val="both"/>
        <w:rPr>
          <w:rFonts w:cs="Arial"/>
          <w:b/>
          <w:bCs/>
        </w:rPr>
      </w:pPr>
      <w:r>
        <w:rPr>
          <w:rFonts w:cs="Arial"/>
          <w:b/>
          <w:bCs/>
        </w:rPr>
        <w:t>ANÁLISIS DE INGRESOS PROYECTADOS, ASIGNACIONES PRESUPUESTALES Y RESULTADO PRESUPUESTAL</w:t>
      </w:r>
    </w:p>
    <w:p w:rsidR="00665904" w:rsidRDefault="00665904" w:rsidP="00665904">
      <w:pPr>
        <w:numPr>
          <w:ilvl w:val="1"/>
          <w:numId w:val="2"/>
        </w:numPr>
        <w:spacing w:line="360" w:lineRule="auto"/>
        <w:ind w:left="426" w:hanging="426"/>
        <w:jc w:val="both"/>
        <w:rPr>
          <w:rFonts w:cs="Arial"/>
          <w:b/>
        </w:rPr>
      </w:pPr>
      <w:r>
        <w:rPr>
          <w:rFonts w:cs="Arial"/>
          <w:b/>
        </w:rPr>
        <w:t xml:space="preserve"> Ingresos proyectados</w:t>
      </w:r>
    </w:p>
    <w:tbl>
      <w:tblPr>
        <w:tblW w:w="73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5"/>
        <w:gridCol w:w="3035"/>
      </w:tblGrid>
      <w:tr w:rsidR="00665904" w:rsidRPr="00BA5F64" w:rsidTr="004B633C">
        <w:trPr>
          <w:trHeight w:val="295"/>
        </w:trPr>
        <w:tc>
          <w:tcPr>
            <w:tcW w:w="4295" w:type="dxa"/>
            <w:shd w:val="clear" w:color="auto" w:fill="auto"/>
            <w:noWrap/>
            <w:vAlign w:val="bottom"/>
            <w:hideMark/>
          </w:tcPr>
          <w:p w:rsidR="00665904" w:rsidRPr="00811580" w:rsidRDefault="00665904" w:rsidP="00811580">
            <w:pPr>
              <w:spacing w:line="276" w:lineRule="auto"/>
              <w:jc w:val="center"/>
              <w:rPr>
                <w:rFonts w:cs="Arial"/>
                <w:b/>
                <w:color w:val="000000"/>
                <w:szCs w:val="24"/>
                <w:lang w:val="es-UY" w:eastAsia="es-UY"/>
              </w:rPr>
            </w:pPr>
            <w:r w:rsidRPr="00811580">
              <w:rPr>
                <w:rFonts w:cs="Arial"/>
                <w:b/>
                <w:color w:val="000000"/>
                <w:szCs w:val="24"/>
                <w:lang w:val="es-UY" w:eastAsia="es-UY"/>
              </w:rPr>
              <w:t>Denominación</w:t>
            </w:r>
          </w:p>
        </w:tc>
        <w:tc>
          <w:tcPr>
            <w:tcW w:w="3035" w:type="dxa"/>
            <w:shd w:val="clear" w:color="auto" w:fill="auto"/>
            <w:noWrap/>
            <w:vAlign w:val="bottom"/>
            <w:hideMark/>
          </w:tcPr>
          <w:p w:rsidR="00665904" w:rsidRPr="00811580" w:rsidRDefault="00665904" w:rsidP="00811580">
            <w:pPr>
              <w:spacing w:line="276" w:lineRule="auto"/>
              <w:jc w:val="center"/>
              <w:rPr>
                <w:rFonts w:cs="Arial"/>
                <w:b/>
                <w:color w:val="000000"/>
                <w:szCs w:val="24"/>
                <w:lang w:val="es-UY" w:eastAsia="es-UY"/>
              </w:rPr>
            </w:pPr>
            <w:r w:rsidRPr="00811580">
              <w:rPr>
                <w:rFonts w:cs="Arial"/>
                <w:b/>
                <w:color w:val="000000"/>
                <w:szCs w:val="24"/>
                <w:lang w:val="es-UY" w:eastAsia="es-UY"/>
              </w:rPr>
              <w:t>Importe en $</w:t>
            </w:r>
          </w:p>
        </w:tc>
      </w:tr>
      <w:tr w:rsidR="00665904" w:rsidRPr="00BA5F64" w:rsidTr="004B633C">
        <w:trPr>
          <w:trHeight w:val="295"/>
        </w:trPr>
        <w:tc>
          <w:tcPr>
            <w:tcW w:w="4295" w:type="dxa"/>
            <w:shd w:val="clear" w:color="auto" w:fill="auto"/>
            <w:noWrap/>
            <w:vAlign w:val="bottom"/>
          </w:tcPr>
          <w:p w:rsidR="00665904" w:rsidRPr="00F86FC8" w:rsidRDefault="00665904" w:rsidP="00D56808">
            <w:pPr>
              <w:spacing w:line="276" w:lineRule="auto"/>
              <w:rPr>
                <w:rFonts w:cs="Arial"/>
                <w:b/>
                <w:color w:val="000000"/>
                <w:szCs w:val="24"/>
                <w:lang w:val="es-UY" w:eastAsia="es-UY"/>
              </w:rPr>
            </w:pPr>
            <w:r w:rsidRPr="00F86FC8">
              <w:rPr>
                <w:rFonts w:cs="Arial"/>
                <w:b/>
                <w:color w:val="000000"/>
                <w:szCs w:val="24"/>
                <w:lang w:val="es-UY" w:eastAsia="es-UY"/>
              </w:rPr>
              <w:t>Recursos Propios</w:t>
            </w:r>
          </w:p>
        </w:tc>
        <w:tc>
          <w:tcPr>
            <w:tcW w:w="3035" w:type="dxa"/>
            <w:shd w:val="clear" w:color="auto" w:fill="auto"/>
            <w:noWrap/>
            <w:vAlign w:val="bottom"/>
          </w:tcPr>
          <w:p w:rsidR="00665904" w:rsidRPr="00520C85" w:rsidRDefault="00665904" w:rsidP="00D56808">
            <w:pPr>
              <w:spacing w:line="276" w:lineRule="auto"/>
              <w:jc w:val="right"/>
              <w:rPr>
                <w:rFonts w:cs="Arial"/>
                <w:color w:val="000000"/>
                <w:szCs w:val="24"/>
                <w:lang w:val="es-UY" w:eastAsia="es-UY"/>
              </w:rPr>
            </w:pPr>
            <w:r w:rsidRPr="00520C85">
              <w:rPr>
                <w:rFonts w:cs="Arial"/>
                <w:color w:val="000000"/>
                <w:szCs w:val="24"/>
                <w:lang w:val="es-UY" w:eastAsia="es-UY"/>
              </w:rPr>
              <w:t>25.623:384.154</w:t>
            </w:r>
          </w:p>
        </w:tc>
      </w:tr>
      <w:tr w:rsidR="00665904" w:rsidRPr="00BA5F64" w:rsidTr="004B633C">
        <w:trPr>
          <w:trHeight w:val="295"/>
        </w:trPr>
        <w:tc>
          <w:tcPr>
            <w:tcW w:w="4295" w:type="dxa"/>
            <w:shd w:val="clear" w:color="auto" w:fill="auto"/>
            <w:noWrap/>
            <w:vAlign w:val="bottom"/>
          </w:tcPr>
          <w:p w:rsidR="00665904" w:rsidRPr="00F539CE" w:rsidRDefault="00665904" w:rsidP="00D56808">
            <w:pPr>
              <w:spacing w:line="276" w:lineRule="auto"/>
              <w:rPr>
                <w:rFonts w:cs="Arial"/>
                <w:color w:val="000000"/>
                <w:szCs w:val="24"/>
                <w:lang w:val="es-UY" w:eastAsia="es-UY"/>
              </w:rPr>
            </w:pPr>
            <w:r>
              <w:rPr>
                <w:rFonts w:cs="Arial"/>
                <w:color w:val="000000"/>
                <w:szCs w:val="24"/>
                <w:lang w:val="es-UY" w:eastAsia="es-UY"/>
              </w:rPr>
              <w:t>Ingresos Financieros</w:t>
            </w:r>
          </w:p>
        </w:tc>
        <w:tc>
          <w:tcPr>
            <w:tcW w:w="3035" w:type="dxa"/>
            <w:shd w:val="clear" w:color="auto" w:fill="auto"/>
            <w:noWrap/>
            <w:vAlign w:val="bottom"/>
          </w:tcPr>
          <w:p w:rsidR="00665904" w:rsidRPr="00520C85" w:rsidRDefault="00665904" w:rsidP="005645A6">
            <w:pPr>
              <w:spacing w:line="276" w:lineRule="auto"/>
              <w:jc w:val="right"/>
              <w:rPr>
                <w:rFonts w:cs="Arial"/>
                <w:color w:val="000000"/>
                <w:szCs w:val="24"/>
                <w:lang w:val="es-UY" w:eastAsia="es-UY"/>
              </w:rPr>
            </w:pPr>
            <w:r>
              <w:rPr>
                <w:rFonts w:cs="Arial"/>
                <w:color w:val="000000"/>
                <w:szCs w:val="24"/>
                <w:lang w:val="es-UY" w:eastAsia="es-UY"/>
              </w:rPr>
              <w:t>21.395.312.866</w:t>
            </w:r>
          </w:p>
        </w:tc>
      </w:tr>
      <w:tr w:rsidR="00665904" w:rsidRPr="00BA5F64" w:rsidTr="004B633C">
        <w:trPr>
          <w:trHeight w:val="295"/>
        </w:trPr>
        <w:tc>
          <w:tcPr>
            <w:tcW w:w="4295" w:type="dxa"/>
            <w:shd w:val="clear" w:color="auto" w:fill="auto"/>
            <w:noWrap/>
            <w:vAlign w:val="bottom"/>
          </w:tcPr>
          <w:p w:rsidR="00665904" w:rsidRPr="00F539CE" w:rsidRDefault="00665904" w:rsidP="00D56808">
            <w:pPr>
              <w:spacing w:line="276" w:lineRule="auto"/>
              <w:rPr>
                <w:rFonts w:cs="Arial"/>
                <w:color w:val="000000"/>
                <w:szCs w:val="24"/>
                <w:lang w:val="es-UY" w:eastAsia="es-UY"/>
              </w:rPr>
            </w:pPr>
            <w:r>
              <w:rPr>
                <w:rFonts w:cs="Arial"/>
                <w:color w:val="000000"/>
                <w:szCs w:val="24"/>
                <w:lang w:val="es-UY" w:eastAsia="es-UY"/>
              </w:rPr>
              <w:t>Resultados por Servicios</w:t>
            </w:r>
          </w:p>
        </w:tc>
        <w:tc>
          <w:tcPr>
            <w:tcW w:w="3035" w:type="dxa"/>
            <w:shd w:val="clear" w:color="auto" w:fill="auto"/>
            <w:noWrap/>
            <w:vAlign w:val="bottom"/>
          </w:tcPr>
          <w:p w:rsidR="00665904" w:rsidRPr="00520C85" w:rsidRDefault="00665904" w:rsidP="00D56808">
            <w:pPr>
              <w:spacing w:line="276" w:lineRule="auto"/>
              <w:jc w:val="right"/>
              <w:rPr>
                <w:rFonts w:cs="Arial"/>
                <w:color w:val="000000"/>
                <w:szCs w:val="24"/>
                <w:lang w:val="es-UY" w:eastAsia="es-UY"/>
              </w:rPr>
            </w:pPr>
            <w:r w:rsidRPr="00520C85">
              <w:rPr>
                <w:rFonts w:cs="Arial"/>
                <w:color w:val="000000"/>
                <w:szCs w:val="24"/>
                <w:lang w:val="es-UY" w:eastAsia="es-UY"/>
              </w:rPr>
              <w:t>2.876:858.446</w:t>
            </w:r>
          </w:p>
        </w:tc>
      </w:tr>
      <w:tr w:rsidR="00665904" w:rsidRPr="00BA5F64" w:rsidTr="004B633C">
        <w:trPr>
          <w:trHeight w:val="295"/>
        </w:trPr>
        <w:tc>
          <w:tcPr>
            <w:tcW w:w="4295" w:type="dxa"/>
            <w:shd w:val="clear" w:color="auto" w:fill="auto"/>
            <w:noWrap/>
            <w:vAlign w:val="bottom"/>
          </w:tcPr>
          <w:p w:rsidR="00665904" w:rsidRPr="00F539CE" w:rsidRDefault="00665904" w:rsidP="00D56808">
            <w:pPr>
              <w:spacing w:line="276" w:lineRule="auto"/>
              <w:rPr>
                <w:rFonts w:cs="Arial"/>
                <w:color w:val="000000"/>
                <w:szCs w:val="24"/>
                <w:lang w:val="es-UY" w:eastAsia="es-UY"/>
              </w:rPr>
            </w:pPr>
            <w:r>
              <w:rPr>
                <w:rFonts w:cs="Arial"/>
                <w:color w:val="000000"/>
                <w:szCs w:val="24"/>
                <w:lang w:val="es-UY" w:eastAsia="es-UY"/>
              </w:rPr>
              <w:t>Diferencia de Cambio Operativa</w:t>
            </w:r>
          </w:p>
        </w:tc>
        <w:tc>
          <w:tcPr>
            <w:tcW w:w="3035" w:type="dxa"/>
            <w:shd w:val="clear" w:color="auto" w:fill="auto"/>
            <w:noWrap/>
            <w:vAlign w:val="bottom"/>
            <w:hideMark/>
          </w:tcPr>
          <w:p w:rsidR="00665904" w:rsidRPr="00520C85" w:rsidRDefault="00665904" w:rsidP="00D56808">
            <w:pPr>
              <w:spacing w:line="276" w:lineRule="auto"/>
              <w:jc w:val="right"/>
              <w:rPr>
                <w:rFonts w:cs="Arial"/>
                <w:color w:val="000000"/>
                <w:szCs w:val="24"/>
                <w:lang w:val="es-UY" w:eastAsia="es-UY"/>
              </w:rPr>
            </w:pPr>
            <w:r w:rsidRPr="00520C85">
              <w:rPr>
                <w:rFonts w:cs="Arial"/>
                <w:color w:val="000000"/>
                <w:szCs w:val="24"/>
                <w:lang w:val="es-UY" w:eastAsia="es-UY"/>
              </w:rPr>
              <w:t>1.351:212.843</w:t>
            </w:r>
          </w:p>
        </w:tc>
      </w:tr>
      <w:tr w:rsidR="00665904" w:rsidRPr="00BA5F64" w:rsidTr="004B633C">
        <w:trPr>
          <w:trHeight w:val="295"/>
        </w:trPr>
        <w:tc>
          <w:tcPr>
            <w:tcW w:w="4295" w:type="dxa"/>
            <w:shd w:val="clear" w:color="auto" w:fill="auto"/>
            <w:noWrap/>
            <w:vAlign w:val="bottom"/>
          </w:tcPr>
          <w:p w:rsidR="00665904" w:rsidRPr="00F86FC8" w:rsidRDefault="00665904" w:rsidP="00D56808">
            <w:pPr>
              <w:spacing w:line="276" w:lineRule="auto"/>
              <w:rPr>
                <w:rFonts w:cs="Arial"/>
                <w:b/>
                <w:color w:val="000000"/>
                <w:szCs w:val="24"/>
                <w:lang w:val="es-UY" w:eastAsia="es-UY"/>
              </w:rPr>
            </w:pPr>
            <w:r w:rsidRPr="00F86FC8">
              <w:rPr>
                <w:rFonts w:cs="Arial"/>
                <w:b/>
                <w:color w:val="000000"/>
                <w:szCs w:val="24"/>
                <w:lang w:val="es-UY" w:eastAsia="es-UY"/>
              </w:rPr>
              <w:t>Recursos de Terceros</w:t>
            </w:r>
          </w:p>
        </w:tc>
        <w:tc>
          <w:tcPr>
            <w:tcW w:w="3035" w:type="dxa"/>
            <w:shd w:val="clear" w:color="auto" w:fill="auto"/>
            <w:noWrap/>
            <w:vAlign w:val="bottom"/>
            <w:hideMark/>
          </w:tcPr>
          <w:p w:rsidR="00665904" w:rsidRPr="00520C85" w:rsidRDefault="00665904" w:rsidP="00D56808">
            <w:pPr>
              <w:spacing w:line="276" w:lineRule="auto"/>
              <w:jc w:val="right"/>
              <w:rPr>
                <w:rFonts w:cs="Arial"/>
                <w:color w:val="000000"/>
                <w:szCs w:val="24"/>
                <w:lang w:val="es-UY" w:eastAsia="es-UY"/>
              </w:rPr>
            </w:pPr>
            <w:r w:rsidRPr="00520C85">
              <w:rPr>
                <w:rFonts w:cs="Arial"/>
                <w:color w:val="000000"/>
                <w:szCs w:val="24"/>
                <w:lang w:val="es-UY" w:eastAsia="es-UY"/>
              </w:rPr>
              <w:t>23.238:971.000</w:t>
            </w:r>
          </w:p>
        </w:tc>
      </w:tr>
      <w:tr w:rsidR="00665904" w:rsidRPr="00BA5F64" w:rsidTr="004B633C">
        <w:trPr>
          <w:trHeight w:val="295"/>
        </w:trPr>
        <w:tc>
          <w:tcPr>
            <w:tcW w:w="4295" w:type="dxa"/>
            <w:shd w:val="clear" w:color="auto" w:fill="auto"/>
            <w:noWrap/>
            <w:vAlign w:val="bottom"/>
          </w:tcPr>
          <w:p w:rsidR="00665904" w:rsidRPr="00F539CE" w:rsidRDefault="00665904" w:rsidP="00D56808">
            <w:pPr>
              <w:spacing w:line="276" w:lineRule="auto"/>
              <w:rPr>
                <w:rFonts w:cs="Arial"/>
                <w:color w:val="000000"/>
                <w:szCs w:val="24"/>
                <w:lang w:val="es-UY" w:eastAsia="es-UY"/>
              </w:rPr>
            </w:pPr>
            <w:r>
              <w:rPr>
                <w:rFonts w:cs="Arial"/>
                <w:color w:val="000000"/>
                <w:szCs w:val="24"/>
                <w:lang w:val="es-UY" w:eastAsia="es-UY"/>
              </w:rPr>
              <w:t>Variación de Depósitos</w:t>
            </w:r>
          </w:p>
        </w:tc>
        <w:tc>
          <w:tcPr>
            <w:tcW w:w="3035" w:type="dxa"/>
            <w:shd w:val="clear" w:color="auto" w:fill="auto"/>
            <w:noWrap/>
            <w:vAlign w:val="bottom"/>
          </w:tcPr>
          <w:p w:rsidR="00665904" w:rsidRPr="00520C85" w:rsidRDefault="00665904" w:rsidP="00D56808">
            <w:pPr>
              <w:spacing w:line="276" w:lineRule="auto"/>
              <w:jc w:val="right"/>
              <w:rPr>
                <w:rFonts w:cs="Arial"/>
                <w:color w:val="000000"/>
                <w:szCs w:val="24"/>
                <w:lang w:val="es-UY" w:eastAsia="es-UY"/>
              </w:rPr>
            </w:pPr>
            <w:r w:rsidRPr="00520C85">
              <w:rPr>
                <w:rFonts w:cs="Arial"/>
                <w:color w:val="000000"/>
                <w:szCs w:val="24"/>
                <w:lang w:val="es-UY" w:eastAsia="es-UY"/>
              </w:rPr>
              <w:t>23.238:971.000</w:t>
            </w:r>
          </w:p>
        </w:tc>
      </w:tr>
      <w:tr w:rsidR="00665904" w:rsidRPr="006C2A93" w:rsidTr="004B633C">
        <w:trPr>
          <w:trHeight w:val="311"/>
        </w:trPr>
        <w:tc>
          <w:tcPr>
            <w:tcW w:w="4295" w:type="dxa"/>
            <w:shd w:val="clear" w:color="auto" w:fill="auto"/>
            <w:noWrap/>
            <w:vAlign w:val="bottom"/>
          </w:tcPr>
          <w:p w:rsidR="00665904" w:rsidRPr="006C2A93" w:rsidRDefault="00665904" w:rsidP="00D56808">
            <w:pPr>
              <w:spacing w:line="276" w:lineRule="auto"/>
              <w:rPr>
                <w:rFonts w:cs="Arial"/>
                <w:b/>
                <w:color w:val="000000"/>
                <w:szCs w:val="24"/>
                <w:lang w:val="es-UY" w:eastAsia="es-UY"/>
              </w:rPr>
            </w:pPr>
            <w:r w:rsidRPr="006C2A93">
              <w:rPr>
                <w:rFonts w:cs="Arial"/>
                <w:b/>
                <w:color w:val="000000"/>
                <w:szCs w:val="24"/>
                <w:lang w:val="es-UY" w:eastAsia="es-UY"/>
              </w:rPr>
              <w:t>Total de Ingresos</w:t>
            </w:r>
          </w:p>
        </w:tc>
        <w:tc>
          <w:tcPr>
            <w:tcW w:w="3035" w:type="dxa"/>
            <w:shd w:val="clear" w:color="auto" w:fill="auto"/>
            <w:noWrap/>
            <w:vAlign w:val="bottom"/>
          </w:tcPr>
          <w:p w:rsidR="00665904" w:rsidRPr="00712DBD" w:rsidRDefault="00665904" w:rsidP="00D56808">
            <w:pPr>
              <w:spacing w:line="276" w:lineRule="auto"/>
              <w:jc w:val="right"/>
              <w:rPr>
                <w:rFonts w:cs="Arial"/>
                <w:b/>
                <w:bCs/>
                <w:color w:val="000000"/>
                <w:szCs w:val="24"/>
                <w:lang w:val="es-UY" w:eastAsia="es-UY"/>
              </w:rPr>
            </w:pPr>
            <w:r>
              <w:rPr>
                <w:rFonts w:cs="Arial"/>
                <w:b/>
                <w:bCs/>
                <w:color w:val="000000"/>
                <w:szCs w:val="24"/>
                <w:lang w:val="es-UY" w:eastAsia="es-UY"/>
              </w:rPr>
              <w:t>48.862:355.154</w:t>
            </w:r>
          </w:p>
        </w:tc>
      </w:tr>
    </w:tbl>
    <w:p w:rsidR="00665904" w:rsidRDefault="00665904" w:rsidP="00D56808">
      <w:pPr>
        <w:spacing w:line="360" w:lineRule="auto"/>
        <w:ind w:left="426"/>
        <w:jc w:val="both"/>
        <w:rPr>
          <w:rFonts w:cs="Arial"/>
          <w:b/>
          <w:bCs/>
        </w:rPr>
      </w:pPr>
      <w:r>
        <w:rPr>
          <w:rFonts w:cs="Arial"/>
          <w:b/>
          <w:bCs/>
        </w:rPr>
        <w:t xml:space="preserve"> </w:t>
      </w:r>
    </w:p>
    <w:p w:rsidR="00665904" w:rsidRDefault="00665904" w:rsidP="00D56808">
      <w:pPr>
        <w:spacing w:line="360" w:lineRule="auto"/>
        <w:ind w:left="426"/>
        <w:jc w:val="both"/>
        <w:rPr>
          <w:rFonts w:cs="Arial"/>
          <w:b/>
          <w:bCs/>
        </w:rPr>
      </w:pPr>
    </w:p>
    <w:p w:rsidR="00665904" w:rsidRDefault="00665904" w:rsidP="00764A71">
      <w:pPr>
        <w:autoSpaceDE w:val="0"/>
        <w:autoSpaceDN w:val="0"/>
        <w:adjustRightInd w:val="0"/>
        <w:spacing w:line="360" w:lineRule="auto"/>
        <w:jc w:val="both"/>
        <w:rPr>
          <w:rFonts w:cs="Arial"/>
          <w:szCs w:val="24"/>
        </w:rPr>
      </w:pPr>
      <w:r w:rsidRPr="00EC45F8">
        <w:rPr>
          <w:rFonts w:ascii="LiberationSans-Regular" w:hAnsi="LiberationSans-Regular" w:cs="LiberationSans-Regular"/>
          <w:szCs w:val="24"/>
          <w:lang w:val="es-UY" w:eastAsia="es-UY"/>
        </w:rPr>
        <w:t xml:space="preserve">En </w:t>
      </w:r>
      <w:r>
        <w:rPr>
          <w:rFonts w:ascii="LiberationSans-Regular" w:hAnsi="LiberationSans-Regular" w:cs="LiberationSans-Regular"/>
          <w:szCs w:val="24"/>
          <w:lang w:val="es-UY" w:eastAsia="es-UY"/>
        </w:rPr>
        <w:t xml:space="preserve">cuadro de Recursos presentado por el BROU </w:t>
      </w:r>
      <w:r w:rsidRPr="00EC45F8">
        <w:rPr>
          <w:rFonts w:ascii="LiberationSans-Regular" w:hAnsi="LiberationSans-Regular" w:cs="LiberationSans-Regular"/>
          <w:szCs w:val="24"/>
          <w:lang w:val="es-UY" w:eastAsia="es-UY"/>
        </w:rPr>
        <w:t xml:space="preserve">no se han considerado los conceptos de </w:t>
      </w:r>
      <w:r w:rsidRPr="00EC45F8">
        <w:rPr>
          <w:rFonts w:cs="Arial"/>
          <w:szCs w:val="24"/>
        </w:rPr>
        <w:t xml:space="preserve">Resultados por Dependencias en el </w:t>
      </w:r>
      <w:r>
        <w:rPr>
          <w:rFonts w:cs="Arial"/>
          <w:szCs w:val="24"/>
        </w:rPr>
        <w:t>E</w:t>
      </w:r>
      <w:r w:rsidRPr="00EC45F8">
        <w:rPr>
          <w:rFonts w:cs="Arial"/>
          <w:szCs w:val="24"/>
        </w:rPr>
        <w:t>xterior y Otros ingresos por $ 157:872.000</w:t>
      </w:r>
      <w:r w:rsidRPr="001722BC">
        <w:rPr>
          <w:rFonts w:cs="Arial"/>
          <w:szCs w:val="24"/>
        </w:rPr>
        <w:t xml:space="preserve"> y $ 474:943.000 respectivamente</w:t>
      </w:r>
      <w:r>
        <w:rPr>
          <w:rFonts w:cs="Arial"/>
          <w:szCs w:val="24"/>
        </w:rPr>
        <w:t xml:space="preserve">, los que se han incluido en el </w:t>
      </w:r>
      <w:r w:rsidRPr="001722BC">
        <w:rPr>
          <w:rFonts w:cs="Arial"/>
          <w:szCs w:val="24"/>
        </w:rPr>
        <w:t>Estado de Resultados proyectado</w:t>
      </w:r>
      <w:r>
        <w:rPr>
          <w:rFonts w:cs="Arial"/>
          <w:szCs w:val="24"/>
        </w:rPr>
        <w:t>.</w:t>
      </w:r>
      <w:r w:rsidRPr="001722BC">
        <w:rPr>
          <w:rFonts w:cs="Arial"/>
          <w:szCs w:val="24"/>
        </w:rPr>
        <w:t xml:space="preserve"> </w:t>
      </w:r>
      <w:r>
        <w:rPr>
          <w:rFonts w:cs="Arial"/>
          <w:szCs w:val="24"/>
        </w:rPr>
        <w:t xml:space="preserve">Considerando la inclusión de los mismos, </w:t>
      </w:r>
      <w:r w:rsidRPr="001722BC">
        <w:rPr>
          <w:rFonts w:cs="Arial"/>
          <w:szCs w:val="24"/>
        </w:rPr>
        <w:t xml:space="preserve">el total de los ingresos previstos </w:t>
      </w:r>
      <w:r>
        <w:rPr>
          <w:rFonts w:cs="Arial"/>
          <w:szCs w:val="24"/>
        </w:rPr>
        <w:t xml:space="preserve">para 2018 asciende a $ </w:t>
      </w:r>
      <w:r w:rsidRPr="001722BC">
        <w:rPr>
          <w:rFonts w:cs="Arial"/>
          <w:szCs w:val="24"/>
        </w:rPr>
        <w:t>49.495:170.154</w:t>
      </w:r>
      <w:r>
        <w:rPr>
          <w:rFonts w:cs="Arial"/>
          <w:szCs w:val="24"/>
        </w:rPr>
        <w:t>.</w:t>
      </w:r>
    </w:p>
    <w:p w:rsidR="00665904" w:rsidRDefault="00665904" w:rsidP="00764A71">
      <w:pPr>
        <w:autoSpaceDE w:val="0"/>
        <w:autoSpaceDN w:val="0"/>
        <w:adjustRightInd w:val="0"/>
        <w:spacing w:line="360" w:lineRule="auto"/>
        <w:jc w:val="both"/>
        <w:rPr>
          <w:rFonts w:cs="Arial"/>
          <w:szCs w:val="24"/>
        </w:rPr>
      </w:pPr>
    </w:p>
    <w:p w:rsidR="00665904" w:rsidRDefault="00665904" w:rsidP="00665904">
      <w:pPr>
        <w:numPr>
          <w:ilvl w:val="1"/>
          <w:numId w:val="2"/>
        </w:numPr>
        <w:spacing w:line="360" w:lineRule="auto"/>
        <w:ind w:left="426" w:hanging="426"/>
        <w:jc w:val="both"/>
        <w:rPr>
          <w:rFonts w:cs="Arial"/>
          <w:b/>
          <w:bCs/>
        </w:rPr>
      </w:pPr>
      <w:r>
        <w:rPr>
          <w:rFonts w:cs="Arial"/>
          <w:b/>
          <w:bCs/>
        </w:rPr>
        <w:lastRenderedPageBreak/>
        <w:t>Asignaciones presupuestales</w:t>
      </w:r>
    </w:p>
    <w:p w:rsidR="00665904" w:rsidRDefault="00665904">
      <w:pPr>
        <w:pStyle w:val="Piedepgina"/>
        <w:tabs>
          <w:tab w:val="clear" w:pos="4252"/>
          <w:tab w:val="clear" w:pos="8504"/>
        </w:tabs>
        <w:jc w:val="both"/>
        <w:rPr>
          <w:rFonts w:ascii="Arial" w:hAnsi="Arial" w:cs="Arial"/>
          <w:b/>
          <w:sz w:val="24"/>
        </w:rPr>
      </w:pPr>
      <w:r>
        <w:rPr>
          <w:rFonts w:ascii="Arial" w:hAnsi="Arial" w:cs="Arial"/>
          <w:b/>
          <w:sz w:val="24"/>
        </w:rPr>
        <w:t>Presupuesto de Egresos Operativos y de Operaciones Financieras</w:t>
      </w:r>
    </w:p>
    <w:p w:rsidR="00665904" w:rsidRDefault="00665904">
      <w:pPr>
        <w:pStyle w:val="Piedepgina"/>
        <w:tabs>
          <w:tab w:val="clear" w:pos="4252"/>
          <w:tab w:val="clear" w:pos="8504"/>
        </w:tabs>
        <w:jc w:val="both"/>
        <w:rPr>
          <w:rFonts w:ascii="Arial" w:hAnsi="Arial" w:cs="Arial"/>
          <w:b/>
          <w:color w:val="FF0000"/>
          <w:sz w:val="24"/>
        </w:rPr>
      </w:pPr>
    </w:p>
    <w:tbl>
      <w:tblPr>
        <w:tblW w:w="7938" w:type="dxa"/>
        <w:tblInd w:w="354" w:type="dxa"/>
        <w:tblCellMar>
          <w:left w:w="70" w:type="dxa"/>
          <w:right w:w="70" w:type="dxa"/>
        </w:tblCellMar>
        <w:tblLook w:val="04A0" w:firstRow="1" w:lastRow="0" w:firstColumn="1" w:lastColumn="0" w:noHBand="0" w:noVBand="1"/>
      </w:tblPr>
      <w:tblGrid>
        <w:gridCol w:w="860"/>
        <w:gridCol w:w="4437"/>
        <w:gridCol w:w="2693"/>
      </w:tblGrid>
      <w:tr w:rsidR="00665904" w:rsidRPr="000B03A7" w:rsidTr="005645A6">
        <w:trPr>
          <w:trHeight w:val="285"/>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904" w:rsidRPr="005C4BF1" w:rsidRDefault="00665904" w:rsidP="000B03A7">
            <w:pPr>
              <w:spacing w:line="276" w:lineRule="auto"/>
              <w:rPr>
                <w:rFonts w:cs="Arial"/>
                <w:b/>
                <w:color w:val="000000"/>
                <w:szCs w:val="24"/>
                <w:lang w:val="es-UY" w:eastAsia="es-UY"/>
              </w:rPr>
            </w:pPr>
            <w:r w:rsidRPr="005C4BF1">
              <w:rPr>
                <w:rFonts w:cs="Arial"/>
                <w:b/>
                <w:color w:val="000000"/>
                <w:szCs w:val="24"/>
                <w:lang w:val="es-UY" w:eastAsia="es-UY"/>
              </w:rPr>
              <w:t>Grupo</w:t>
            </w:r>
          </w:p>
        </w:tc>
        <w:tc>
          <w:tcPr>
            <w:tcW w:w="4437" w:type="dxa"/>
            <w:tcBorders>
              <w:top w:val="single" w:sz="4" w:space="0" w:color="auto"/>
              <w:left w:val="nil"/>
              <w:bottom w:val="single" w:sz="4" w:space="0" w:color="auto"/>
              <w:right w:val="single" w:sz="4" w:space="0" w:color="auto"/>
            </w:tcBorders>
            <w:shd w:val="clear" w:color="auto" w:fill="auto"/>
            <w:noWrap/>
            <w:vAlign w:val="bottom"/>
            <w:hideMark/>
          </w:tcPr>
          <w:p w:rsidR="00665904" w:rsidRPr="005C4BF1" w:rsidRDefault="00665904" w:rsidP="005C4BF1">
            <w:pPr>
              <w:spacing w:line="276" w:lineRule="auto"/>
              <w:jc w:val="center"/>
              <w:rPr>
                <w:rFonts w:cs="Arial"/>
                <w:b/>
                <w:color w:val="000000"/>
                <w:szCs w:val="24"/>
                <w:lang w:val="es-UY" w:eastAsia="es-UY"/>
              </w:rPr>
            </w:pPr>
            <w:r w:rsidRPr="005C4BF1">
              <w:rPr>
                <w:rFonts w:cs="Arial"/>
                <w:b/>
                <w:color w:val="000000"/>
                <w:szCs w:val="24"/>
                <w:lang w:val="es-UY" w:eastAsia="es-UY"/>
              </w:rPr>
              <w:t>Denominación</w:t>
            </w:r>
          </w:p>
        </w:tc>
        <w:tc>
          <w:tcPr>
            <w:tcW w:w="2693" w:type="dxa"/>
            <w:tcBorders>
              <w:top w:val="single" w:sz="4" w:space="0" w:color="auto"/>
              <w:left w:val="nil"/>
              <w:bottom w:val="nil"/>
              <w:right w:val="single" w:sz="4" w:space="0" w:color="auto"/>
            </w:tcBorders>
            <w:shd w:val="clear" w:color="auto" w:fill="auto"/>
            <w:noWrap/>
            <w:vAlign w:val="bottom"/>
            <w:hideMark/>
          </w:tcPr>
          <w:p w:rsidR="00665904" w:rsidRPr="005C4BF1" w:rsidRDefault="00665904" w:rsidP="005C4BF1">
            <w:pPr>
              <w:spacing w:line="276" w:lineRule="auto"/>
              <w:jc w:val="center"/>
              <w:rPr>
                <w:rFonts w:cs="Arial"/>
                <w:b/>
                <w:color w:val="000000"/>
                <w:szCs w:val="24"/>
                <w:lang w:val="es-UY" w:eastAsia="es-UY"/>
              </w:rPr>
            </w:pPr>
            <w:r w:rsidRPr="005C4BF1">
              <w:rPr>
                <w:rFonts w:cs="Arial"/>
                <w:b/>
                <w:color w:val="000000"/>
                <w:szCs w:val="24"/>
                <w:lang w:val="es-UY" w:eastAsia="es-UY"/>
              </w:rPr>
              <w:t>Importe en $</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color w:val="000000"/>
                <w:szCs w:val="24"/>
                <w:lang w:val="es-UY" w:eastAsia="es-UY"/>
              </w:rPr>
            </w:pPr>
            <w:r w:rsidRPr="000B03A7">
              <w:rPr>
                <w:rFonts w:cs="Arial"/>
                <w:color w:val="000000"/>
                <w:szCs w:val="24"/>
                <w:lang w:val="es-UY" w:eastAsia="es-UY"/>
              </w:rPr>
              <w:t>0</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Servicios personales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665904" w:rsidRPr="00E96418" w:rsidRDefault="00665904" w:rsidP="00D56808">
            <w:pPr>
              <w:spacing w:line="276" w:lineRule="auto"/>
              <w:jc w:val="right"/>
              <w:rPr>
                <w:rFonts w:cs="Arial"/>
                <w:color w:val="000000"/>
                <w:szCs w:val="24"/>
                <w:lang w:val="es-UY" w:eastAsia="es-UY"/>
              </w:rPr>
            </w:pPr>
            <w:r>
              <w:rPr>
                <w:rFonts w:cs="Arial"/>
                <w:color w:val="000000"/>
                <w:szCs w:val="24"/>
                <w:lang w:val="es-UY" w:eastAsia="es-UY"/>
              </w:rPr>
              <w:t>9.129:619.386</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color w:val="000000"/>
                <w:szCs w:val="24"/>
                <w:lang w:val="es-UY" w:eastAsia="es-UY"/>
              </w:rPr>
            </w:pPr>
            <w:r w:rsidRPr="000B03A7">
              <w:rPr>
                <w:rFonts w:cs="Arial"/>
                <w:color w:val="000000"/>
                <w:szCs w:val="24"/>
                <w:lang w:val="es-UY" w:eastAsia="es-UY"/>
              </w:rPr>
              <w:t>1</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Bienes de Consumo</w:t>
            </w:r>
          </w:p>
        </w:tc>
        <w:tc>
          <w:tcPr>
            <w:tcW w:w="2693" w:type="dxa"/>
            <w:tcBorders>
              <w:top w:val="nil"/>
              <w:left w:val="nil"/>
              <w:bottom w:val="single" w:sz="4" w:space="0" w:color="auto"/>
              <w:right w:val="single" w:sz="4" w:space="0" w:color="auto"/>
            </w:tcBorders>
            <w:shd w:val="clear" w:color="auto" w:fill="auto"/>
            <w:noWrap/>
            <w:vAlign w:val="bottom"/>
            <w:hideMark/>
          </w:tcPr>
          <w:p w:rsidR="00665904" w:rsidRPr="00E96418" w:rsidRDefault="00665904" w:rsidP="00D56808">
            <w:pPr>
              <w:spacing w:line="276" w:lineRule="auto"/>
              <w:jc w:val="right"/>
              <w:rPr>
                <w:rFonts w:cs="Arial"/>
                <w:color w:val="000000"/>
                <w:szCs w:val="24"/>
                <w:lang w:val="es-UY" w:eastAsia="es-UY"/>
              </w:rPr>
            </w:pPr>
            <w:r>
              <w:rPr>
                <w:rFonts w:cs="Arial"/>
                <w:color w:val="000000"/>
                <w:szCs w:val="24"/>
                <w:lang w:val="es-UY" w:eastAsia="es-UY"/>
              </w:rPr>
              <w:t>230:166.300</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color w:val="000000"/>
                <w:szCs w:val="24"/>
                <w:lang w:val="es-UY" w:eastAsia="es-UY"/>
              </w:rPr>
            </w:pPr>
            <w:r w:rsidRPr="000B03A7">
              <w:rPr>
                <w:rFonts w:cs="Arial"/>
                <w:color w:val="000000"/>
                <w:szCs w:val="24"/>
                <w:lang w:val="es-UY" w:eastAsia="es-UY"/>
              </w:rPr>
              <w:t>2</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Servicios no personales</w:t>
            </w:r>
          </w:p>
        </w:tc>
        <w:tc>
          <w:tcPr>
            <w:tcW w:w="2693" w:type="dxa"/>
            <w:tcBorders>
              <w:top w:val="nil"/>
              <w:left w:val="nil"/>
              <w:bottom w:val="single" w:sz="4" w:space="0" w:color="auto"/>
              <w:right w:val="single" w:sz="4" w:space="0" w:color="auto"/>
            </w:tcBorders>
            <w:shd w:val="clear" w:color="auto" w:fill="auto"/>
            <w:noWrap/>
            <w:vAlign w:val="bottom"/>
            <w:hideMark/>
          </w:tcPr>
          <w:p w:rsidR="00665904" w:rsidRPr="00E96418" w:rsidRDefault="00665904" w:rsidP="00D56808">
            <w:pPr>
              <w:spacing w:line="276" w:lineRule="auto"/>
              <w:jc w:val="right"/>
              <w:rPr>
                <w:rFonts w:cs="Arial"/>
                <w:color w:val="000000"/>
                <w:szCs w:val="24"/>
                <w:lang w:val="es-UY" w:eastAsia="es-UY"/>
              </w:rPr>
            </w:pPr>
            <w:r>
              <w:rPr>
                <w:rFonts w:cs="Arial"/>
                <w:color w:val="000000"/>
                <w:szCs w:val="24"/>
                <w:lang w:val="es-UY" w:eastAsia="es-UY"/>
              </w:rPr>
              <w:t>10.852:867.040</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color w:val="000000"/>
                <w:szCs w:val="24"/>
                <w:lang w:val="es-UY" w:eastAsia="es-UY"/>
              </w:rPr>
            </w:pPr>
            <w:r w:rsidRPr="000B03A7">
              <w:rPr>
                <w:rFonts w:cs="Arial"/>
                <w:color w:val="000000"/>
                <w:szCs w:val="24"/>
                <w:lang w:val="es-UY" w:eastAsia="es-UY"/>
              </w:rPr>
              <w:t>5</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 xml:space="preserve">Transferencias </w:t>
            </w:r>
          </w:p>
        </w:tc>
        <w:tc>
          <w:tcPr>
            <w:tcW w:w="2693" w:type="dxa"/>
            <w:tcBorders>
              <w:top w:val="nil"/>
              <w:left w:val="nil"/>
              <w:bottom w:val="single" w:sz="4" w:space="0" w:color="auto"/>
              <w:right w:val="single" w:sz="4" w:space="0" w:color="auto"/>
            </w:tcBorders>
            <w:shd w:val="clear" w:color="auto" w:fill="auto"/>
            <w:noWrap/>
            <w:vAlign w:val="bottom"/>
            <w:hideMark/>
          </w:tcPr>
          <w:p w:rsidR="00665904" w:rsidRPr="00E96418" w:rsidRDefault="00665904" w:rsidP="00D56808">
            <w:pPr>
              <w:spacing w:line="276" w:lineRule="auto"/>
              <w:jc w:val="right"/>
              <w:rPr>
                <w:rFonts w:cs="Arial"/>
                <w:color w:val="000000"/>
                <w:szCs w:val="24"/>
                <w:lang w:val="es-UY" w:eastAsia="es-UY"/>
              </w:rPr>
            </w:pPr>
            <w:r>
              <w:rPr>
                <w:rFonts w:cs="Arial"/>
                <w:color w:val="000000"/>
                <w:szCs w:val="24"/>
                <w:lang w:val="es-UY" w:eastAsia="es-UY"/>
              </w:rPr>
              <w:t>23:881.000</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color w:val="000000"/>
                <w:szCs w:val="24"/>
                <w:lang w:val="es-UY" w:eastAsia="es-UY"/>
              </w:rPr>
            </w:pPr>
            <w:r w:rsidRPr="000B03A7">
              <w:rPr>
                <w:rFonts w:cs="Arial"/>
                <w:color w:val="000000"/>
                <w:szCs w:val="24"/>
                <w:lang w:val="es-UY" w:eastAsia="es-UY"/>
              </w:rPr>
              <w:t>6</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Intereses y Otros gastos de Deuda</w:t>
            </w:r>
          </w:p>
        </w:tc>
        <w:tc>
          <w:tcPr>
            <w:tcW w:w="2693" w:type="dxa"/>
            <w:tcBorders>
              <w:top w:val="nil"/>
              <w:left w:val="nil"/>
              <w:bottom w:val="single" w:sz="4" w:space="0" w:color="auto"/>
              <w:right w:val="single" w:sz="4" w:space="0" w:color="auto"/>
            </w:tcBorders>
            <w:shd w:val="clear" w:color="auto" w:fill="auto"/>
            <w:noWrap/>
            <w:vAlign w:val="bottom"/>
          </w:tcPr>
          <w:p w:rsidR="00665904" w:rsidRPr="00E96418" w:rsidRDefault="00665904" w:rsidP="00D56808">
            <w:pPr>
              <w:spacing w:line="276" w:lineRule="auto"/>
              <w:jc w:val="right"/>
              <w:rPr>
                <w:rFonts w:cs="Arial"/>
                <w:color w:val="000000"/>
                <w:szCs w:val="24"/>
                <w:lang w:val="es-UY" w:eastAsia="es-UY"/>
              </w:rPr>
            </w:pPr>
            <w:r>
              <w:rPr>
                <w:rFonts w:cs="Arial"/>
                <w:color w:val="000000"/>
                <w:szCs w:val="24"/>
                <w:lang w:val="es-UY" w:eastAsia="es-UY"/>
              </w:rPr>
              <w:t>1.722:300.000</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color w:val="000000"/>
                <w:szCs w:val="24"/>
                <w:lang w:val="es-UY" w:eastAsia="es-UY"/>
              </w:rPr>
            </w:pPr>
            <w:r w:rsidRPr="000B03A7">
              <w:rPr>
                <w:rFonts w:cs="Arial"/>
                <w:color w:val="000000"/>
                <w:szCs w:val="24"/>
                <w:lang w:val="es-UY" w:eastAsia="es-UY"/>
              </w:rPr>
              <w:t>7</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Gastos no clasificados</w:t>
            </w:r>
          </w:p>
        </w:tc>
        <w:tc>
          <w:tcPr>
            <w:tcW w:w="2693"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jc w:val="right"/>
              <w:rPr>
                <w:rFonts w:cs="Arial"/>
                <w:color w:val="000000"/>
                <w:szCs w:val="24"/>
                <w:lang w:val="es-UY" w:eastAsia="es-UY"/>
              </w:rPr>
            </w:pPr>
            <w:r>
              <w:rPr>
                <w:rFonts w:cs="Arial"/>
                <w:color w:val="000000"/>
                <w:szCs w:val="24"/>
                <w:lang w:val="es-UY" w:eastAsia="es-UY"/>
              </w:rPr>
              <w:t>109:011.000</w:t>
            </w:r>
          </w:p>
        </w:tc>
      </w:tr>
      <w:tr w:rsidR="00665904" w:rsidRPr="000B03A7" w:rsidTr="005645A6">
        <w:trPr>
          <w:trHeight w:val="28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5C4BF1">
            <w:pPr>
              <w:spacing w:line="276" w:lineRule="auto"/>
              <w:jc w:val="center"/>
              <w:rPr>
                <w:rFonts w:cs="Arial"/>
                <w:szCs w:val="24"/>
                <w:lang w:val="es-UY" w:eastAsia="es-UY"/>
              </w:rPr>
            </w:pPr>
            <w:r w:rsidRPr="000B03A7">
              <w:rPr>
                <w:rFonts w:cs="Arial"/>
                <w:szCs w:val="24"/>
                <w:lang w:val="es-UY" w:eastAsia="es-UY"/>
              </w:rPr>
              <w:t>8</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Aplicaciones Financieras</w:t>
            </w:r>
          </w:p>
        </w:tc>
        <w:tc>
          <w:tcPr>
            <w:tcW w:w="2693" w:type="dxa"/>
            <w:tcBorders>
              <w:top w:val="nil"/>
              <w:left w:val="nil"/>
              <w:bottom w:val="single" w:sz="4" w:space="0" w:color="auto"/>
              <w:right w:val="single" w:sz="4" w:space="0" w:color="auto"/>
            </w:tcBorders>
            <w:shd w:val="clear" w:color="auto" w:fill="auto"/>
            <w:noWrap/>
            <w:vAlign w:val="bottom"/>
          </w:tcPr>
          <w:p w:rsidR="00665904" w:rsidRPr="00E96418" w:rsidRDefault="00665904" w:rsidP="00D56808">
            <w:pPr>
              <w:spacing w:line="276" w:lineRule="auto"/>
              <w:jc w:val="right"/>
              <w:rPr>
                <w:rFonts w:cs="Arial"/>
                <w:color w:val="000000"/>
                <w:szCs w:val="24"/>
                <w:lang w:val="es-UY" w:eastAsia="es-UY"/>
              </w:rPr>
            </w:pPr>
            <w:r>
              <w:rPr>
                <w:rFonts w:cs="Arial"/>
                <w:color w:val="000000"/>
                <w:szCs w:val="24"/>
                <w:lang w:val="es-UY" w:eastAsia="es-UY"/>
              </w:rPr>
              <w:t>20.530:761.000</w:t>
            </w:r>
          </w:p>
        </w:tc>
      </w:tr>
      <w:tr w:rsidR="00665904" w:rsidRPr="000B03A7" w:rsidTr="005645A6">
        <w:trPr>
          <w:trHeight w:val="300"/>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color w:val="000000"/>
                <w:szCs w:val="24"/>
                <w:lang w:val="es-UY" w:eastAsia="es-UY"/>
              </w:rPr>
            </w:pPr>
            <w:r w:rsidRPr="000B03A7">
              <w:rPr>
                <w:rFonts w:cs="Arial"/>
                <w:color w:val="000000"/>
                <w:szCs w:val="24"/>
                <w:lang w:val="es-UY" w:eastAsia="es-UY"/>
              </w:rPr>
              <w:t> </w:t>
            </w:r>
          </w:p>
        </w:tc>
        <w:tc>
          <w:tcPr>
            <w:tcW w:w="4437"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rPr>
                <w:rFonts w:cs="Arial"/>
                <w:b/>
                <w:bCs/>
                <w:color w:val="000000"/>
                <w:szCs w:val="24"/>
                <w:lang w:val="es-UY" w:eastAsia="es-UY"/>
              </w:rPr>
            </w:pPr>
            <w:r w:rsidRPr="000B03A7">
              <w:rPr>
                <w:rFonts w:cs="Arial"/>
                <w:b/>
                <w:bCs/>
                <w:color w:val="000000"/>
                <w:szCs w:val="24"/>
                <w:lang w:val="es-UY" w:eastAsia="es-UY"/>
              </w:rPr>
              <w:t>Total Egresos Operativos y Op. Financieras</w:t>
            </w:r>
          </w:p>
        </w:tc>
        <w:tc>
          <w:tcPr>
            <w:tcW w:w="2693" w:type="dxa"/>
            <w:tcBorders>
              <w:top w:val="nil"/>
              <w:left w:val="nil"/>
              <w:bottom w:val="single" w:sz="4" w:space="0" w:color="auto"/>
              <w:right w:val="single" w:sz="4" w:space="0" w:color="auto"/>
            </w:tcBorders>
            <w:shd w:val="clear" w:color="auto" w:fill="auto"/>
            <w:noWrap/>
            <w:vAlign w:val="bottom"/>
            <w:hideMark/>
          </w:tcPr>
          <w:p w:rsidR="00665904" w:rsidRPr="000B03A7" w:rsidRDefault="00665904" w:rsidP="00D56808">
            <w:pPr>
              <w:spacing w:line="276" w:lineRule="auto"/>
              <w:jc w:val="right"/>
              <w:rPr>
                <w:rFonts w:cs="Arial"/>
                <w:b/>
                <w:bCs/>
                <w:color w:val="000000"/>
                <w:szCs w:val="24"/>
                <w:lang w:val="es-UY" w:eastAsia="es-UY"/>
              </w:rPr>
            </w:pPr>
            <w:r>
              <w:rPr>
                <w:rFonts w:cs="Arial"/>
                <w:b/>
                <w:bCs/>
                <w:color w:val="000000"/>
                <w:szCs w:val="24"/>
                <w:lang w:val="es-UY" w:eastAsia="es-UY"/>
              </w:rPr>
              <w:t>42.598:605.726</w:t>
            </w:r>
          </w:p>
        </w:tc>
      </w:tr>
    </w:tbl>
    <w:p w:rsidR="00665904" w:rsidRDefault="00665904">
      <w:pPr>
        <w:pStyle w:val="Piedepgina"/>
        <w:tabs>
          <w:tab w:val="clear" w:pos="4252"/>
          <w:tab w:val="clear" w:pos="8504"/>
        </w:tabs>
        <w:jc w:val="both"/>
        <w:rPr>
          <w:rFonts w:ascii="Arial" w:hAnsi="Arial" w:cs="Arial"/>
          <w:b/>
          <w:bCs/>
          <w:sz w:val="24"/>
        </w:rPr>
      </w:pPr>
    </w:p>
    <w:p w:rsidR="00665904" w:rsidRDefault="00665904">
      <w:pPr>
        <w:pStyle w:val="Piedepgina"/>
        <w:tabs>
          <w:tab w:val="clear" w:pos="4252"/>
          <w:tab w:val="clear" w:pos="8504"/>
        </w:tabs>
        <w:jc w:val="both"/>
        <w:rPr>
          <w:rFonts w:ascii="Arial" w:hAnsi="Arial" w:cs="Arial"/>
          <w:b/>
          <w:color w:val="FF0000"/>
          <w:sz w:val="24"/>
        </w:rPr>
      </w:pPr>
      <w:r>
        <w:rPr>
          <w:rFonts w:ascii="Arial" w:hAnsi="Arial" w:cs="Arial"/>
          <w:b/>
          <w:bCs/>
          <w:sz w:val="24"/>
        </w:rPr>
        <w:t>Presupuesto de Inversiones</w:t>
      </w:r>
    </w:p>
    <w:p w:rsidR="00665904" w:rsidRDefault="00665904">
      <w:pPr>
        <w:pStyle w:val="Piedepgina"/>
        <w:tabs>
          <w:tab w:val="clear" w:pos="4252"/>
          <w:tab w:val="clear" w:pos="8504"/>
        </w:tabs>
        <w:jc w:val="both"/>
        <w:rPr>
          <w:rFonts w:ascii="Arial" w:hAnsi="Arial" w:cs="Arial"/>
          <w:b/>
          <w:color w:val="FF0000"/>
          <w:sz w:val="16"/>
          <w:szCs w:val="16"/>
        </w:rPr>
      </w:pPr>
    </w:p>
    <w:p w:rsidR="00665904" w:rsidRDefault="00665904">
      <w:pPr>
        <w:pStyle w:val="Piedepgina"/>
        <w:tabs>
          <w:tab w:val="clear" w:pos="4252"/>
          <w:tab w:val="clear" w:pos="8504"/>
        </w:tabs>
        <w:jc w:val="both"/>
        <w:rPr>
          <w:rFonts w:ascii="Arial" w:hAnsi="Arial" w:cs="Arial"/>
          <w:b/>
          <w:color w:val="FF0000"/>
          <w:sz w:val="24"/>
        </w:rPr>
      </w:pPr>
    </w:p>
    <w:tbl>
      <w:tblPr>
        <w:tblpPr w:leftFromText="141" w:rightFromText="141" w:vertAnchor="text" w:horzAnchor="margin" w:tblpX="299" w:tblpY="-49"/>
        <w:tblW w:w="7953" w:type="dxa"/>
        <w:tblCellMar>
          <w:left w:w="0" w:type="dxa"/>
          <w:right w:w="0" w:type="dxa"/>
        </w:tblCellMar>
        <w:tblLook w:val="0000" w:firstRow="0" w:lastRow="0" w:firstColumn="0" w:lastColumn="0" w:noHBand="0" w:noVBand="0"/>
      </w:tblPr>
      <w:tblGrid>
        <w:gridCol w:w="1055"/>
        <w:gridCol w:w="4205"/>
        <w:gridCol w:w="2693"/>
      </w:tblGrid>
      <w:tr w:rsidR="00665904" w:rsidTr="00CE5187">
        <w:trPr>
          <w:trHeight w:val="280"/>
        </w:trPr>
        <w:tc>
          <w:tcPr>
            <w:tcW w:w="10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665904" w:rsidRDefault="00665904" w:rsidP="001B4402">
            <w:pPr>
              <w:jc w:val="center"/>
              <w:rPr>
                <w:rFonts w:cs="Arial"/>
              </w:rPr>
            </w:pPr>
          </w:p>
        </w:tc>
        <w:tc>
          <w:tcPr>
            <w:tcW w:w="420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65904" w:rsidRDefault="00665904" w:rsidP="005645A6">
            <w:pPr>
              <w:rPr>
                <w:rFonts w:cs="Arial"/>
                <w:b/>
                <w:bCs/>
                <w:szCs w:val="24"/>
              </w:rPr>
            </w:pPr>
            <w:r>
              <w:rPr>
                <w:rFonts w:cs="Arial"/>
                <w:b/>
                <w:bCs/>
              </w:rPr>
              <w:t>Total Egresos</w:t>
            </w:r>
          </w:p>
        </w:tc>
        <w:tc>
          <w:tcPr>
            <w:tcW w:w="269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65904" w:rsidRDefault="00665904" w:rsidP="005645A6">
            <w:pPr>
              <w:jc w:val="right"/>
              <w:rPr>
                <w:rFonts w:cs="Arial"/>
                <w:b/>
                <w:bCs/>
                <w:szCs w:val="24"/>
              </w:rPr>
            </w:pPr>
            <w:r>
              <w:rPr>
                <w:rFonts w:cs="Arial"/>
                <w:b/>
                <w:bCs/>
              </w:rPr>
              <w:t xml:space="preserve">$ </w:t>
            </w:r>
            <w:r>
              <w:rPr>
                <w:rFonts w:cs="Arial"/>
                <w:b/>
                <w:bCs/>
                <w:color w:val="000000"/>
                <w:szCs w:val="24"/>
                <w:lang w:val="es-UY" w:eastAsia="es-UY"/>
              </w:rPr>
              <w:t>43.969:989.795</w:t>
            </w:r>
          </w:p>
        </w:tc>
      </w:tr>
    </w:tbl>
    <w:p w:rsidR="00665904" w:rsidRPr="00CD7BAD" w:rsidRDefault="00665904" w:rsidP="00CD7BAD">
      <w:pPr>
        <w:rPr>
          <w:vanish/>
        </w:rPr>
      </w:pPr>
    </w:p>
    <w:tbl>
      <w:tblPr>
        <w:tblpPr w:leftFromText="141" w:rightFromText="141" w:vertAnchor="page" w:horzAnchor="margin" w:tblpX="392" w:tblpY="9196"/>
        <w:tblW w:w="7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3995"/>
        <w:gridCol w:w="2563"/>
      </w:tblGrid>
      <w:tr w:rsidR="00665904" w:rsidRPr="000B03A7" w:rsidTr="005C4BF1">
        <w:trPr>
          <w:trHeight w:val="311"/>
        </w:trPr>
        <w:tc>
          <w:tcPr>
            <w:tcW w:w="544" w:type="dxa"/>
            <w:tcBorders>
              <w:top w:val="single" w:sz="4" w:space="0" w:color="auto"/>
              <w:left w:val="single" w:sz="4" w:space="0" w:color="auto"/>
              <w:bottom w:val="single" w:sz="4" w:space="0" w:color="auto"/>
              <w:right w:val="single" w:sz="4" w:space="0" w:color="auto"/>
            </w:tcBorders>
            <w:shd w:val="clear" w:color="auto" w:fill="auto"/>
            <w:vAlign w:val="bottom"/>
          </w:tcPr>
          <w:p w:rsidR="00665904" w:rsidRPr="005C4BF1" w:rsidRDefault="00665904" w:rsidP="005C4BF1">
            <w:pPr>
              <w:spacing w:line="276" w:lineRule="auto"/>
              <w:rPr>
                <w:rFonts w:cs="Arial"/>
                <w:b/>
                <w:color w:val="000000"/>
                <w:szCs w:val="24"/>
                <w:lang w:val="es-UY" w:eastAsia="es-UY"/>
              </w:rPr>
            </w:pPr>
            <w:r w:rsidRPr="005C4BF1">
              <w:rPr>
                <w:rFonts w:cs="Arial"/>
                <w:b/>
                <w:color w:val="000000"/>
                <w:szCs w:val="24"/>
                <w:lang w:val="es-UY" w:eastAsia="es-UY"/>
              </w:rPr>
              <w:t>Grupo</w:t>
            </w:r>
          </w:p>
        </w:tc>
        <w:tc>
          <w:tcPr>
            <w:tcW w:w="4280" w:type="dxa"/>
            <w:tcBorders>
              <w:top w:val="single" w:sz="4" w:space="0" w:color="auto"/>
              <w:left w:val="nil"/>
              <w:bottom w:val="single" w:sz="4" w:space="0" w:color="auto"/>
              <w:right w:val="single" w:sz="4" w:space="0" w:color="auto"/>
            </w:tcBorders>
            <w:shd w:val="clear" w:color="auto" w:fill="auto"/>
            <w:vAlign w:val="bottom"/>
          </w:tcPr>
          <w:p w:rsidR="00665904" w:rsidRPr="005C4BF1" w:rsidRDefault="00665904" w:rsidP="005C4BF1">
            <w:pPr>
              <w:spacing w:line="276" w:lineRule="auto"/>
              <w:jc w:val="center"/>
              <w:rPr>
                <w:rFonts w:cs="Arial"/>
                <w:b/>
                <w:color w:val="000000"/>
                <w:szCs w:val="24"/>
                <w:lang w:val="es-UY" w:eastAsia="es-UY"/>
              </w:rPr>
            </w:pPr>
            <w:r w:rsidRPr="005C4BF1">
              <w:rPr>
                <w:rFonts w:cs="Arial"/>
                <w:b/>
                <w:color w:val="000000"/>
                <w:szCs w:val="24"/>
                <w:lang w:val="es-UY" w:eastAsia="es-UY"/>
              </w:rPr>
              <w:t>Denominación</w:t>
            </w:r>
          </w:p>
        </w:tc>
        <w:tc>
          <w:tcPr>
            <w:tcW w:w="2670" w:type="dxa"/>
            <w:tcBorders>
              <w:top w:val="single" w:sz="4" w:space="0" w:color="auto"/>
              <w:left w:val="nil"/>
              <w:bottom w:val="nil"/>
              <w:right w:val="single" w:sz="4" w:space="0" w:color="auto"/>
            </w:tcBorders>
            <w:shd w:val="clear" w:color="auto" w:fill="auto"/>
            <w:vAlign w:val="bottom"/>
          </w:tcPr>
          <w:p w:rsidR="00665904" w:rsidRPr="005C4BF1" w:rsidRDefault="00665904" w:rsidP="005C4BF1">
            <w:pPr>
              <w:spacing w:line="276" w:lineRule="auto"/>
              <w:jc w:val="center"/>
              <w:rPr>
                <w:rFonts w:cs="Arial"/>
                <w:b/>
                <w:color w:val="000000"/>
                <w:szCs w:val="24"/>
                <w:lang w:val="es-UY" w:eastAsia="es-UY"/>
              </w:rPr>
            </w:pPr>
            <w:r w:rsidRPr="005C4BF1">
              <w:rPr>
                <w:rFonts w:cs="Arial"/>
                <w:b/>
                <w:color w:val="000000"/>
                <w:szCs w:val="24"/>
                <w:lang w:val="es-UY" w:eastAsia="es-UY"/>
              </w:rPr>
              <w:t>Importe en $</w:t>
            </w:r>
          </w:p>
        </w:tc>
      </w:tr>
      <w:tr w:rsidR="00665904" w:rsidTr="005C4BF1">
        <w:trPr>
          <w:trHeight w:val="311"/>
        </w:trPr>
        <w:tc>
          <w:tcPr>
            <w:tcW w:w="544" w:type="dxa"/>
            <w:shd w:val="clear" w:color="auto" w:fill="auto"/>
          </w:tcPr>
          <w:p w:rsidR="00665904" w:rsidRPr="00D11113" w:rsidRDefault="00665904" w:rsidP="005C4BF1">
            <w:pPr>
              <w:spacing w:line="276" w:lineRule="auto"/>
              <w:jc w:val="center"/>
            </w:pPr>
            <w:r>
              <w:t>2</w:t>
            </w:r>
          </w:p>
        </w:tc>
        <w:tc>
          <w:tcPr>
            <w:tcW w:w="4280" w:type="dxa"/>
            <w:shd w:val="clear" w:color="auto" w:fill="auto"/>
          </w:tcPr>
          <w:p w:rsidR="00665904" w:rsidRPr="00D11113" w:rsidRDefault="00665904" w:rsidP="005C4BF1">
            <w:pPr>
              <w:spacing w:line="276" w:lineRule="auto"/>
              <w:jc w:val="both"/>
            </w:pPr>
            <w:r>
              <w:t>Servicios no personales</w:t>
            </w:r>
          </w:p>
        </w:tc>
        <w:tc>
          <w:tcPr>
            <w:tcW w:w="2670" w:type="dxa"/>
            <w:shd w:val="clear" w:color="auto" w:fill="auto"/>
            <w:vAlign w:val="bottom"/>
          </w:tcPr>
          <w:p w:rsidR="00665904" w:rsidRDefault="00665904" w:rsidP="005C4BF1">
            <w:pPr>
              <w:spacing w:line="276" w:lineRule="auto"/>
              <w:jc w:val="right"/>
              <w:rPr>
                <w:rFonts w:cs="Arial"/>
                <w:color w:val="000000"/>
                <w:szCs w:val="24"/>
                <w:lang w:val="es-UY" w:eastAsia="es-UY"/>
              </w:rPr>
            </w:pPr>
            <w:r>
              <w:rPr>
                <w:rFonts w:cs="Arial"/>
                <w:color w:val="000000"/>
                <w:szCs w:val="24"/>
                <w:lang w:val="es-UY" w:eastAsia="es-UY"/>
              </w:rPr>
              <w:t>329:563.969</w:t>
            </w:r>
          </w:p>
        </w:tc>
      </w:tr>
      <w:tr w:rsidR="00665904" w:rsidRPr="00772F33" w:rsidTr="005C4BF1">
        <w:trPr>
          <w:trHeight w:val="296"/>
        </w:trPr>
        <w:tc>
          <w:tcPr>
            <w:tcW w:w="544" w:type="dxa"/>
            <w:shd w:val="clear" w:color="auto" w:fill="auto"/>
          </w:tcPr>
          <w:p w:rsidR="00665904" w:rsidRPr="00D11113" w:rsidRDefault="00665904" w:rsidP="005C4BF1">
            <w:pPr>
              <w:spacing w:line="276" w:lineRule="auto"/>
              <w:jc w:val="center"/>
            </w:pPr>
            <w:r>
              <w:t>3</w:t>
            </w:r>
          </w:p>
        </w:tc>
        <w:tc>
          <w:tcPr>
            <w:tcW w:w="4280" w:type="dxa"/>
            <w:shd w:val="clear" w:color="auto" w:fill="auto"/>
          </w:tcPr>
          <w:p w:rsidR="00665904" w:rsidRPr="00D11113" w:rsidRDefault="00665904" w:rsidP="005C4BF1">
            <w:pPr>
              <w:spacing w:line="276" w:lineRule="auto"/>
              <w:jc w:val="both"/>
            </w:pPr>
            <w:r>
              <w:t>Bienes de uso</w:t>
            </w:r>
          </w:p>
        </w:tc>
        <w:tc>
          <w:tcPr>
            <w:tcW w:w="2670" w:type="dxa"/>
            <w:shd w:val="clear" w:color="auto" w:fill="auto"/>
            <w:vAlign w:val="bottom"/>
          </w:tcPr>
          <w:p w:rsidR="00665904" w:rsidRPr="00772F33" w:rsidRDefault="00665904" w:rsidP="005C4BF1">
            <w:pPr>
              <w:spacing w:line="276" w:lineRule="auto"/>
              <w:jc w:val="right"/>
              <w:rPr>
                <w:rFonts w:cs="Arial"/>
                <w:color w:val="000000"/>
                <w:szCs w:val="24"/>
                <w:lang w:val="es-UY" w:eastAsia="es-UY"/>
              </w:rPr>
            </w:pPr>
            <w:r>
              <w:rPr>
                <w:rFonts w:cs="Arial"/>
                <w:color w:val="000000"/>
                <w:szCs w:val="24"/>
                <w:lang w:val="es-UY" w:eastAsia="es-UY"/>
              </w:rPr>
              <w:t>1.041:820.100</w:t>
            </w:r>
          </w:p>
        </w:tc>
      </w:tr>
      <w:tr w:rsidR="00665904" w:rsidRPr="00D11113" w:rsidTr="005C4BF1">
        <w:trPr>
          <w:trHeight w:val="326"/>
        </w:trPr>
        <w:tc>
          <w:tcPr>
            <w:tcW w:w="544" w:type="dxa"/>
            <w:shd w:val="clear" w:color="auto" w:fill="auto"/>
          </w:tcPr>
          <w:p w:rsidR="00665904" w:rsidRPr="00D11113" w:rsidRDefault="00665904" w:rsidP="005C4BF1">
            <w:pPr>
              <w:spacing w:line="276" w:lineRule="auto"/>
              <w:jc w:val="both"/>
              <w:rPr>
                <w:b/>
              </w:rPr>
            </w:pPr>
          </w:p>
        </w:tc>
        <w:tc>
          <w:tcPr>
            <w:tcW w:w="4280" w:type="dxa"/>
            <w:shd w:val="clear" w:color="auto" w:fill="auto"/>
          </w:tcPr>
          <w:p w:rsidR="00665904" w:rsidRPr="00D11113" w:rsidRDefault="00665904" w:rsidP="005C4BF1">
            <w:pPr>
              <w:spacing w:line="276" w:lineRule="auto"/>
              <w:jc w:val="both"/>
              <w:rPr>
                <w:b/>
              </w:rPr>
            </w:pPr>
            <w:r w:rsidRPr="00D11113">
              <w:rPr>
                <w:b/>
              </w:rPr>
              <w:t>Total Egresos por Inversiones</w:t>
            </w:r>
          </w:p>
        </w:tc>
        <w:tc>
          <w:tcPr>
            <w:tcW w:w="2670" w:type="dxa"/>
            <w:shd w:val="clear" w:color="auto" w:fill="auto"/>
          </w:tcPr>
          <w:p w:rsidR="00665904" w:rsidRPr="00D11113" w:rsidRDefault="00665904" w:rsidP="005C4BF1">
            <w:pPr>
              <w:spacing w:line="276" w:lineRule="auto"/>
              <w:jc w:val="right"/>
              <w:rPr>
                <w:b/>
              </w:rPr>
            </w:pPr>
            <w:r>
              <w:rPr>
                <w:b/>
              </w:rPr>
              <w:t>1.371:384.069</w:t>
            </w:r>
          </w:p>
        </w:tc>
      </w:tr>
    </w:tbl>
    <w:p w:rsidR="00665904" w:rsidRDefault="00665904">
      <w:pPr>
        <w:spacing w:line="360" w:lineRule="auto"/>
        <w:jc w:val="both"/>
        <w:rPr>
          <w:rFonts w:cs="Arial"/>
          <w:b/>
          <w:bCs/>
        </w:rPr>
      </w:pPr>
    </w:p>
    <w:p w:rsidR="00665904" w:rsidRDefault="00665904">
      <w:pPr>
        <w:spacing w:line="360" w:lineRule="auto"/>
        <w:jc w:val="both"/>
        <w:rPr>
          <w:rFonts w:cs="Arial"/>
          <w:b/>
          <w:bCs/>
        </w:rPr>
      </w:pPr>
    </w:p>
    <w:p w:rsidR="00665904" w:rsidRDefault="00665904">
      <w:pPr>
        <w:spacing w:line="360" w:lineRule="auto"/>
        <w:jc w:val="both"/>
        <w:rPr>
          <w:rFonts w:cs="Arial"/>
          <w:b/>
          <w:bCs/>
        </w:rPr>
      </w:pPr>
    </w:p>
    <w:p w:rsidR="00665904" w:rsidRDefault="00665904">
      <w:pPr>
        <w:spacing w:line="360" w:lineRule="auto"/>
        <w:jc w:val="both"/>
        <w:rPr>
          <w:rFonts w:cs="Arial"/>
          <w:b/>
          <w:bCs/>
        </w:rPr>
      </w:pPr>
    </w:p>
    <w:p w:rsidR="00665904" w:rsidRDefault="00665904">
      <w:pPr>
        <w:spacing w:line="360" w:lineRule="auto"/>
        <w:jc w:val="both"/>
        <w:rPr>
          <w:rFonts w:cs="Arial"/>
          <w:b/>
          <w:bCs/>
        </w:rPr>
      </w:pPr>
    </w:p>
    <w:p w:rsidR="00665904" w:rsidRDefault="00665904" w:rsidP="00665904">
      <w:pPr>
        <w:numPr>
          <w:ilvl w:val="1"/>
          <w:numId w:val="2"/>
        </w:numPr>
        <w:spacing w:line="360" w:lineRule="auto"/>
        <w:ind w:left="426" w:hanging="426"/>
        <w:rPr>
          <w:rFonts w:cs="Arial"/>
          <w:b/>
          <w:bCs/>
        </w:rPr>
      </w:pPr>
      <w:r>
        <w:rPr>
          <w:rFonts w:cs="Arial"/>
          <w:b/>
          <w:bCs/>
        </w:rPr>
        <w:t xml:space="preserve"> Anál</w:t>
      </w:r>
      <w:r w:rsidR="00B02CD5">
        <w:rPr>
          <w:rFonts w:cs="Arial"/>
          <w:b/>
          <w:bCs/>
        </w:rPr>
        <w:t>isis del Resultado Presupuestal</w:t>
      </w:r>
    </w:p>
    <w:p w:rsidR="00665904" w:rsidRPr="00E03E10" w:rsidRDefault="00665904" w:rsidP="00E03E10">
      <w:pPr>
        <w:autoSpaceDE w:val="0"/>
        <w:autoSpaceDN w:val="0"/>
        <w:adjustRightInd w:val="0"/>
        <w:spacing w:line="360" w:lineRule="auto"/>
        <w:jc w:val="both"/>
        <w:rPr>
          <w:rFonts w:cs="Arial"/>
          <w:bCs/>
        </w:rPr>
      </w:pPr>
      <w:r w:rsidRPr="00E03E10">
        <w:rPr>
          <w:rFonts w:cs="Arial"/>
          <w:bCs/>
        </w:rPr>
        <w:t>Considerando los Resultados por Dependencias en el Exterior y Otros ingresos mencionados en 1.1</w:t>
      </w:r>
      <w:r>
        <w:rPr>
          <w:rFonts w:cs="Arial"/>
          <w:bCs/>
        </w:rPr>
        <w:t xml:space="preserve"> el resultado presupuestal es el siguiente:</w:t>
      </w:r>
    </w:p>
    <w:p w:rsidR="00665904" w:rsidRDefault="00665904" w:rsidP="00A1768F">
      <w:pPr>
        <w:spacing w:line="360" w:lineRule="auto"/>
        <w:ind w:left="864"/>
        <w:jc w:val="both"/>
        <w:rPr>
          <w:rFonts w:cs="Arial"/>
          <w:b/>
          <w:bCs/>
        </w:rPr>
      </w:pPr>
    </w:p>
    <w:tbl>
      <w:tblPr>
        <w:tblW w:w="8023" w:type="dxa"/>
        <w:jc w:val="center"/>
        <w:tblInd w:w="-2545" w:type="dxa"/>
        <w:tblCellMar>
          <w:left w:w="0" w:type="dxa"/>
          <w:right w:w="0" w:type="dxa"/>
        </w:tblCellMar>
        <w:tblLook w:val="0000" w:firstRow="0" w:lastRow="0" w:firstColumn="0" w:lastColumn="0" w:noHBand="0" w:noVBand="0"/>
      </w:tblPr>
      <w:tblGrid>
        <w:gridCol w:w="5329"/>
        <w:gridCol w:w="2694"/>
      </w:tblGrid>
      <w:tr w:rsidR="00665904" w:rsidTr="005645A6">
        <w:trPr>
          <w:trHeight w:val="300"/>
          <w:jc w:val="center"/>
        </w:trPr>
        <w:tc>
          <w:tcPr>
            <w:tcW w:w="53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65904" w:rsidRDefault="00665904">
            <w:pPr>
              <w:rPr>
                <w:rFonts w:cs="Arial"/>
                <w:szCs w:val="24"/>
              </w:rPr>
            </w:pPr>
            <w:r>
              <w:rPr>
                <w:rFonts w:cs="Arial"/>
              </w:rPr>
              <w:t>Presupuesto de Ingresos</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65904" w:rsidRPr="00D56808" w:rsidRDefault="00665904" w:rsidP="00E03E10">
            <w:pPr>
              <w:jc w:val="right"/>
              <w:rPr>
                <w:rFonts w:cs="Arial"/>
                <w:szCs w:val="24"/>
              </w:rPr>
            </w:pPr>
            <w:r w:rsidRPr="00D56808">
              <w:rPr>
                <w:rFonts w:cs="Arial"/>
                <w:bCs/>
                <w:szCs w:val="24"/>
                <w:lang w:val="es-UY" w:eastAsia="es-UY"/>
              </w:rPr>
              <w:t xml:space="preserve">$ </w:t>
            </w:r>
            <w:r>
              <w:rPr>
                <w:rFonts w:cs="Arial"/>
                <w:bCs/>
                <w:szCs w:val="24"/>
                <w:lang w:val="es-UY" w:eastAsia="es-UY"/>
              </w:rPr>
              <w:t>49.495</w:t>
            </w:r>
            <w:r w:rsidRPr="00D56808">
              <w:rPr>
                <w:rFonts w:cs="Arial"/>
                <w:bCs/>
              </w:rPr>
              <w:t>:</w:t>
            </w:r>
            <w:r>
              <w:rPr>
                <w:rFonts w:cs="Arial"/>
                <w:bCs/>
              </w:rPr>
              <w:t>170.154</w:t>
            </w:r>
            <w:r w:rsidRPr="00D56808">
              <w:rPr>
                <w:rFonts w:cs="Arial"/>
                <w:bCs/>
              </w:rPr>
              <w:t xml:space="preserve">     </w:t>
            </w:r>
          </w:p>
        </w:tc>
      </w:tr>
      <w:tr w:rsidR="00665904" w:rsidTr="005645A6">
        <w:trPr>
          <w:trHeight w:val="300"/>
          <w:jc w:val="center"/>
        </w:trPr>
        <w:tc>
          <w:tcPr>
            <w:tcW w:w="53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65904" w:rsidRDefault="00665904" w:rsidP="00D56808">
            <w:pPr>
              <w:rPr>
                <w:rFonts w:cs="Arial"/>
                <w:szCs w:val="24"/>
              </w:rPr>
            </w:pPr>
            <w:r>
              <w:rPr>
                <w:rFonts w:cs="Arial"/>
              </w:rPr>
              <w:t>Presupuesto Operativo y de Operaciones Financieras</w:t>
            </w:r>
          </w:p>
        </w:tc>
        <w:tc>
          <w:tcPr>
            <w:tcW w:w="26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65904" w:rsidRPr="00D56808" w:rsidRDefault="00665904" w:rsidP="00D56808">
            <w:pPr>
              <w:jc w:val="right"/>
              <w:rPr>
                <w:rFonts w:cs="Arial"/>
                <w:szCs w:val="24"/>
              </w:rPr>
            </w:pPr>
            <w:r w:rsidRPr="00D56808">
              <w:rPr>
                <w:rFonts w:cs="Arial"/>
                <w:bCs/>
                <w:szCs w:val="24"/>
                <w:lang w:val="es-UY" w:eastAsia="es-UY"/>
              </w:rPr>
              <w:t xml:space="preserve">$ </w:t>
            </w:r>
            <w:r>
              <w:rPr>
                <w:rFonts w:cs="Arial"/>
                <w:bCs/>
                <w:szCs w:val="24"/>
                <w:lang w:val="es-UY" w:eastAsia="es-UY"/>
              </w:rPr>
              <w:t>42.598</w:t>
            </w:r>
            <w:r w:rsidRPr="00D56808">
              <w:rPr>
                <w:rFonts w:cs="Arial"/>
                <w:bCs/>
                <w:color w:val="000000"/>
                <w:szCs w:val="24"/>
                <w:lang w:val="es-UY" w:eastAsia="es-UY"/>
              </w:rPr>
              <w:t>:</w:t>
            </w:r>
            <w:r>
              <w:rPr>
                <w:rFonts w:cs="Arial"/>
                <w:bCs/>
                <w:color w:val="000000"/>
                <w:szCs w:val="24"/>
                <w:lang w:val="es-UY" w:eastAsia="es-UY"/>
              </w:rPr>
              <w:t>605</w:t>
            </w:r>
            <w:r w:rsidRPr="00D56808">
              <w:rPr>
                <w:rFonts w:cs="Arial"/>
                <w:bCs/>
                <w:color w:val="000000"/>
                <w:szCs w:val="24"/>
                <w:lang w:val="es-UY" w:eastAsia="es-UY"/>
              </w:rPr>
              <w:t>.</w:t>
            </w:r>
            <w:r>
              <w:rPr>
                <w:rFonts w:cs="Arial"/>
                <w:bCs/>
                <w:color w:val="000000"/>
                <w:szCs w:val="24"/>
                <w:lang w:val="es-UY" w:eastAsia="es-UY"/>
              </w:rPr>
              <w:t>726</w:t>
            </w:r>
          </w:p>
        </w:tc>
      </w:tr>
      <w:tr w:rsidR="00665904" w:rsidTr="005645A6">
        <w:trPr>
          <w:trHeight w:val="300"/>
          <w:jc w:val="center"/>
        </w:trPr>
        <w:tc>
          <w:tcPr>
            <w:tcW w:w="53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65904" w:rsidRDefault="00665904" w:rsidP="00161BDF">
            <w:pPr>
              <w:rPr>
                <w:rFonts w:cs="Arial"/>
                <w:szCs w:val="24"/>
              </w:rPr>
            </w:pPr>
            <w:r>
              <w:rPr>
                <w:rFonts w:cs="Arial"/>
              </w:rPr>
              <w:t>Presupuesto de Inversiones</w:t>
            </w:r>
          </w:p>
        </w:tc>
        <w:tc>
          <w:tcPr>
            <w:tcW w:w="26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65904" w:rsidRPr="00D56808" w:rsidRDefault="00665904" w:rsidP="00D56808">
            <w:pPr>
              <w:jc w:val="right"/>
              <w:rPr>
                <w:rFonts w:cs="Arial"/>
                <w:szCs w:val="24"/>
              </w:rPr>
            </w:pPr>
            <w:r w:rsidRPr="00D56808">
              <w:rPr>
                <w:rFonts w:cs="Arial"/>
                <w:bCs/>
                <w:szCs w:val="24"/>
                <w:lang w:val="es-UY" w:eastAsia="es-UY"/>
              </w:rPr>
              <w:t xml:space="preserve">$ </w:t>
            </w:r>
            <w:r>
              <w:rPr>
                <w:rFonts w:cs="Arial"/>
                <w:bCs/>
                <w:szCs w:val="24"/>
                <w:lang w:val="es-UY" w:eastAsia="es-UY"/>
              </w:rPr>
              <w:t>1.371</w:t>
            </w:r>
            <w:r w:rsidRPr="00D56808">
              <w:t>:</w:t>
            </w:r>
            <w:r>
              <w:t>384.069</w:t>
            </w:r>
          </w:p>
        </w:tc>
      </w:tr>
      <w:tr w:rsidR="00665904" w:rsidTr="005645A6">
        <w:trPr>
          <w:trHeight w:val="300"/>
          <w:jc w:val="center"/>
        </w:trPr>
        <w:tc>
          <w:tcPr>
            <w:tcW w:w="53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65904" w:rsidRPr="00C26C5A" w:rsidRDefault="00665904" w:rsidP="00161BDF">
            <w:pPr>
              <w:rPr>
                <w:rFonts w:cs="Arial"/>
                <w:b/>
              </w:rPr>
            </w:pPr>
            <w:r w:rsidRPr="00C26C5A">
              <w:rPr>
                <w:rFonts w:cs="Arial"/>
                <w:b/>
              </w:rPr>
              <w:t>Superávit</w:t>
            </w:r>
          </w:p>
        </w:tc>
        <w:tc>
          <w:tcPr>
            <w:tcW w:w="26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65904" w:rsidRDefault="00665904" w:rsidP="00E03E10">
            <w:pPr>
              <w:jc w:val="right"/>
              <w:rPr>
                <w:rFonts w:cs="Arial"/>
                <w:b/>
                <w:bCs/>
                <w:szCs w:val="24"/>
                <w:lang w:val="es-UY" w:eastAsia="es-UY"/>
              </w:rPr>
            </w:pPr>
            <w:r>
              <w:rPr>
                <w:rFonts w:cs="Arial"/>
                <w:b/>
                <w:bCs/>
              </w:rPr>
              <w:t>$ 5.525</w:t>
            </w:r>
            <w:r w:rsidRPr="001D404C">
              <w:rPr>
                <w:rFonts w:cs="Arial"/>
                <w:b/>
                <w:bCs/>
              </w:rPr>
              <w:t>:</w:t>
            </w:r>
            <w:r>
              <w:rPr>
                <w:rFonts w:cs="Arial"/>
                <w:b/>
                <w:bCs/>
              </w:rPr>
              <w:t>180</w:t>
            </w:r>
            <w:r w:rsidRPr="001D404C">
              <w:rPr>
                <w:rFonts w:cs="Arial"/>
                <w:b/>
                <w:bCs/>
              </w:rPr>
              <w:t>.</w:t>
            </w:r>
            <w:r>
              <w:rPr>
                <w:rFonts w:cs="Arial"/>
                <w:b/>
                <w:bCs/>
              </w:rPr>
              <w:t>359</w:t>
            </w:r>
          </w:p>
        </w:tc>
      </w:tr>
    </w:tbl>
    <w:p w:rsidR="00665904" w:rsidRDefault="00665904">
      <w:pPr>
        <w:rPr>
          <w:rFonts w:cs="Arial"/>
        </w:rPr>
      </w:pPr>
    </w:p>
    <w:p w:rsidR="00665904" w:rsidRDefault="00665904">
      <w:pPr>
        <w:rPr>
          <w:rFonts w:cs="Arial"/>
        </w:rPr>
      </w:pPr>
    </w:p>
    <w:p w:rsidR="00665904" w:rsidRDefault="00665904">
      <w:pPr>
        <w:pStyle w:val="Piedepgina"/>
        <w:tabs>
          <w:tab w:val="clear" w:pos="4252"/>
          <w:tab w:val="clear" w:pos="8504"/>
        </w:tabs>
        <w:spacing w:line="360" w:lineRule="auto"/>
        <w:jc w:val="both"/>
        <w:rPr>
          <w:rFonts w:ascii="Arial" w:hAnsi="Arial" w:cs="Arial"/>
          <w:sz w:val="24"/>
        </w:rPr>
      </w:pPr>
      <w:r>
        <w:rPr>
          <w:rFonts w:ascii="Arial" w:hAnsi="Arial" w:cs="Arial"/>
          <w:b/>
          <w:bCs/>
          <w:sz w:val="24"/>
        </w:rPr>
        <w:lastRenderedPageBreak/>
        <w:t>1.4</w:t>
      </w:r>
      <w:r>
        <w:rPr>
          <w:rFonts w:ascii="Arial" w:hAnsi="Arial" w:cs="Arial"/>
          <w:sz w:val="24"/>
        </w:rPr>
        <w:t xml:space="preserve"> Los ingresos y egresos previstos fueron calculados a nivel de precios de enero-junio-2017, a un tipo de cambio de $ 28,60 por dólar estadounidense y un índice de precios al consumo de $ 168,50 (con base diciembre 2010).</w:t>
      </w:r>
    </w:p>
    <w:p w:rsidR="00665904" w:rsidRDefault="00665904">
      <w:pPr>
        <w:pStyle w:val="Piedepgina"/>
        <w:tabs>
          <w:tab w:val="clear" w:pos="4252"/>
          <w:tab w:val="clear" w:pos="8504"/>
        </w:tabs>
        <w:spacing w:line="360" w:lineRule="auto"/>
        <w:jc w:val="both"/>
        <w:rPr>
          <w:rFonts w:ascii="Arial" w:hAnsi="Arial" w:cs="Arial"/>
          <w:color w:val="FF0000"/>
          <w:sz w:val="24"/>
        </w:rPr>
      </w:pPr>
    </w:p>
    <w:p w:rsidR="00665904" w:rsidRDefault="00665904" w:rsidP="00665904">
      <w:pPr>
        <w:numPr>
          <w:ilvl w:val="0"/>
          <w:numId w:val="2"/>
        </w:numPr>
        <w:spacing w:line="360" w:lineRule="auto"/>
        <w:ind w:left="284" w:hanging="284"/>
        <w:jc w:val="both"/>
        <w:rPr>
          <w:rFonts w:cs="Arial"/>
          <w:b/>
        </w:rPr>
      </w:pPr>
      <w:r>
        <w:rPr>
          <w:rFonts w:cs="Arial"/>
          <w:b/>
        </w:rPr>
        <w:t>CUMPLIMIENTO DE NORMAS CONSTITUCIONALES, LEGALES Y REGLAMENTARIAS</w:t>
      </w:r>
    </w:p>
    <w:p w:rsidR="00665904" w:rsidRPr="005A7D16" w:rsidRDefault="00665904" w:rsidP="00AB2FFC">
      <w:pPr>
        <w:autoSpaceDE w:val="0"/>
        <w:autoSpaceDN w:val="0"/>
        <w:adjustRightInd w:val="0"/>
        <w:spacing w:line="360" w:lineRule="auto"/>
        <w:jc w:val="both"/>
        <w:rPr>
          <w:rFonts w:cs="Arial"/>
          <w:szCs w:val="24"/>
        </w:rPr>
      </w:pPr>
      <w:r>
        <w:rPr>
          <w:rFonts w:cs="Arial"/>
          <w:b/>
          <w:bCs/>
          <w:szCs w:val="24"/>
        </w:rPr>
        <w:t>2.</w:t>
      </w:r>
      <w:r w:rsidRPr="005A7D16">
        <w:rPr>
          <w:rFonts w:cs="Arial"/>
          <w:b/>
          <w:bCs/>
          <w:szCs w:val="24"/>
        </w:rPr>
        <w:t xml:space="preserve">1) </w:t>
      </w:r>
      <w:r w:rsidRPr="005A7D16">
        <w:rPr>
          <w:rFonts w:cs="Arial"/>
          <w:szCs w:val="24"/>
        </w:rPr>
        <w:t xml:space="preserve">El </w:t>
      </w:r>
      <w:r>
        <w:rPr>
          <w:rFonts w:cs="Arial"/>
          <w:szCs w:val="24"/>
        </w:rPr>
        <w:t>p</w:t>
      </w:r>
      <w:r w:rsidRPr="005A7D16">
        <w:rPr>
          <w:rFonts w:cs="Arial"/>
          <w:szCs w:val="24"/>
        </w:rPr>
        <w:t>royecto de Presupu</w:t>
      </w:r>
      <w:r>
        <w:rPr>
          <w:rFonts w:cs="Arial"/>
          <w:szCs w:val="24"/>
        </w:rPr>
        <w:t>esto remitido fue aprobado por R</w:t>
      </w:r>
      <w:r w:rsidRPr="005A7D16">
        <w:rPr>
          <w:rFonts w:cs="Arial"/>
          <w:szCs w:val="24"/>
        </w:rPr>
        <w:t>esolución del</w:t>
      </w:r>
      <w:r>
        <w:rPr>
          <w:rFonts w:cs="Arial"/>
          <w:szCs w:val="24"/>
        </w:rPr>
        <w:t xml:space="preserve"> </w:t>
      </w:r>
      <w:r w:rsidRPr="005A7D16">
        <w:rPr>
          <w:rFonts w:cs="Arial"/>
          <w:szCs w:val="24"/>
        </w:rPr>
        <w:t>Directorio del Banco de la Rep</w:t>
      </w:r>
      <w:r>
        <w:rPr>
          <w:rFonts w:cs="Arial"/>
          <w:szCs w:val="24"/>
        </w:rPr>
        <w:t>ública Oriental del Uruguay en S</w:t>
      </w:r>
      <w:r w:rsidRPr="005A7D16">
        <w:rPr>
          <w:rFonts w:cs="Arial"/>
          <w:szCs w:val="24"/>
        </w:rPr>
        <w:t>esión de</w:t>
      </w:r>
      <w:r>
        <w:rPr>
          <w:rFonts w:cs="Arial"/>
          <w:szCs w:val="24"/>
        </w:rPr>
        <w:t xml:space="preserve"> </w:t>
      </w:r>
      <w:r w:rsidRPr="005A7D16">
        <w:rPr>
          <w:rFonts w:cs="Arial"/>
          <w:szCs w:val="24"/>
        </w:rPr>
        <w:t xml:space="preserve">fecha </w:t>
      </w:r>
      <w:r>
        <w:rPr>
          <w:rFonts w:cs="Arial"/>
          <w:szCs w:val="24"/>
        </w:rPr>
        <w:t xml:space="preserve">26/07/2017, </w:t>
      </w:r>
      <w:r w:rsidRPr="005A7D16">
        <w:rPr>
          <w:rFonts w:cs="Arial"/>
          <w:szCs w:val="24"/>
        </w:rPr>
        <w:t xml:space="preserve">e ingresó </w:t>
      </w:r>
      <w:r>
        <w:rPr>
          <w:rFonts w:cs="Arial"/>
          <w:szCs w:val="24"/>
        </w:rPr>
        <w:t xml:space="preserve">oficialmente a </w:t>
      </w:r>
      <w:r w:rsidRPr="005A7D16">
        <w:rPr>
          <w:rFonts w:cs="Arial"/>
          <w:szCs w:val="24"/>
        </w:rPr>
        <w:t xml:space="preserve">este Tribunal </w:t>
      </w:r>
      <w:r>
        <w:rPr>
          <w:rFonts w:cs="Arial"/>
          <w:szCs w:val="24"/>
        </w:rPr>
        <w:t xml:space="preserve">para </w:t>
      </w:r>
      <w:r w:rsidRPr="005A7D16">
        <w:rPr>
          <w:rFonts w:cs="Arial"/>
          <w:szCs w:val="24"/>
        </w:rPr>
        <w:t>su</w:t>
      </w:r>
      <w:r>
        <w:rPr>
          <w:rFonts w:cs="Arial"/>
          <w:szCs w:val="24"/>
        </w:rPr>
        <w:t xml:space="preserve"> </w:t>
      </w:r>
      <w:r w:rsidRPr="005A7D16">
        <w:rPr>
          <w:rFonts w:cs="Arial"/>
          <w:szCs w:val="24"/>
        </w:rPr>
        <w:t xml:space="preserve">consideración el </w:t>
      </w:r>
      <w:r w:rsidRPr="00D56808">
        <w:rPr>
          <w:rFonts w:cs="Arial"/>
          <w:szCs w:val="24"/>
        </w:rPr>
        <w:t>28/07/2017,</w:t>
      </w:r>
      <w:r w:rsidRPr="005A7D16">
        <w:rPr>
          <w:rFonts w:cs="Arial"/>
          <w:szCs w:val="24"/>
        </w:rPr>
        <w:t xml:space="preserve"> </w:t>
      </w:r>
      <w:r>
        <w:rPr>
          <w:rFonts w:cs="Arial"/>
          <w:szCs w:val="24"/>
        </w:rPr>
        <w:t xml:space="preserve">dándosele Entrada Oficial el </w:t>
      </w:r>
      <w:r w:rsidRPr="00B14A73">
        <w:rPr>
          <w:rFonts w:cs="Arial"/>
          <w:szCs w:val="24"/>
        </w:rPr>
        <w:t>02/08/2017 según</w:t>
      </w:r>
      <w:r>
        <w:rPr>
          <w:rFonts w:cs="Arial"/>
          <w:szCs w:val="24"/>
        </w:rPr>
        <w:t xml:space="preserve"> lo dispone la Ordenanza N° 51 del 22/11/1972 del Tribunal de Cuentas, por lo que se ha dado </w:t>
      </w:r>
      <w:r w:rsidRPr="005A7D16">
        <w:rPr>
          <w:rFonts w:cs="Arial"/>
          <w:szCs w:val="24"/>
        </w:rPr>
        <w:t>cumpli</w:t>
      </w:r>
      <w:r>
        <w:rPr>
          <w:rFonts w:cs="Arial"/>
          <w:szCs w:val="24"/>
        </w:rPr>
        <w:t>mi</w:t>
      </w:r>
      <w:r w:rsidRPr="005A7D16">
        <w:rPr>
          <w:rFonts w:cs="Arial"/>
          <w:szCs w:val="24"/>
        </w:rPr>
        <w:t>en</w:t>
      </w:r>
      <w:r>
        <w:rPr>
          <w:rFonts w:cs="Arial"/>
          <w:szCs w:val="24"/>
        </w:rPr>
        <w:t>t</w:t>
      </w:r>
      <w:r w:rsidRPr="005A7D16">
        <w:rPr>
          <w:rFonts w:cs="Arial"/>
          <w:szCs w:val="24"/>
        </w:rPr>
        <w:t xml:space="preserve">o </w:t>
      </w:r>
      <w:r>
        <w:rPr>
          <w:rFonts w:cs="Arial"/>
          <w:szCs w:val="24"/>
        </w:rPr>
        <w:t xml:space="preserve">a lo dispuesto por el Artículo 221 de la </w:t>
      </w:r>
      <w:r w:rsidRPr="005A7D16">
        <w:rPr>
          <w:rFonts w:cs="Arial"/>
          <w:szCs w:val="24"/>
        </w:rPr>
        <w:t>Constitución de la Republica.</w:t>
      </w:r>
    </w:p>
    <w:p w:rsidR="00665904" w:rsidRPr="005A7D16" w:rsidRDefault="00665904" w:rsidP="00AB2FFC">
      <w:pPr>
        <w:autoSpaceDE w:val="0"/>
        <w:autoSpaceDN w:val="0"/>
        <w:adjustRightInd w:val="0"/>
        <w:spacing w:line="360" w:lineRule="auto"/>
        <w:jc w:val="both"/>
        <w:rPr>
          <w:rFonts w:cs="Arial"/>
          <w:szCs w:val="24"/>
        </w:rPr>
      </w:pPr>
      <w:r>
        <w:rPr>
          <w:rFonts w:cs="Arial"/>
          <w:b/>
          <w:bCs/>
          <w:szCs w:val="24"/>
        </w:rPr>
        <w:t>2.</w:t>
      </w:r>
      <w:r w:rsidRPr="005A7D16">
        <w:rPr>
          <w:rFonts w:cs="Arial"/>
          <w:b/>
          <w:bCs/>
          <w:szCs w:val="24"/>
        </w:rPr>
        <w:t xml:space="preserve">2) </w:t>
      </w:r>
      <w:r w:rsidRPr="005A7D16">
        <w:rPr>
          <w:rFonts w:cs="Arial"/>
          <w:szCs w:val="24"/>
        </w:rPr>
        <w:t>Se presenta en forma comparativa con el presupuesto vigente</w:t>
      </w:r>
      <w:r>
        <w:rPr>
          <w:rFonts w:cs="Arial"/>
          <w:szCs w:val="24"/>
        </w:rPr>
        <w:t xml:space="preserve"> </w:t>
      </w:r>
      <w:r w:rsidRPr="005A7D16">
        <w:rPr>
          <w:rFonts w:cs="Arial"/>
          <w:szCs w:val="24"/>
        </w:rPr>
        <w:t>correspondiente al Ejercicio 201</w:t>
      </w:r>
      <w:r>
        <w:rPr>
          <w:rFonts w:cs="Arial"/>
          <w:szCs w:val="24"/>
        </w:rPr>
        <w:t>7</w:t>
      </w:r>
      <w:r w:rsidRPr="005A7D16">
        <w:rPr>
          <w:rFonts w:cs="Arial"/>
          <w:szCs w:val="24"/>
        </w:rPr>
        <w:t>, de</w:t>
      </w:r>
      <w:r>
        <w:rPr>
          <w:rFonts w:cs="Arial"/>
          <w:szCs w:val="24"/>
        </w:rPr>
        <w:t xml:space="preserve"> acuerdo con lo dispuesto por el I</w:t>
      </w:r>
      <w:r w:rsidRPr="005A7D16">
        <w:rPr>
          <w:rFonts w:cs="Arial"/>
          <w:szCs w:val="24"/>
        </w:rPr>
        <w:t>nciso</w:t>
      </w:r>
      <w:r>
        <w:rPr>
          <w:rFonts w:cs="Arial"/>
          <w:szCs w:val="24"/>
        </w:rPr>
        <w:t xml:space="preserve"> tercero del A</w:t>
      </w:r>
      <w:r w:rsidRPr="005A7D16">
        <w:rPr>
          <w:rFonts w:cs="Arial"/>
          <w:szCs w:val="24"/>
        </w:rPr>
        <w:t>rtículo 216 de la Constitución de la República.</w:t>
      </w:r>
    </w:p>
    <w:p w:rsidR="00665904" w:rsidRPr="00886C3F" w:rsidRDefault="00665904" w:rsidP="0000490F">
      <w:pPr>
        <w:autoSpaceDE w:val="0"/>
        <w:autoSpaceDN w:val="0"/>
        <w:adjustRightInd w:val="0"/>
        <w:spacing w:line="360" w:lineRule="auto"/>
        <w:jc w:val="both"/>
        <w:rPr>
          <w:rFonts w:cs="Arial"/>
          <w:b/>
          <w:szCs w:val="24"/>
          <w:lang w:val="es-UY"/>
        </w:rPr>
      </w:pPr>
      <w:r w:rsidRPr="00EC45F8">
        <w:rPr>
          <w:rFonts w:ascii="LiberationSans-Regular" w:hAnsi="LiberationSans-Regular" w:cs="LiberationSans-Regular"/>
          <w:b/>
          <w:szCs w:val="24"/>
          <w:lang w:val="es-UY" w:eastAsia="es-UY"/>
        </w:rPr>
        <w:t>2.3)</w:t>
      </w:r>
      <w:r w:rsidRPr="00EC45F8">
        <w:rPr>
          <w:rFonts w:ascii="LiberationSans-Regular" w:hAnsi="LiberationSans-Regular" w:cs="LiberationSans-Regular"/>
          <w:szCs w:val="24"/>
          <w:lang w:val="es-UY" w:eastAsia="es-UY"/>
        </w:rPr>
        <w:t xml:space="preserve"> </w:t>
      </w:r>
      <w:r>
        <w:rPr>
          <w:rFonts w:ascii="LiberationSans-Regular" w:hAnsi="LiberationSans-Regular" w:cs="LiberationSans-Regular"/>
          <w:szCs w:val="24"/>
          <w:lang w:val="es-UY" w:eastAsia="es-UY"/>
        </w:rPr>
        <w:t xml:space="preserve">La aplicación del régimen de horas extras reglamentado en el Artículo 10, deberá ajustarse a las previsiones del Artículo 588 de la Ley Nº 14.189 en la redacción dada por el Artículo 765 de la Ley Nº 19.355 y respetar los topes máximos de ejecución de horas extras diarias, semanales y mensuales, </w:t>
      </w:r>
      <w:r w:rsidRPr="00886C3F">
        <w:rPr>
          <w:rFonts w:ascii="LiberationSans-Regular" w:hAnsi="LiberationSans-Regular" w:cs="LiberationSans-Regular"/>
          <w:szCs w:val="24"/>
          <w:lang w:val="es-UY" w:eastAsia="es-UY"/>
        </w:rPr>
        <w:t>establecidos en las normas legales y en los Convenios Internacionales del Trabajo</w:t>
      </w:r>
      <w:r w:rsidRPr="00886C3F">
        <w:rPr>
          <w:rFonts w:cs="Arial"/>
          <w:szCs w:val="24"/>
          <w:lang w:val="es-UY"/>
        </w:rPr>
        <w:t>.</w:t>
      </w:r>
    </w:p>
    <w:p w:rsidR="00665904" w:rsidRPr="00886C3F" w:rsidRDefault="00665904" w:rsidP="0000490F">
      <w:pPr>
        <w:autoSpaceDE w:val="0"/>
        <w:autoSpaceDN w:val="0"/>
        <w:adjustRightInd w:val="0"/>
        <w:spacing w:line="360" w:lineRule="auto"/>
        <w:jc w:val="both"/>
        <w:rPr>
          <w:rFonts w:cs="Arial"/>
          <w:szCs w:val="24"/>
        </w:rPr>
      </w:pPr>
      <w:r w:rsidRPr="00886C3F">
        <w:rPr>
          <w:rFonts w:cs="Arial"/>
          <w:b/>
          <w:bCs/>
          <w:szCs w:val="24"/>
        </w:rPr>
        <w:t xml:space="preserve">2.4) </w:t>
      </w:r>
      <w:r w:rsidRPr="00886C3F">
        <w:rPr>
          <w:rFonts w:ascii="LiberationSans-Regular" w:hAnsi="LiberationSans-Regular" w:cs="LiberationSans-Regular"/>
          <w:szCs w:val="24"/>
          <w:lang w:val="es-UY" w:eastAsia="es-UY"/>
        </w:rPr>
        <w:t>La Asignación Extra</w:t>
      </w:r>
      <w:r>
        <w:rPr>
          <w:rFonts w:ascii="LiberationSans-Regular" w:hAnsi="LiberationSans-Regular" w:cs="LiberationSans-Regular"/>
          <w:szCs w:val="24"/>
          <w:lang w:val="es-UY" w:eastAsia="es-UY"/>
        </w:rPr>
        <w:t>ordinaria Anual prevista en el A</w:t>
      </w:r>
      <w:r w:rsidRPr="00886C3F">
        <w:rPr>
          <w:rFonts w:ascii="LiberationSans-Regular" w:hAnsi="LiberationSans-Regular" w:cs="LiberationSans-Regular"/>
          <w:szCs w:val="24"/>
          <w:lang w:val="es-UY" w:eastAsia="es-UY"/>
        </w:rPr>
        <w:t>rtículo 12 y es</w:t>
      </w:r>
      <w:r>
        <w:rPr>
          <w:rFonts w:ascii="LiberationSans-Regular" w:hAnsi="LiberationSans-Regular" w:cs="LiberationSans-Regular"/>
          <w:szCs w:val="24"/>
          <w:lang w:val="es-UY" w:eastAsia="es-UY"/>
        </w:rPr>
        <w:t>tablecida como beneficio en el A</w:t>
      </w:r>
      <w:r w:rsidRPr="00886C3F">
        <w:rPr>
          <w:rFonts w:ascii="LiberationSans-Regular" w:hAnsi="LiberationSans-Regular" w:cs="LiberationSans-Regular"/>
          <w:szCs w:val="24"/>
          <w:lang w:val="es-UY" w:eastAsia="es-UY"/>
        </w:rPr>
        <w:t>rtículo 30 del Estatuto del Funcionario, sigue sin estar debidamente precisada en la norma presupuestal, según se expresara en el punto 2.3 del Dictamen de este Tribunal aprobado por Resolución 2996/16 de fecha 31/08/2016.</w:t>
      </w:r>
    </w:p>
    <w:p w:rsidR="00665904" w:rsidRPr="00886C3F" w:rsidRDefault="00665904" w:rsidP="0000490F">
      <w:pPr>
        <w:autoSpaceDE w:val="0"/>
        <w:autoSpaceDN w:val="0"/>
        <w:adjustRightInd w:val="0"/>
        <w:spacing w:line="360" w:lineRule="auto"/>
        <w:jc w:val="both"/>
        <w:rPr>
          <w:rFonts w:ascii="LiberationSans-Regular" w:hAnsi="LiberationSans-Regular" w:cs="LiberationSans-Regular"/>
          <w:szCs w:val="24"/>
          <w:lang w:val="es-UY" w:eastAsia="es-UY"/>
        </w:rPr>
      </w:pPr>
      <w:r w:rsidRPr="00886C3F">
        <w:rPr>
          <w:rFonts w:cs="Arial"/>
          <w:b/>
          <w:bCs/>
          <w:szCs w:val="24"/>
        </w:rPr>
        <w:lastRenderedPageBreak/>
        <w:t xml:space="preserve">2.5) </w:t>
      </w:r>
      <w:r>
        <w:rPr>
          <w:rFonts w:ascii="LiberationSans-Regular" w:hAnsi="LiberationSans-Regular" w:cs="LiberationSans-Regular"/>
          <w:szCs w:val="24"/>
          <w:lang w:val="es-UY" w:eastAsia="es-UY"/>
        </w:rPr>
        <w:t>El A</w:t>
      </w:r>
      <w:r w:rsidRPr="00886C3F">
        <w:rPr>
          <w:rFonts w:ascii="LiberationSans-Regular" w:hAnsi="LiberationSans-Regular" w:cs="LiberationSans-Regular"/>
          <w:szCs w:val="24"/>
          <w:lang w:val="es-UY" w:eastAsia="es-UY"/>
        </w:rPr>
        <w:t xml:space="preserve">rtículo 19 que prevé la facultad de ampliar los proyectos de inversión y modificar las fuentes de financiamiento, no merece en principio observación, en tanto no suponga la realización de modificaciones presupuestales fuera de la instancia anual establecida en el </w:t>
      </w:r>
      <w:r>
        <w:rPr>
          <w:rFonts w:ascii="LiberationSans-Regular" w:hAnsi="LiberationSans-Regular" w:cs="LiberationSans-Regular"/>
          <w:szCs w:val="24"/>
          <w:lang w:val="es-UY" w:eastAsia="es-UY"/>
        </w:rPr>
        <w:t>A</w:t>
      </w:r>
      <w:r w:rsidRPr="00886C3F">
        <w:rPr>
          <w:rFonts w:ascii="LiberationSans-Regular" w:hAnsi="LiberationSans-Regular" w:cs="LiberationSans-Regular"/>
          <w:szCs w:val="24"/>
          <w:lang w:val="es-UY" w:eastAsia="es-UY"/>
        </w:rPr>
        <w:t>rtículo 221 de la Constitución</w:t>
      </w:r>
      <w:r>
        <w:rPr>
          <w:rFonts w:ascii="LiberationSans-Regular" w:hAnsi="LiberationSans-Regular" w:cs="LiberationSans-Regular"/>
          <w:szCs w:val="24"/>
          <w:lang w:val="es-UY" w:eastAsia="es-UY"/>
        </w:rPr>
        <w:t xml:space="preserve"> de la República</w:t>
      </w:r>
      <w:r w:rsidRPr="00886C3F">
        <w:rPr>
          <w:rFonts w:ascii="LiberationSans-Regular" w:hAnsi="LiberationSans-Regular" w:cs="LiberationSans-Regular"/>
          <w:szCs w:val="24"/>
          <w:lang w:val="es-UY" w:eastAsia="es-UY"/>
        </w:rPr>
        <w:t xml:space="preserve">. Asimismo, deberá aplicarse en lo pertinente </w:t>
      </w:r>
      <w:r>
        <w:rPr>
          <w:rFonts w:ascii="LiberationSans-Regular" w:hAnsi="LiberationSans-Regular" w:cs="LiberationSans-Regular"/>
          <w:szCs w:val="24"/>
          <w:lang w:val="es-UY" w:eastAsia="es-UY"/>
        </w:rPr>
        <w:t>lo dispuesto por el A</w:t>
      </w:r>
      <w:r w:rsidRPr="00886C3F">
        <w:rPr>
          <w:rFonts w:ascii="LiberationSans-Regular" w:hAnsi="LiberationSans-Regular" w:cs="LiberationSans-Regular"/>
          <w:szCs w:val="24"/>
          <w:lang w:val="es-UY" w:eastAsia="es-UY"/>
        </w:rPr>
        <w:t>rtículo 24 de la Ley Nº 18.996.</w:t>
      </w:r>
    </w:p>
    <w:p w:rsidR="00665904" w:rsidRPr="00886C3F" w:rsidRDefault="00665904" w:rsidP="0000490F">
      <w:pPr>
        <w:autoSpaceDE w:val="0"/>
        <w:autoSpaceDN w:val="0"/>
        <w:adjustRightInd w:val="0"/>
        <w:spacing w:line="360" w:lineRule="auto"/>
        <w:jc w:val="both"/>
        <w:rPr>
          <w:rFonts w:cs="Arial"/>
          <w:szCs w:val="24"/>
        </w:rPr>
      </w:pPr>
      <w:r w:rsidRPr="00886C3F">
        <w:rPr>
          <w:rFonts w:cs="Arial"/>
          <w:b/>
          <w:bCs/>
          <w:szCs w:val="24"/>
        </w:rPr>
        <w:t xml:space="preserve">2.6) </w:t>
      </w:r>
      <w:r w:rsidRPr="00886C3F">
        <w:rPr>
          <w:rFonts w:ascii="LiberationSans-Regular" w:hAnsi="LiberationSans-Regular" w:cs="LiberationSans-Regular"/>
          <w:szCs w:val="24"/>
          <w:lang w:val="es-UY" w:eastAsia="es-UY"/>
        </w:rPr>
        <w:t xml:space="preserve">En el </w:t>
      </w:r>
      <w:r>
        <w:rPr>
          <w:rFonts w:ascii="LiberationSans-Regular" w:hAnsi="LiberationSans-Regular" w:cs="LiberationSans-Regular"/>
          <w:szCs w:val="24"/>
          <w:lang w:val="es-UY" w:eastAsia="es-UY"/>
        </w:rPr>
        <w:t>A</w:t>
      </w:r>
      <w:r w:rsidRPr="00886C3F">
        <w:rPr>
          <w:rFonts w:ascii="LiberationSans-Regular" w:hAnsi="LiberationSans-Regular" w:cs="LiberationSans-Regular"/>
          <w:szCs w:val="24"/>
          <w:lang w:val="es-UY" w:eastAsia="es-UY"/>
        </w:rPr>
        <w:t>rtículo 22 que autoriza la contratación de trabajos externos, no se expresa ni el tipo de trabajos que pueden ser contratados</w:t>
      </w:r>
      <w:r>
        <w:rPr>
          <w:rFonts w:ascii="LiberationSans-Regular" w:hAnsi="LiberationSans-Regular" w:cs="LiberationSans-Regular"/>
          <w:szCs w:val="24"/>
          <w:lang w:val="es-UY" w:eastAsia="es-UY"/>
        </w:rPr>
        <w:t>,</w:t>
      </w:r>
      <w:r w:rsidRPr="00886C3F">
        <w:rPr>
          <w:rFonts w:ascii="LiberationSans-Regular" w:hAnsi="LiberationSans-Regular" w:cs="LiberationSans-Regular"/>
          <w:szCs w:val="24"/>
          <w:lang w:val="es-UY" w:eastAsia="es-UY"/>
        </w:rPr>
        <w:t xml:space="preserve"> ni la normativa al amparo de la cual se realizarán las referidas contrataciones, por lo que no se ha tenido en cuenta lo consignado por este Tribunal en el punto 2.5 de su Dictamen aprobado por Resolución 2996/16 de fecha 31/08/2016</w:t>
      </w:r>
      <w:r w:rsidRPr="00886C3F">
        <w:rPr>
          <w:rFonts w:cs="Arial"/>
          <w:szCs w:val="24"/>
        </w:rPr>
        <w:t>.</w:t>
      </w:r>
    </w:p>
    <w:p w:rsidR="00665904" w:rsidRPr="00886C3F" w:rsidRDefault="00665904" w:rsidP="0000490F">
      <w:pPr>
        <w:autoSpaceDE w:val="0"/>
        <w:autoSpaceDN w:val="0"/>
        <w:adjustRightInd w:val="0"/>
        <w:spacing w:line="360" w:lineRule="auto"/>
        <w:jc w:val="both"/>
        <w:rPr>
          <w:rFonts w:cs="Arial"/>
          <w:szCs w:val="24"/>
        </w:rPr>
      </w:pPr>
      <w:r w:rsidRPr="00886C3F">
        <w:rPr>
          <w:rFonts w:cs="Arial"/>
          <w:b/>
          <w:bCs/>
          <w:szCs w:val="24"/>
        </w:rPr>
        <w:t xml:space="preserve">2.7) </w:t>
      </w:r>
      <w:r w:rsidRPr="00886C3F">
        <w:rPr>
          <w:rFonts w:ascii="LiberationSans-Regular" w:hAnsi="LiberationSans-Regular" w:cs="LiberationSans-Regular"/>
          <w:szCs w:val="24"/>
          <w:lang w:val="es-UY" w:eastAsia="es-UY"/>
        </w:rPr>
        <w:t xml:space="preserve">Cuando se dispongan las incorporaciones previstas en el </w:t>
      </w:r>
      <w:r>
        <w:rPr>
          <w:rFonts w:ascii="LiberationSans-Regular" w:hAnsi="LiberationSans-Regular" w:cs="LiberationSans-Regular"/>
          <w:szCs w:val="24"/>
          <w:lang w:val="es-UY" w:eastAsia="es-UY"/>
        </w:rPr>
        <w:t>A</w:t>
      </w:r>
      <w:r w:rsidRPr="00886C3F">
        <w:rPr>
          <w:rFonts w:ascii="LiberationSans-Regular" w:hAnsi="LiberationSans-Regular" w:cs="LiberationSans-Regular"/>
          <w:szCs w:val="24"/>
          <w:lang w:val="es-UY" w:eastAsia="es-UY"/>
        </w:rPr>
        <w:t xml:space="preserve">rtículo 28, la aplicación de las disposiciones de las Leyes Nº 18.651 y Nº 19.122 no </w:t>
      </w:r>
      <w:r>
        <w:rPr>
          <w:rFonts w:ascii="LiberationSans-Regular" w:hAnsi="LiberationSans-Regular" w:cs="LiberationSans-Regular"/>
          <w:szCs w:val="24"/>
          <w:lang w:val="es-UY" w:eastAsia="es-UY"/>
        </w:rPr>
        <w:t>son</w:t>
      </w:r>
      <w:r w:rsidRPr="00886C3F">
        <w:rPr>
          <w:rFonts w:ascii="LiberationSans-Regular" w:hAnsi="LiberationSans-Regular" w:cs="LiberationSans-Regular"/>
          <w:szCs w:val="24"/>
          <w:lang w:val="es-UY" w:eastAsia="es-UY"/>
        </w:rPr>
        <w:t xml:space="preserve"> facultativa</w:t>
      </w:r>
      <w:r>
        <w:rPr>
          <w:rFonts w:ascii="LiberationSans-Regular" w:hAnsi="LiberationSans-Regular" w:cs="LiberationSans-Regular"/>
          <w:szCs w:val="24"/>
          <w:lang w:val="es-UY" w:eastAsia="es-UY"/>
        </w:rPr>
        <w:t>s</w:t>
      </w:r>
      <w:r w:rsidRPr="00886C3F">
        <w:rPr>
          <w:rFonts w:ascii="LiberationSans-Regular" w:hAnsi="LiberationSans-Regular" w:cs="LiberationSans-Regular"/>
          <w:szCs w:val="24"/>
          <w:lang w:val="es-UY" w:eastAsia="es-UY"/>
        </w:rPr>
        <w:t xml:space="preserve"> para el Banco, sino obligatoria</w:t>
      </w:r>
      <w:r>
        <w:rPr>
          <w:rFonts w:ascii="LiberationSans-Regular" w:hAnsi="LiberationSans-Regular" w:cs="LiberationSans-Regular"/>
          <w:szCs w:val="24"/>
          <w:lang w:val="es-UY" w:eastAsia="es-UY"/>
        </w:rPr>
        <w:t>s</w:t>
      </w:r>
      <w:r w:rsidRPr="00886C3F">
        <w:rPr>
          <w:rFonts w:cs="Arial"/>
          <w:szCs w:val="24"/>
        </w:rPr>
        <w:t>.</w:t>
      </w:r>
    </w:p>
    <w:p w:rsidR="00665904" w:rsidRPr="00886C3F" w:rsidRDefault="00665904" w:rsidP="0000490F">
      <w:pPr>
        <w:autoSpaceDE w:val="0"/>
        <w:autoSpaceDN w:val="0"/>
        <w:adjustRightInd w:val="0"/>
        <w:spacing w:line="360" w:lineRule="auto"/>
        <w:jc w:val="both"/>
        <w:rPr>
          <w:rFonts w:ascii="LiberationSans-Regular" w:hAnsi="LiberationSans-Regular" w:cs="LiberationSans-Regular"/>
          <w:szCs w:val="24"/>
          <w:lang w:val="es-UY" w:eastAsia="es-UY"/>
        </w:rPr>
      </w:pPr>
      <w:r w:rsidRPr="00886C3F">
        <w:rPr>
          <w:rFonts w:ascii="LiberationSans-Regular" w:hAnsi="LiberationSans-Regular" w:cs="LiberationSans-Regular"/>
          <w:b/>
          <w:szCs w:val="24"/>
          <w:lang w:val="es-UY" w:eastAsia="es-UY"/>
        </w:rPr>
        <w:t xml:space="preserve">2.8) </w:t>
      </w:r>
      <w:r>
        <w:rPr>
          <w:rFonts w:ascii="LiberationSans-Regular" w:hAnsi="LiberationSans-Regular" w:cs="LiberationSans-Regular"/>
          <w:szCs w:val="24"/>
          <w:lang w:val="es-UY" w:eastAsia="es-UY"/>
        </w:rPr>
        <w:t>El A</w:t>
      </w:r>
      <w:r w:rsidRPr="00886C3F">
        <w:rPr>
          <w:rFonts w:ascii="LiberationSans-Regular" w:hAnsi="LiberationSans-Regular" w:cs="LiberationSans-Regular"/>
          <w:szCs w:val="24"/>
          <w:lang w:val="es-UY" w:eastAsia="es-UY"/>
        </w:rPr>
        <w:t>rtículo 30 refiere a las partidas a transferir a la Fundación Banco Repúbl</w:t>
      </w:r>
      <w:r>
        <w:rPr>
          <w:rFonts w:ascii="LiberationSans-Regular" w:hAnsi="LiberationSans-Regular" w:cs="LiberationSans-Regular"/>
          <w:szCs w:val="24"/>
          <w:lang w:val="es-UY" w:eastAsia="es-UY"/>
        </w:rPr>
        <w:t>ica, sin determinarlas para el E</w:t>
      </w:r>
      <w:r w:rsidRPr="00886C3F">
        <w:rPr>
          <w:rFonts w:ascii="LiberationSans-Regular" w:hAnsi="LiberationSans-Regular" w:cs="LiberationSans-Regular"/>
          <w:szCs w:val="24"/>
          <w:lang w:val="es-UY" w:eastAsia="es-UY"/>
        </w:rPr>
        <w:t>jercicio, por lo que no se ha tenido en cuenta lo expresado en el punto 2.6 del Dictamen de este Tribunal aprobado por Resolución 2996/16 de fecha 31/08/2016.</w:t>
      </w:r>
    </w:p>
    <w:p w:rsidR="00665904" w:rsidRPr="00886C3F" w:rsidRDefault="00665904" w:rsidP="0000490F">
      <w:pPr>
        <w:autoSpaceDE w:val="0"/>
        <w:autoSpaceDN w:val="0"/>
        <w:adjustRightInd w:val="0"/>
        <w:spacing w:line="360" w:lineRule="auto"/>
        <w:jc w:val="both"/>
        <w:rPr>
          <w:rFonts w:ascii="LiberationSans-Regular" w:hAnsi="LiberationSans-Regular" w:cs="LiberationSans-Regular"/>
          <w:szCs w:val="24"/>
          <w:lang w:val="es-UY" w:eastAsia="es-UY"/>
        </w:rPr>
      </w:pPr>
      <w:r w:rsidRPr="00886C3F">
        <w:rPr>
          <w:rFonts w:ascii="LiberationSans-Regular" w:hAnsi="LiberationSans-Regular" w:cs="LiberationSans-Regular"/>
          <w:b/>
          <w:szCs w:val="24"/>
          <w:lang w:val="es-UY" w:eastAsia="es-UY"/>
        </w:rPr>
        <w:t xml:space="preserve">2.9) </w:t>
      </w:r>
      <w:r w:rsidRPr="00886C3F">
        <w:rPr>
          <w:rFonts w:ascii="LiberationSans-Regular" w:hAnsi="LiberationSans-Regular" w:cs="LiberationSans-Regular"/>
          <w:szCs w:val="24"/>
          <w:lang w:val="es-UY" w:eastAsia="es-UY"/>
        </w:rPr>
        <w:t>La base de cálculo de la Partida Co</w:t>
      </w:r>
      <w:r>
        <w:rPr>
          <w:rFonts w:ascii="LiberationSans-Regular" w:hAnsi="LiberationSans-Regular" w:cs="LiberationSans-Regular"/>
          <w:szCs w:val="24"/>
          <w:lang w:val="es-UY" w:eastAsia="es-UY"/>
        </w:rPr>
        <w:t>mplementaria establecida en el A</w:t>
      </w:r>
      <w:r w:rsidRPr="00886C3F">
        <w:rPr>
          <w:rFonts w:ascii="LiberationSans-Regular" w:hAnsi="LiberationSans-Regular" w:cs="LiberationSans-Regular"/>
          <w:szCs w:val="24"/>
          <w:lang w:val="es-UY" w:eastAsia="es-UY"/>
        </w:rPr>
        <w:t>rtículo 60 no está determinada en la norma presupuestal y se deja librada a la reglamentación que se dicte.</w:t>
      </w:r>
    </w:p>
    <w:p w:rsidR="00665904" w:rsidRDefault="00665904" w:rsidP="0000490F">
      <w:pPr>
        <w:autoSpaceDE w:val="0"/>
        <w:autoSpaceDN w:val="0"/>
        <w:adjustRightInd w:val="0"/>
        <w:spacing w:line="360" w:lineRule="auto"/>
        <w:jc w:val="both"/>
        <w:rPr>
          <w:rFonts w:ascii="LiberationSans-Regular" w:hAnsi="LiberationSans-Regular" w:cs="LiberationSans-Regular"/>
          <w:szCs w:val="24"/>
          <w:lang w:val="es-UY" w:eastAsia="es-UY"/>
        </w:rPr>
      </w:pPr>
      <w:r w:rsidRPr="00886C3F">
        <w:rPr>
          <w:rFonts w:cs="Arial"/>
          <w:b/>
          <w:bCs/>
          <w:szCs w:val="24"/>
        </w:rPr>
        <w:t xml:space="preserve">2.10) </w:t>
      </w:r>
      <w:r w:rsidRPr="00886C3F">
        <w:rPr>
          <w:rFonts w:ascii="LiberationSans-Regular" w:hAnsi="LiberationSans-Regular" w:cs="LiberationSans-Regular"/>
          <w:szCs w:val="24"/>
          <w:lang w:val="es-UY" w:eastAsia="es-UY"/>
        </w:rPr>
        <w:t>La aplicación de las partidas previstas para “Transferencias corrientes a instituciones sin fines de lucro” (</w:t>
      </w:r>
      <w:r>
        <w:rPr>
          <w:rFonts w:ascii="LiberationSans-Regular" w:hAnsi="LiberationSans-Regular" w:cs="LiberationSans-Regular"/>
          <w:szCs w:val="24"/>
          <w:lang w:val="es-UY" w:eastAsia="es-UY"/>
        </w:rPr>
        <w:t>O</w:t>
      </w:r>
      <w:r w:rsidRPr="00886C3F">
        <w:rPr>
          <w:rFonts w:ascii="LiberationSans-Regular" w:hAnsi="LiberationSans-Regular" w:cs="LiberationSans-Regular"/>
          <w:szCs w:val="24"/>
          <w:lang w:val="es-UY" w:eastAsia="es-UY"/>
        </w:rPr>
        <w:t xml:space="preserve">bjeto del </w:t>
      </w:r>
      <w:r>
        <w:rPr>
          <w:rFonts w:ascii="LiberationSans-Regular" w:hAnsi="LiberationSans-Regular" w:cs="LiberationSans-Regular"/>
          <w:szCs w:val="24"/>
          <w:lang w:val="es-UY" w:eastAsia="es-UY"/>
        </w:rPr>
        <w:t>G</w:t>
      </w:r>
      <w:r w:rsidRPr="00886C3F">
        <w:rPr>
          <w:rFonts w:ascii="LiberationSans-Regular" w:hAnsi="LiberationSans-Regular" w:cs="LiberationSans-Regular"/>
          <w:szCs w:val="24"/>
          <w:lang w:val="es-UY" w:eastAsia="es-UY"/>
        </w:rPr>
        <w:t>asto 559.000), que incluye “Donaciones”, “Estímulos</w:t>
      </w:r>
      <w:r>
        <w:rPr>
          <w:rFonts w:ascii="LiberationSans-Regular" w:hAnsi="LiberationSans-Regular" w:cs="LiberationSans-Regular"/>
          <w:szCs w:val="24"/>
          <w:lang w:val="es-UY" w:eastAsia="es-UY"/>
        </w:rPr>
        <w:t>”, “Subvenciones”, “Atenciones y Obsequios”, y “Fundación Banco República”, que suponen una liberalidad, deberá ajustarse a lo dispuesto por la Ley Nº 17.071 de 28/12/1998, y en particular, no pueden superar el tope establecido por dicha norma.</w:t>
      </w:r>
    </w:p>
    <w:p w:rsidR="00665904" w:rsidRPr="002C6C14" w:rsidRDefault="00665904" w:rsidP="00482524">
      <w:pPr>
        <w:autoSpaceDE w:val="0"/>
        <w:autoSpaceDN w:val="0"/>
        <w:adjustRightInd w:val="0"/>
        <w:spacing w:line="360" w:lineRule="auto"/>
        <w:jc w:val="both"/>
        <w:rPr>
          <w:rFonts w:ascii="LiberationSans-Regular" w:hAnsi="LiberationSans-Regular" w:cs="LiberationSans-Regular"/>
          <w:szCs w:val="24"/>
          <w:lang w:val="es-UY" w:eastAsia="es-UY"/>
        </w:rPr>
      </w:pPr>
      <w:r w:rsidRPr="00482524">
        <w:rPr>
          <w:rFonts w:ascii="LiberationSans-Regular" w:hAnsi="LiberationSans-Regular" w:cs="LiberationSans-Regular"/>
          <w:b/>
          <w:szCs w:val="24"/>
          <w:lang w:val="es-UY" w:eastAsia="es-UY"/>
        </w:rPr>
        <w:lastRenderedPageBreak/>
        <w:t>2.11)</w:t>
      </w:r>
      <w:r>
        <w:rPr>
          <w:rFonts w:ascii="LiberationSans-Regular" w:hAnsi="LiberationSans-Regular" w:cs="LiberationSans-Regular"/>
          <w:szCs w:val="24"/>
          <w:lang w:val="es-UY" w:eastAsia="es-UY"/>
        </w:rPr>
        <w:t xml:space="preserve"> Los Artículos 5, 7 Literal B), 61, 65, 68 y 93, si bien regulan el otorgamiento de partidas, compensaciones o beneficios de diferente naturaleza, supeditan su aplicación a la reglamentación que se dicte, por lo que debe consignarse que los criterios establecidos en dichos Artículos no podrán modificarse con posterioridad a </w:t>
      </w:r>
      <w:r w:rsidRPr="002C6C14">
        <w:rPr>
          <w:rFonts w:ascii="LiberationSans-Regular" w:hAnsi="LiberationSans-Regular" w:cs="LiberationSans-Regular"/>
          <w:szCs w:val="24"/>
          <w:lang w:val="es-UY" w:eastAsia="es-UY"/>
        </w:rPr>
        <w:t xml:space="preserve">la aprobación del </w:t>
      </w:r>
      <w:r>
        <w:rPr>
          <w:rFonts w:ascii="LiberationSans-Regular" w:hAnsi="LiberationSans-Regular" w:cs="LiberationSans-Regular"/>
          <w:szCs w:val="24"/>
          <w:lang w:val="es-UY" w:eastAsia="es-UY"/>
        </w:rPr>
        <w:t>P</w:t>
      </w:r>
      <w:r w:rsidRPr="002C6C14">
        <w:rPr>
          <w:rFonts w:ascii="LiberationSans-Regular" w:hAnsi="LiberationSans-Regular" w:cs="LiberationSans-Regular"/>
          <w:szCs w:val="24"/>
          <w:lang w:val="es-UY" w:eastAsia="es-UY"/>
        </w:rPr>
        <w:t>resupuesto.</w:t>
      </w:r>
    </w:p>
    <w:p w:rsidR="00665904" w:rsidRPr="0065021B" w:rsidRDefault="00665904" w:rsidP="0000490F">
      <w:pPr>
        <w:pStyle w:val="Textoindependiente"/>
        <w:tabs>
          <w:tab w:val="left" w:pos="851"/>
        </w:tabs>
        <w:spacing w:line="360" w:lineRule="auto"/>
        <w:rPr>
          <w:rFonts w:ascii="Arial" w:hAnsi="Arial" w:cs="Arial"/>
          <w:szCs w:val="24"/>
        </w:rPr>
      </w:pPr>
      <w:r w:rsidRPr="002C6C14">
        <w:rPr>
          <w:rFonts w:ascii="Arial" w:hAnsi="Arial" w:cs="Arial"/>
          <w:b/>
          <w:bCs/>
          <w:szCs w:val="24"/>
        </w:rPr>
        <w:t xml:space="preserve">2.12) </w:t>
      </w:r>
      <w:r>
        <w:rPr>
          <w:rFonts w:ascii="Arial" w:hAnsi="Arial" w:cs="Arial"/>
          <w:szCs w:val="24"/>
        </w:rPr>
        <w:t>Respecto al cumplimiento de lo</w:t>
      </w:r>
      <w:r w:rsidRPr="002C6C14">
        <w:rPr>
          <w:rFonts w:ascii="Arial" w:hAnsi="Arial" w:cs="Arial"/>
          <w:szCs w:val="24"/>
        </w:rPr>
        <w:t xml:space="preserve"> previsto en la Ordenanza N° 88 de este Tribunal, relativa a la conformidad técnica de los proyectos en la etapa de </w:t>
      </w:r>
      <w:proofErr w:type="spellStart"/>
      <w:r w:rsidRPr="002C6C14">
        <w:rPr>
          <w:rFonts w:ascii="Arial" w:hAnsi="Arial" w:cs="Arial"/>
          <w:szCs w:val="24"/>
        </w:rPr>
        <w:t>preinversión</w:t>
      </w:r>
      <w:proofErr w:type="spellEnd"/>
      <w:r w:rsidRPr="002C6C14">
        <w:rPr>
          <w:rFonts w:ascii="Arial" w:hAnsi="Arial" w:cs="Arial"/>
          <w:szCs w:val="24"/>
        </w:rPr>
        <w:t xml:space="preserve">, se verificó que de 64 proyectos en curso en </w:t>
      </w:r>
      <w:r>
        <w:rPr>
          <w:rFonts w:ascii="Arial" w:hAnsi="Arial" w:cs="Arial"/>
          <w:szCs w:val="24"/>
        </w:rPr>
        <w:t xml:space="preserve">el </w:t>
      </w:r>
      <w:r w:rsidRPr="002C6C14">
        <w:rPr>
          <w:rFonts w:ascii="Arial" w:hAnsi="Arial" w:cs="Arial"/>
          <w:szCs w:val="24"/>
        </w:rPr>
        <w:t>BROU, 60 cuentan con informe de Conformidad Técnica (CT) de la Oficina</w:t>
      </w:r>
      <w:r>
        <w:rPr>
          <w:rFonts w:ascii="Arial" w:hAnsi="Arial" w:cs="Arial"/>
          <w:szCs w:val="24"/>
        </w:rPr>
        <w:t xml:space="preserve"> de Planeamiento y Presupuesto y 4 únicamente cuentan con la solicitud de ingreso.</w:t>
      </w:r>
    </w:p>
    <w:p w:rsidR="00665904" w:rsidRDefault="00665904" w:rsidP="00482524">
      <w:pPr>
        <w:autoSpaceDE w:val="0"/>
        <w:autoSpaceDN w:val="0"/>
        <w:adjustRightInd w:val="0"/>
        <w:spacing w:line="360" w:lineRule="auto"/>
        <w:jc w:val="both"/>
        <w:rPr>
          <w:rFonts w:ascii="LiberationSans-Regular" w:hAnsi="LiberationSans-Regular" w:cs="LiberationSans-Regular"/>
          <w:szCs w:val="24"/>
          <w:lang w:val="es-UY" w:eastAsia="es-UY"/>
        </w:rPr>
      </w:pPr>
      <w:r w:rsidRPr="00482524">
        <w:rPr>
          <w:rFonts w:ascii="LiberationSans-Regular" w:hAnsi="LiberationSans-Regular" w:cs="LiberationSans-Regular"/>
          <w:b/>
          <w:szCs w:val="24"/>
          <w:lang w:val="es-UY" w:eastAsia="es-UY"/>
        </w:rPr>
        <w:t>2.13)</w:t>
      </w:r>
      <w:r>
        <w:rPr>
          <w:rFonts w:ascii="LiberationSans-Regular" w:hAnsi="LiberationSans-Regular" w:cs="LiberationSans-Regular"/>
          <w:szCs w:val="24"/>
          <w:lang w:val="es-UY" w:eastAsia="es-UY"/>
        </w:rPr>
        <w:t xml:space="preserve"> De acuerdo con la normativa constitucional vigente el Directorio del Banco, debe tener presente que luego de aprobado el Presupuesto no puede modificarlo hasta la nueva instancia presupuestal.</w:t>
      </w:r>
    </w:p>
    <w:p w:rsidR="00665904" w:rsidRDefault="00665904" w:rsidP="00482524">
      <w:pPr>
        <w:autoSpaceDE w:val="0"/>
        <w:autoSpaceDN w:val="0"/>
        <w:adjustRightInd w:val="0"/>
        <w:spacing w:line="360" w:lineRule="auto"/>
        <w:jc w:val="both"/>
        <w:rPr>
          <w:rFonts w:cs="Arial"/>
          <w:b/>
          <w:bCs/>
          <w:szCs w:val="24"/>
        </w:rPr>
      </w:pPr>
      <w:r w:rsidRPr="00482524">
        <w:rPr>
          <w:rFonts w:ascii="LiberationSans-Regular" w:hAnsi="LiberationSans-Regular" w:cs="LiberationSans-Regular"/>
          <w:b/>
          <w:szCs w:val="24"/>
          <w:lang w:val="es-UY" w:eastAsia="es-UY"/>
        </w:rPr>
        <w:t>2.14)</w:t>
      </w:r>
      <w:r>
        <w:rPr>
          <w:rFonts w:ascii="LiberationSans-Regular" w:hAnsi="LiberationSans-Regular" w:cs="LiberationSans-Regular"/>
          <w:szCs w:val="24"/>
          <w:lang w:val="es-UY" w:eastAsia="es-UY"/>
        </w:rPr>
        <w:t xml:space="preserve"> Este Tribunal emite su Dictamen sobre el proyecto de Presupuesto del Banco la República Oriental del Uruguay para el Ejercicio 2018, en el plazo constitucionalmente previsto y con las mayorías requeridas a tales efectos.</w:t>
      </w:r>
    </w:p>
    <w:p w:rsidR="00665904" w:rsidRDefault="00665904" w:rsidP="006D7469">
      <w:pPr>
        <w:autoSpaceDE w:val="0"/>
        <w:autoSpaceDN w:val="0"/>
        <w:adjustRightInd w:val="0"/>
        <w:spacing w:line="360" w:lineRule="auto"/>
        <w:jc w:val="both"/>
        <w:rPr>
          <w:rFonts w:cs="Arial"/>
          <w:b/>
          <w:bCs/>
        </w:rPr>
      </w:pPr>
      <w:r w:rsidRPr="00F86FC8">
        <w:rPr>
          <w:rFonts w:cs="Arial"/>
          <w:b/>
          <w:bCs/>
          <w:szCs w:val="24"/>
          <w:highlight w:val="yellow"/>
        </w:rPr>
        <w:t xml:space="preserve"> </w:t>
      </w:r>
    </w:p>
    <w:p w:rsidR="00665904" w:rsidRDefault="00665904">
      <w:pPr>
        <w:spacing w:line="360" w:lineRule="auto"/>
        <w:jc w:val="both"/>
        <w:rPr>
          <w:rFonts w:cs="Arial"/>
          <w:b/>
          <w:bCs/>
        </w:rPr>
      </w:pPr>
      <w:r>
        <w:rPr>
          <w:rFonts w:cs="Arial"/>
          <w:b/>
          <w:bCs/>
        </w:rPr>
        <w:t>3. OPINIÓN</w:t>
      </w:r>
    </w:p>
    <w:p w:rsidR="00665904" w:rsidRPr="00A55687" w:rsidRDefault="00665904" w:rsidP="00A55687">
      <w:pPr>
        <w:pStyle w:val="Textoindependiente"/>
        <w:spacing w:line="360" w:lineRule="auto"/>
        <w:rPr>
          <w:rFonts w:ascii="Arial" w:hAnsi="Arial" w:cs="Arial"/>
        </w:rPr>
      </w:pPr>
      <w:r>
        <w:rPr>
          <w:rFonts w:ascii="Arial" w:hAnsi="Arial" w:cs="Arial"/>
        </w:rPr>
        <w:t>En opinión del Tribunal de Cuentas, el proyecto de Presupuesto del Banco de la República Oriental del Uruguay correspondiente al Ejercicio 2018 ha sido preparado en forma razonable de acuerdo con los supuestos efectuados por el Organismo y se presenta de conformidad con las disposiciones constituciona</w:t>
      </w:r>
      <w:r>
        <w:rPr>
          <w:rFonts w:ascii="Arial" w:hAnsi="Arial" w:cs="Arial"/>
        </w:rPr>
        <w:softHyphen/>
        <w:t xml:space="preserve">les, legales y reglamentarias vigentes, excepto por lo señalado en los </w:t>
      </w:r>
      <w:r w:rsidRPr="006C4103">
        <w:rPr>
          <w:rFonts w:ascii="Arial" w:hAnsi="Arial" w:cs="Arial"/>
        </w:rPr>
        <w:t xml:space="preserve">Numerales </w:t>
      </w:r>
      <w:r>
        <w:rPr>
          <w:rFonts w:ascii="Arial" w:hAnsi="Arial" w:cs="Arial"/>
        </w:rPr>
        <w:t xml:space="preserve">2.4, </w:t>
      </w:r>
      <w:r w:rsidRPr="00A55687">
        <w:rPr>
          <w:rFonts w:ascii="Arial" w:hAnsi="Arial" w:cs="Arial"/>
        </w:rPr>
        <w:t>2.6), 2.8), 2.9) y 2.12).</w:t>
      </w:r>
    </w:p>
    <w:p w:rsidR="00665904" w:rsidRDefault="00665904" w:rsidP="006D7469">
      <w:pPr>
        <w:pStyle w:val="Textoindependiente"/>
        <w:spacing w:line="360" w:lineRule="auto"/>
        <w:jc w:val="right"/>
        <w:rPr>
          <w:rFonts w:ascii="Arial" w:hAnsi="Arial" w:cs="Arial"/>
        </w:rPr>
      </w:pPr>
      <w:r>
        <w:rPr>
          <w:rFonts w:ascii="Arial" w:hAnsi="Arial" w:cs="Arial"/>
        </w:rPr>
        <w:t xml:space="preserve">Montevideo, </w:t>
      </w:r>
      <w:r w:rsidRPr="00903E13">
        <w:rPr>
          <w:rFonts w:ascii="Arial" w:hAnsi="Arial" w:cs="Arial"/>
        </w:rPr>
        <w:t>2</w:t>
      </w:r>
      <w:r>
        <w:rPr>
          <w:rFonts w:ascii="Arial" w:hAnsi="Arial" w:cs="Arial"/>
        </w:rPr>
        <w:t>4 de agosto de 2017</w:t>
      </w:r>
    </w:p>
    <w:p w:rsidR="00665904" w:rsidRDefault="00665904" w:rsidP="006D7469">
      <w:pPr>
        <w:pStyle w:val="Textoindependiente"/>
        <w:spacing w:line="360" w:lineRule="auto"/>
        <w:jc w:val="right"/>
        <w:rPr>
          <w:rFonts w:ascii="Arial" w:hAnsi="Arial" w:cs="Arial"/>
        </w:rPr>
      </w:pPr>
    </w:p>
    <w:p w:rsidR="00665904" w:rsidRDefault="00665904" w:rsidP="006D7469">
      <w:pPr>
        <w:pStyle w:val="Textoindependiente"/>
        <w:spacing w:line="360" w:lineRule="auto"/>
        <w:jc w:val="right"/>
        <w:rPr>
          <w:rFonts w:ascii="Arial" w:hAnsi="Arial" w:cs="Arial"/>
        </w:rPr>
      </w:pPr>
    </w:p>
    <w:p w:rsidR="00665904" w:rsidRPr="00665904" w:rsidRDefault="00665904" w:rsidP="00665904">
      <w:pPr>
        <w:pStyle w:val="Textoindependiente"/>
        <w:spacing w:line="360" w:lineRule="auto"/>
        <w:ind w:hanging="567"/>
        <w:jc w:val="left"/>
        <w:rPr>
          <w:rFonts w:cs="Arial"/>
          <w:sz w:val="20"/>
        </w:rPr>
      </w:pPr>
      <w:proofErr w:type="gramStart"/>
      <w:r>
        <w:rPr>
          <w:rFonts w:ascii="Arial" w:hAnsi="Arial" w:cs="Arial"/>
        </w:rPr>
        <w:t>dc</w:t>
      </w:r>
      <w:proofErr w:type="gramEnd"/>
    </w:p>
    <w:sectPr w:rsidR="00665904" w:rsidRPr="00665904" w:rsidSect="00F464E9">
      <w:footerReference w:type="even" r:id="rId8"/>
      <w:footerReference w:type="default" r:id="rId9"/>
      <w:pgSz w:w="11906" w:h="16838" w:code="9"/>
      <w:pgMar w:top="3289" w:right="1701" w:bottom="1701" w:left="1701" w:header="851" w:footer="851"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8D" w:rsidRDefault="00665904">
      <w:r>
        <w:separator/>
      </w:r>
    </w:p>
  </w:endnote>
  <w:endnote w:type="continuationSeparator" w:id="0">
    <w:p w:rsidR="0065248D" w:rsidRDefault="006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8F" w:rsidRDefault="00F464E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A1768F" w:rsidRDefault="004C0C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8F" w:rsidRDefault="00F464E9">
    <w:pPr>
      <w:pStyle w:val="Piedepgina"/>
      <w:framePr w:wrap="around" w:vAnchor="text" w:hAnchor="margin" w:xAlign="center"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4C0C4E">
      <w:rPr>
        <w:rStyle w:val="Nmerodepgina"/>
        <w:rFonts w:ascii="Arial" w:hAnsi="Arial" w:cs="Arial"/>
        <w:noProof/>
      </w:rPr>
      <w:t>1</w:t>
    </w:r>
    <w:r>
      <w:rPr>
        <w:rStyle w:val="Nmerodepgina"/>
        <w:rFonts w:ascii="Arial" w:hAnsi="Arial" w:cs="Arial"/>
      </w:rPr>
      <w:fldChar w:fldCharType="end"/>
    </w:r>
  </w:p>
  <w:p w:rsidR="00A1768F" w:rsidRDefault="004C0C4E">
    <w:pPr>
      <w:pStyle w:val="Piedepgina"/>
    </w:pPr>
  </w:p>
  <w:p w:rsidR="00A1768F" w:rsidRDefault="004C0C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8D" w:rsidRDefault="00665904">
      <w:r>
        <w:separator/>
      </w:r>
    </w:p>
  </w:footnote>
  <w:footnote w:type="continuationSeparator" w:id="0">
    <w:p w:rsidR="0065248D" w:rsidRDefault="00665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5648"/>
    <w:multiLevelType w:val="multilevel"/>
    <w:tmpl w:val="9328F18E"/>
    <w:lvl w:ilvl="0">
      <w:start w:val="1"/>
      <w:numFmt w:val="decimal"/>
      <w:lvlText w:val="%1."/>
      <w:lvlJc w:val="left"/>
      <w:pPr>
        <w:ind w:left="927" w:hanging="360"/>
      </w:pPr>
      <w:rPr>
        <w:rFonts w:hint="default"/>
      </w:r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nsid w:val="38585787"/>
    <w:multiLevelType w:val="hybridMultilevel"/>
    <w:tmpl w:val="79E491B6"/>
    <w:lvl w:ilvl="0" w:tplc="EF86B0A6">
      <w:start w:val="1"/>
      <w:numFmt w:val="decimal"/>
      <w:lvlText w:val="%1)"/>
      <w:lvlJc w:val="left"/>
      <w:pPr>
        <w:ind w:left="780" w:hanging="42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E9"/>
    <w:rsid w:val="00330727"/>
    <w:rsid w:val="004C0C4E"/>
    <w:rsid w:val="0065248D"/>
    <w:rsid w:val="00665904"/>
    <w:rsid w:val="009D365A"/>
    <w:rsid w:val="00B02CD5"/>
    <w:rsid w:val="00F464E9"/>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E9"/>
    <w:rPr>
      <w:rFonts w:ascii="Arial" w:hAnsi="Arial"/>
      <w:sz w:val="24"/>
      <w:lang w:val="es-ES" w:eastAsia="es-ES"/>
    </w:rPr>
  </w:style>
  <w:style w:type="paragraph" w:styleId="Ttulo2">
    <w:name w:val="heading 2"/>
    <w:basedOn w:val="Normal"/>
    <w:next w:val="Normal"/>
    <w:link w:val="Ttulo2Car"/>
    <w:qFormat/>
    <w:rsid w:val="00F464E9"/>
    <w:pPr>
      <w:keepNext/>
      <w:jc w:val="both"/>
      <w:outlineLvl w:val="1"/>
    </w:pPr>
    <w:rPr>
      <w:rFonts w:ascii="Bookman Old Style" w:hAnsi="Bookman Old Style"/>
      <w:lang w:val="es-MX"/>
    </w:rPr>
  </w:style>
  <w:style w:type="paragraph" w:styleId="Ttulo3">
    <w:name w:val="heading 3"/>
    <w:basedOn w:val="Normal"/>
    <w:next w:val="Normal"/>
    <w:link w:val="Ttulo3Car"/>
    <w:qFormat/>
    <w:rsid w:val="00F464E9"/>
    <w:pPr>
      <w:keepNext/>
      <w:jc w:val="center"/>
      <w:outlineLvl w:val="2"/>
    </w:pPr>
    <w:rPr>
      <w:rFonts w:ascii="Bookman Old Style" w:hAnsi="Bookman Old Styl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64E9"/>
    <w:rPr>
      <w:rFonts w:ascii="Bookman Old Style" w:hAnsi="Bookman Old Style"/>
      <w:sz w:val="24"/>
      <w:lang w:val="es-MX" w:eastAsia="es-ES"/>
    </w:rPr>
  </w:style>
  <w:style w:type="character" w:customStyle="1" w:styleId="Ttulo3Car">
    <w:name w:val="Título 3 Car"/>
    <w:basedOn w:val="Fuentedeprrafopredeter"/>
    <w:link w:val="Ttulo3"/>
    <w:rsid w:val="00F464E9"/>
    <w:rPr>
      <w:rFonts w:ascii="Bookman Old Style" w:hAnsi="Bookman Old Style"/>
      <w:b/>
      <w:sz w:val="24"/>
      <w:lang w:val="es-ES" w:eastAsia="es-ES"/>
    </w:rPr>
  </w:style>
  <w:style w:type="paragraph" w:styleId="Textoindependiente">
    <w:name w:val="Body Text"/>
    <w:basedOn w:val="Normal"/>
    <w:link w:val="TextoindependienteCar"/>
    <w:semiHidden/>
    <w:rsid w:val="00F464E9"/>
    <w:pPr>
      <w:jc w:val="both"/>
    </w:pPr>
    <w:rPr>
      <w:rFonts w:ascii="Bookman Old Style" w:hAnsi="Bookman Old Style"/>
      <w:lang w:val="es-MX"/>
    </w:rPr>
  </w:style>
  <w:style w:type="character" w:customStyle="1" w:styleId="TextoindependienteCar">
    <w:name w:val="Texto independiente Car"/>
    <w:basedOn w:val="Fuentedeprrafopredeter"/>
    <w:link w:val="Textoindependiente"/>
    <w:semiHidden/>
    <w:rsid w:val="00F464E9"/>
    <w:rPr>
      <w:rFonts w:ascii="Bookman Old Style" w:hAnsi="Bookman Old Style"/>
      <w:sz w:val="24"/>
      <w:lang w:val="es-MX" w:eastAsia="es-ES"/>
    </w:rPr>
  </w:style>
  <w:style w:type="paragraph" w:styleId="Piedepgina">
    <w:name w:val="footer"/>
    <w:basedOn w:val="Normal"/>
    <w:link w:val="PiedepginaCar"/>
    <w:semiHidden/>
    <w:rsid w:val="00F464E9"/>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semiHidden/>
    <w:rsid w:val="00F464E9"/>
    <w:rPr>
      <w:lang w:val="es-ES" w:eastAsia="es-ES"/>
    </w:rPr>
  </w:style>
  <w:style w:type="character" w:styleId="Nmerodepgina">
    <w:name w:val="page number"/>
    <w:basedOn w:val="Fuentedeprrafopredeter"/>
    <w:semiHidden/>
    <w:rsid w:val="00F464E9"/>
  </w:style>
  <w:style w:type="paragraph" w:styleId="Ttulo">
    <w:name w:val="Title"/>
    <w:basedOn w:val="Normal"/>
    <w:link w:val="TtuloCar"/>
    <w:qFormat/>
    <w:rsid w:val="00665904"/>
    <w:pPr>
      <w:jc w:val="center"/>
    </w:pPr>
    <w:rPr>
      <w:rFonts w:ascii="Bookman Old Style" w:hAnsi="Bookman Old Style"/>
      <w:b/>
      <w:lang w:val="es-MX"/>
    </w:rPr>
  </w:style>
  <w:style w:type="character" w:customStyle="1" w:styleId="TtuloCar">
    <w:name w:val="Título Car"/>
    <w:basedOn w:val="Fuentedeprrafopredeter"/>
    <w:link w:val="Ttulo"/>
    <w:rsid w:val="00665904"/>
    <w:rPr>
      <w:rFonts w:ascii="Bookman Old Style" w:hAnsi="Bookman Old Style"/>
      <w:b/>
      <w:sz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E9"/>
    <w:rPr>
      <w:rFonts w:ascii="Arial" w:hAnsi="Arial"/>
      <w:sz w:val="24"/>
      <w:lang w:val="es-ES" w:eastAsia="es-ES"/>
    </w:rPr>
  </w:style>
  <w:style w:type="paragraph" w:styleId="Ttulo2">
    <w:name w:val="heading 2"/>
    <w:basedOn w:val="Normal"/>
    <w:next w:val="Normal"/>
    <w:link w:val="Ttulo2Car"/>
    <w:qFormat/>
    <w:rsid w:val="00F464E9"/>
    <w:pPr>
      <w:keepNext/>
      <w:jc w:val="both"/>
      <w:outlineLvl w:val="1"/>
    </w:pPr>
    <w:rPr>
      <w:rFonts w:ascii="Bookman Old Style" w:hAnsi="Bookman Old Style"/>
      <w:lang w:val="es-MX"/>
    </w:rPr>
  </w:style>
  <w:style w:type="paragraph" w:styleId="Ttulo3">
    <w:name w:val="heading 3"/>
    <w:basedOn w:val="Normal"/>
    <w:next w:val="Normal"/>
    <w:link w:val="Ttulo3Car"/>
    <w:qFormat/>
    <w:rsid w:val="00F464E9"/>
    <w:pPr>
      <w:keepNext/>
      <w:jc w:val="center"/>
      <w:outlineLvl w:val="2"/>
    </w:pPr>
    <w:rPr>
      <w:rFonts w:ascii="Bookman Old Style" w:hAnsi="Bookman Old Styl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64E9"/>
    <w:rPr>
      <w:rFonts w:ascii="Bookman Old Style" w:hAnsi="Bookman Old Style"/>
      <w:sz w:val="24"/>
      <w:lang w:val="es-MX" w:eastAsia="es-ES"/>
    </w:rPr>
  </w:style>
  <w:style w:type="character" w:customStyle="1" w:styleId="Ttulo3Car">
    <w:name w:val="Título 3 Car"/>
    <w:basedOn w:val="Fuentedeprrafopredeter"/>
    <w:link w:val="Ttulo3"/>
    <w:rsid w:val="00F464E9"/>
    <w:rPr>
      <w:rFonts w:ascii="Bookman Old Style" w:hAnsi="Bookman Old Style"/>
      <w:b/>
      <w:sz w:val="24"/>
      <w:lang w:val="es-ES" w:eastAsia="es-ES"/>
    </w:rPr>
  </w:style>
  <w:style w:type="paragraph" w:styleId="Textoindependiente">
    <w:name w:val="Body Text"/>
    <w:basedOn w:val="Normal"/>
    <w:link w:val="TextoindependienteCar"/>
    <w:semiHidden/>
    <w:rsid w:val="00F464E9"/>
    <w:pPr>
      <w:jc w:val="both"/>
    </w:pPr>
    <w:rPr>
      <w:rFonts w:ascii="Bookman Old Style" w:hAnsi="Bookman Old Style"/>
      <w:lang w:val="es-MX"/>
    </w:rPr>
  </w:style>
  <w:style w:type="character" w:customStyle="1" w:styleId="TextoindependienteCar">
    <w:name w:val="Texto independiente Car"/>
    <w:basedOn w:val="Fuentedeprrafopredeter"/>
    <w:link w:val="Textoindependiente"/>
    <w:semiHidden/>
    <w:rsid w:val="00F464E9"/>
    <w:rPr>
      <w:rFonts w:ascii="Bookman Old Style" w:hAnsi="Bookman Old Style"/>
      <w:sz w:val="24"/>
      <w:lang w:val="es-MX" w:eastAsia="es-ES"/>
    </w:rPr>
  </w:style>
  <w:style w:type="paragraph" w:styleId="Piedepgina">
    <w:name w:val="footer"/>
    <w:basedOn w:val="Normal"/>
    <w:link w:val="PiedepginaCar"/>
    <w:semiHidden/>
    <w:rsid w:val="00F464E9"/>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semiHidden/>
    <w:rsid w:val="00F464E9"/>
    <w:rPr>
      <w:lang w:val="es-ES" w:eastAsia="es-ES"/>
    </w:rPr>
  </w:style>
  <w:style w:type="character" w:styleId="Nmerodepgina">
    <w:name w:val="page number"/>
    <w:basedOn w:val="Fuentedeprrafopredeter"/>
    <w:semiHidden/>
    <w:rsid w:val="00F464E9"/>
  </w:style>
  <w:style w:type="paragraph" w:styleId="Ttulo">
    <w:name w:val="Title"/>
    <w:basedOn w:val="Normal"/>
    <w:link w:val="TtuloCar"/>
    <w:qFormat/>
    <w:rsid w:val="00665904"/>
    <w:pPr>
      <w:jc w:val="center"/>
    </w:pPr>
    <w:rPr>
      <w:rFonts w:ascii="Bookman Old Style" w:hAnsi="Bookman Old Style"/>
      <w:b/>
      <w:lang w:val="es-MX"/>
    </w:rPr>
  </w:style>
  <w:style w:type="character" w:customStyle="1" w:styleId="TtuloCar">
    <w:name w:val="Título Car"/>
    <w:basedOn w:val="Fuentedeprrafopredeter"/>
    <w:link w:val="Ttulo"/>
    <w:rsid w:val="00665904"/>
    <w:rPr>
      <w:rFonts w:ascii="Bookman Old Style" w:hAnsi="Bookman Old Style"/>
      <w:b/>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1368</Words>
  <Characters>7547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2017-09-01T16:27:00Z</cp:lastPrinted>
  <dcterms:created xsi:type="dcterms:W3CDTF">2017-09-01T16:22:00Z</dcterms:created>
  <dcterms:modified xsi:type="dcterms:W3CDTF">2017-11-27T19:14:00Z</dcterms:modified>
</cp:coreProperties>
</file>