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3E8" w:rsidRPr="001113E8" w:rsidRDefault="001113E8" w:rsidP="001113E8">
      <w:pPr>
        <w:tabs>
          <w:tab w:val="center" w:pos="4253"/>
        </w:tabs>
        <w:suppressAutoHyphens/>
        <w:spacing w:after="0"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1113E8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8B6591">
        <w:rPr>
          <w:rFonts w:ascii="Arial" w:hAnsi="Arial" w:cs="Arial"/>
          <w:b/>
          <w:sz w:val="28"/>
          <w:szCs w:val="28"/>
          <w:lang w:val="es-ES_tradnl"/>
        </w:rPr>
        <w:t>3355</w:t>
      </w:r>
      <w:r w:rsidRPr="001113E8">
        <w:rPr>
          <w:rFonts w:ascii="Arial" w:hAnsi="Arial" w:cs="Arial"/>
          <w:b/>
          <w:sz w:val="28"/>
          <w:szCs w:val="28"/>
          <w:lang w:val="es-ES_tradnl"/>
        </w:rPr>
        <w:t>/17</w:t>
      </w:r>
    </w:p>
    <w:p w:rsidR="001113E8" w:rsidRPr="001113E8" w:rsidRDefault="001113E8" w:rsidP="001113E8">
      <w:pPr>
        <w:tabs>
          <w:tab w:val="center" w:pos="4253"/>
        </w:tabs>
        <w:suppressAutoHyphens/>
        <w:spacing w:after="0"/>
        <w:jc w:val="center"/>
        <w:rPr>
          <w:rFonts w:ascii="Arial" w:hAnsi="Arial" w:cs="Arial"/>
          <w:b/>
          <w:lang w:val="es-ES_tradnl"/>
        </w:rPr>
      </w:pPr>
    </w:p>
    <w:p w:rsidR="001113E8" w:rsidRPr="001113E8" w:rsidRDefault="001113E8" w:rsidP="001113E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113E8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1113E8" w:rsidRPr="001113E8" w:rsidRDefault="001113E8" w:rsidP="001113E8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113E8" w:rsidRPr="001113E8" w:rsidRDefault="001113E8" w:rsidP="001113E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113E8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1113E8" w:rsidRPr="001113E8" w:rsidRDefault="001113E8" w:rsidP="001113E8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113E8" w:rsidRPr="001113E8" w:rsidRDefault="001113E8" w:rsidP="001113E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113E8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 w:rsidR="00BF77F2">
        <w:rPr>
          <w:rFonts w:ascii="Arial" w:hAnsi="Arial" w:cs="Arial"/>
          <w:b/>
          <w:sz w:val="24"/>
          <w:szCs w:val="24"/>
          <w:lang w:val="es-ES_tradnl"/>
        </w:rPr>
        <w:t>11</w:t>
      </w:r>
      <w:r w:rsidRPr="001113E8">
        <w:rPr>
          <w:rFonts w:ascii="Arial" w:hAnsi="Arial" w:cs="Arial"/>
          <w:b/>
          <w:sz w:val="24"/>
          <w:szCs w:val="24"/>
          <w:lang w:val="es-ES_tradnl"/>
        </w:rPr>
        <w:t xml:space="preserve"> DE OCTUBRE DE 2017</w:t>
      </w:r>
    </w:p>
    <w:p w:rsidR="001113E8" w:rsidRPr="001113E8" w:rsidRDefault="001113E8" w:rsidP="001113E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113E8" w:rsidRPr="001113E8" w:rsidRDefault="001113E8" w:rsidP="001113E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13E8">
        <w:rPr>
          <w:rFonts w:ascii="Arial" w:hAnsi="Arial" w:cs="Arial"/>
          <w:b/>
          <w:sz w:val="24"/>
          <w:szCs w:val="24"/>
        </w:rPr>
        <w:t>(E. E. Nº 2017-17-1-000</w:t>
      </w:r>
      <w:r>
        <w:rPr>
          <w:rFonts w:ascii="Arial" w:hAnsi="Arial" w:cs="Arial"/>
          <w:b/>
          <w:sz w:val="24"/>
          <w:szCs w:val="24"/>
        </w:rPr>
        <w:t>4478</w:t>
      </w:r>
      <w:r w:rsidRPr="001113E8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1113E8">
        <w:rPr>
          <w:rFonts w:ascii="Arial" w:hAnsi="Arial" w:cs="Arial"/>
          <w:b/>
          <w:sz w:val="24"/>
          <w:szCs w:val="24"/>
        </w:rPr>
        <w:t>Ent</w:t>
      </w:r>
      <w:proofErr w:type="spellEnd"/>
      <w:r w:rsidRPr="001113E8">
        <w:rPr>
          <w:rFonts w:ascii="Arial" w:hAnsi="Arial" w:cs="Arial"/>
          <w:b/>
          <w:sz w:val="24"/>
          <w:szCs w:val="24"/>
        </w:rPr>
        <w:t>. N° 4</w:t>
      </w:r>
      <w:r>
        <w:rPr>
          <w:rFonts w:ascii="Arial" w:hAnsi="Arial" w:cs="Arial"/>
          <w:b/>
          <w:sz w:val="24"/>
          <w:szCs w:val="24"/>
        </w:rPr>
        <w:t>765</w:t>
      </w:r>
      <w:r w:rsidRPr="001113E8">
        <w:rPr>
          <w:rFonts w:ascii="Arial" w:hAnsi="Arial" w:cs="Arial"/>
          <w:b/>
          <w:sz w:val="24"/>
          <w:szCs w:val="24"/>
        </w:rPr>
        <w:t>/17)</w:t>
      </w:r>
    </w:p>
    <w:p w:rsidR="001113E8" w:rsidRDefault="001113E8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494464" w:rsidRDefault="00C46438" w:rsidP="00D9689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 xml:space="preserve">las nuevas actuaciones remitidas por la Administración Nacional de Telecomunicaciones, </w:t>
      </w:r>
      <w:r w:rsidR="00494464" w:rsidRPr="00494464">
        <w:rPr>
          <w:rFonts w:ascii="Arial" w:hAnsi="Arial" w:cs="Arial"/>
          <w:sz w:val="24"/>
          <w:szCs w:val="24"/>
        </w:rPr>
        <w:t xml:space="preserve">relacionadas con la </w:t>
      </w:r>
      <w:r w:rsidR="00494464">
        <w:rPr>
          <w:rFonts w:ascii="Arial" w:hAnsi="Arial" w:cs="Arial"/>
          <w:sz w:val="24"/>
          <w:szCs w:val="24"/>
        </w:rPr>
        <w:t xml:space="preserve">reiteración del gasto derivado </w:t>
      </w:r>
      <w:r w:rsidR="00076C9A">
        <w:rPr>
          <w:rFonts w:ascii="Arial" w:hAnsi="Arial" w:cs="Arial"/>
          <w:sz w:val="24"/>
          <w:szCs w:val="24"/>
        </w:rPr>
        <w:t xml:space="preserve">de la </w:t>
      </w:r>
      <w:r w:rsidR="00494464" w:rsidRPr="00494464">
        <w:rPr>
          <w:rFonts w:ascii="Arial" w:hAnsi="Arial" w:cs="Arial"/>
          <w:sz w:val="24"/>
          <w:szCs w:val="24"/>
        </w:rPr>
        <w:t>contratación del servicio de mantenimiento marítimo del cable submarino Monet;</w:t>
      </w:r>
    </w:p>
    <w:p w:rsidR="00C46438" w:rsidRDefault="00C46438" w:rsidP="00D96894">
      <w:pPr>
        <w:pStyle w:val="Textoindependiente2"/>
        <w:ind w:firstLine="851"/>
      </w:pPr>
      <w:r>
        <w:rPr>
          <w:b/>
          <w:bCs/>
        </w:rPr>
        <w:t>RESULTANDO: 1)</w:t>
      </w:r>
      <w:r>
        <w:t xml:space="preserve"> que el Directorio, por Resolución Nº 652/17 (Acta N° 2648) de fecha 30.06.17, dispuso aprobar, previa interven</w:t>
      </w:r>
      <w:r w:rsidR="00B9452D">
        <w:t>ción preventiva de legalidad de este</w:t>
      </w:r>
      <w:r>
        <w:t xml:space="preserve"> Tribunal, al amparo de lo dispuesto por el </w:t>
      </w:r>
      <w:r w:rsidR="00D96894">
        <w:t>A</w:t>
      </w:r>
      <w:r>
        <w:t>rt</w:t>
      </w:r>
      <w:r w:rsidR="00D96894">
        <w:t>ículo</w:t>
      </w:r>
      <w:r>
        <w:t xml:space="preserve"> 33 </w:t>
      </w:r>
      <w:r w:rsidR="00D96894">
        <w:t xml:space="preserve">                     L</w:t>
      </w:r>
      <w:r>
        <w:t>iteral C), numeral 22) del TOCAF, el Proyecto de Acuerdo</w:t>
      </w:r>
      <w:r w:rsidR="00076C9A">
        <w:t xml:space="preserve"> para el mantenimiento del cable submarino </w:t>
      </w:r>
      <w:r>
        <w:t xml:space="preserve"> a suscribirse entre </w:t>
      </w:r>
      <w:proofErr w:type="spellStart"/>
      <w:r>
        <w:t>Antel</w:t>
      </w:r>
      <w:proofErr w:type="spellEnd"/>
      <w:r>
        <w:t xml:space="preserve"> Alagar Telecom. </w:t>
      </w:r>
      <w:r w:rsidRPr="00076C9A">
        <w:rPr>
          <w:lang w:val="es-ES"/>
        </w:rPr>
        <w:t xml:space="preserve">S.A., Google </w:t>
      </w:r>
      <w:proofErr w:type="spellStart"/>
      <w:r w:rsidRPr="00076C9A">
        <w:rPr>
          <w:lang w:val="es-ES"/>
        </w:rPr>
        <w:t>Infrastrcture</w:t>
      </w:r>
      <w:proofErr w:type="spellEnd"/>
      <w:r w:rsidRPr="00076C9A">
        <w:rPr>
          <w:lang w:val="es-ES"/>
        </w:rPr>
        <w:t xml:space="preserve"> Bermuda </w:t>
      </w:r>
      <w:proofErr w:type="spellStart"/>
      <w:r w:rsidRPr="00076C9A">
        <w:rPr>
          <w:lang w:val="es-ES"/>
        </w:rPr>
        <w:t>Ltd</w:t>
      </w:r>
      <w:proofErr w:type="spellEnd"/>
      <w:r w:rsidRPr="00076C9A">
        <w:rPr>
          <w:lang w:val="es-ES"/>
        </w:rPr>
        <w:t xml:space="preserve">, Google cable Bermuda Ltd. </w:t>
      </w:r>
      <w:r w:rsidR="00076C9A">
        <w:t>y</w:t>
      </w:r>
      <w:r>
        <w:t xml:space="preserve"> Angola Cables S.A. y por otra parte, Alcatel – </w:t>
      </w:r>
      <w:proofErr w:type="spellStart"/>
      <w:r>
        <w:t>Lucent</w:t>
      </w:r>
      <w:proofErr w:type="spellEnd"/>
      <w:r>
        <w:t xml:space="preserve"> </w:t>
      </w:r>
      <w:proofErr w:type="spellStart"/>
      <w:r>
        <w:t>Submarine</w:t>
      </w:r>
      <w:proofErr w:type="spellEnd"/>
      <w:r>
        <w:t xml:space="preserve"> Networks y </w:t>
      </w:r>
      <w:proofErr w:type="spellStart"/>
      <w:r>
        <w:t>Tyco</w:t>
      </w:r>
      <w:proofErr w:type="spellEnd"/>
      <w:r>
        <w:t xml:space="preserve"> </w:t>
      </w:r>
      <w:proofErr w:type="spellStart"/>
      <w:r>
        <w:t>Electronics</w:t>
      </w:r>
      <w:proofErr w:type="spellEnd"/>
      <w:r>
        <w:t xml:space="preserve"> </w:t>
      </w:r>
      <w:proofErr w:type="spellStart"/>
      <w:r>
        <w:t>Subsea</w:t>
      </w:r>
      <w:proofErr w:type="spellEnd"/>
      <w:r w:rsidR="00D96894">
        <w:t xml:space="preserve"> </w:t>
      </w:r>
      <w:proofErr w:type="spellStart"/>
      <w:r w:rsidR="00D96894">
        <w:t>Communications</w:t>
      </w:r>
      <w:proofErr w:type="spellEnd"/>
      <w:r w:rsidR="00D96894">
        <w:t xml:space="preserve"> LLC (TE </w:t>
      </w:r>
      <w:proofErr w:type="spellStart"/>
      <w:r w:rsidR="00D96894">
        <w:t>SubCom</w:t>
      </w:r>
      <w:proofErr w:type="spellEnd"/>
      <w:r w:rsidR="00D96894">
        <w:t>)</w:t>
      </w:r>
      <w:r w:rsidR="00076C9A">
        <w:t xml:space="preserve">; </w:t>
      </w:r>
    </w:p>
    <w:p w:rsidR="00C46438" w:rsidRDefault="00C46438" w:rsidP="00D96894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2) </w:t>
      </w:r>
      <w:r>
        <w:rPr>
          <w:rFonts w:ascii="Arial" w:hAnsi="Arial" w:cs="Arial"/>
          <w:sz w:val="24"/>
          <w:szCs w:val="24"/>
        </w:rPr>
        <w:t xml:space="preserve">que este Tribunal, por Resolución N° 2571/17 adoptada en Sesión de fecha 16.08.17, </w:t>
      </w:r>
      <w:r w:rsidR="00B9452D">
        <w:rPr>
          <w:rFonts w:ascii="Arial" w:hAnsi="Arial" w:cs="Arial"/>
          <w:sz w:val="24"/>
          <w:szCs w:val="24"/>
        </w:rPr>
        <w:t xml:space="preserve">observó </w:t>
      </w:r>
      <w:r>
        <w:rPr>
          <w:rFonts w:ascii="Arial" w:hAnsi="Arial" w:cs="Arial"/>
          <w:sz w:val="24"/>
          <w:szCs w:val="24"/>
        </w:rPr>
        <w:t xml:space="preserve">el gasto en razón de que las firmas adjudicatarias no se encontraban en condiciones de contratar con el Estado por no estar inscriptas en el RUPE, en contravención a lo establecido en los </w:t>
      </w:r>
      <w:r w:rsidR="00D9689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rtículos 46 y 76 del TOCAF, destacándose que tanto el </w:t>
      </w:r>
      <w:r w:rsidR="00D9689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rtículo 2 del Decreto Nº 155/013, como la Resolución Nº 012/014 del Consejo Directivo Honorario de la ACCE, que exceptúan el requisito de inscripción en el referido Registro, contravienen normas legales;</w:t>
      </w:r>
    </w:p>
    <w:p w:rsidR="00C46438" w:rsidRDefault="00C46438" w:rsidP="00D96894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3) </w:t>
      </w:r>
      <w:r>
        <w:rPr>
          <w:rFonts w:ascii="Arial" w:hAnsi="Arial" w:cs="Arial"/>
          <w:sz w:val="24"/>
          <w:szCs w:val="24"/>
        </w:rPr>
        <w:t xml:space="preserve">que </w:t>
      </w:r>
      <w:r w:rsidR="00B9452D">
        <w:rPr>
          <w:rFonts w:ascii="Arial" w:hAnsi="Arial" w:cs="Arial"/>
          <w:sz w:val="24"/>
          <w:szCs w:val="24"/>
        </w:rPr>
        <w:t xml:space="preserve">el Directorio, </w:t>
      </w:r>
      <w:r>
        <w:rPr>
          <w:rFonts w:ascii="Arial" w:hAnsi="Arial" w:cs="Arial"/>
          <w:sz w:val="24"/>
          <w:szCs w:val="24"/>
        </w:rPr>
        <w:t xml:space="preserve">por Resolución N° 970/17 de fecha 07.09.17, reiteró el gasto argumentando que se actuó al amparo de lo dispuesto en el </w:t>
      </w:r>
      <w:r w:rsidR="00D9689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rtículo 2 del Decreto Nº 155/013 y en la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Resolución N° 12/14 de ACCE, </w:t>
      </w:r>
      <w:r w:rsidR="00076C9A">
        <w:rPr>
          <w:rFonts w:ascii="Arial" w:hAnsi="Arial" w:cs="Arial"/>
          <w:sz w:val="24"/>
          <w:szCs w:val="24"/>
        </w:rPr>
        <w:t xml:space="preserve">y </w:t>
      </w:r>
      <w:r>
        <w:rPr>
          <w:rFonts w:ascii="Arial" w:hAnsi="Arial" w:cs="Arial"/>
          <w:sz w:val="24"/>
          <w:szCs w:val="24"/>
        </w:rPr>
        <w:t>que la contratación de referencia permite acompañar el crecimiento de tráfico regional y mejorar la conectividad con el resto de los países de la región, por lo que resulta imprescindible;</w:t>
      </w:r>
    </w:p>
    <w:p w:rsidR="00C46438" w:rsidRDefault="00D96894" w:rsidP="00D9689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CONSIDERANDO: </w:t>
      </w:r>
      <w:r w:rsidR="00C46438">
        <w:rPr>
          <w:rFonts w:ascii="Arial" w:hAnsi="Arial" w:cs="Arial"/>
          <w:b/>
          <w:bCs/>
          <w:sz w:val="24"/>
          <w:szCs w:val="24"/>
        </w:rPr>
        <w:t xml:space="preserve">1) </w:t>
      </w:r>
      <w:r w:rsidR="00C46438">
        <w:rPr>
          <w:rFonts w:ascii="Arial" w:hAnsi="Arial" w:cs="Arial"/>
          <w:sz w:val="24"/>
          <w:szCs w:val="24"/>
        </w:rPr>
        <w:t>que como sostuvo este Tribunal en ocasión de observar el gasto, la firma adju</w:t>
      </w:r>
      <w:r w:rsidR="00076C9A">
        <w:rPr>
          <w:rFonts w:ascii="Arial" w:hAnsi="Arial" w:cs="Arial"/>
          <w:sz w:val="24"/>
          <w:szCs w:val="24"/>
        </w:rPr>
        <w:t xml:space="preserve">dicataria no consta inscripta </w:t>
      </w:r>
      <w:r w:rsidR="00C46438">
        <w:rPr>
          <w:rFonts w:ascii="Arial" w:hAnsi="Arial" w:cs="Arial"/>
          <w:sz w:val="24"/>
          <w:szCs w:val="24"/>
        </w:rPr>
        <w:t xml:space="preserve"> en el Registro Único de Proveedores del Estado, por lo que, conforme lo dispuesto por los </w:t>
      </w:r>
      <w:r w:rsidR="000053C1">
        <w:rPr>
          <w:rFonts w:ascii="Arial" w:hAnsi="Arial" w:cs="Arial"/>
          <w:sz w:val="24"/>
          <w:szCs w:val="24"/>
        </w:rPr>
        <w:t>A</w:t>
      </w:r>
      <w:r w:rsidR="00C46438">
        <w:rPr>
          <w:rFonts w:ascii="Arial" w:hAnsi="Arial" w:cs="Arial"/>
          <w:sz w:val="24"/>
          <w:szCs w:val="24"/>
        </w:rPr>
        <w:t>rtículos 46 y 76 del TOCAF, no se encuentra en condiciones de contratar con el Estado</w:t>
      </w:r>
      <w:r w:rsidR="00C46438">
        <w:rPr>
          <w:rFonts w:ascii="Arial" w:hAnsi="Arial" w:cs="Arial"/>
          <w:spacing w:val="-3"/>
          <w:sz w:val="24"/>
          <w:szCs w:val="24"/>
        </w:rPr>
        <w:t>;</w:t>
      </w:r>
    </w:p>
    <w:p w:rsidR="00C46438" w:rsidRDefault="00C46438" w:rsidP="00D96894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2) </w:t>
      </w:r>
      <w:r>
        <w:rPr>
          <w:rFonts w:ascii="Arial" w:hAnsi="Arial" w:cs="Arial"/>
          <w:sz w:val="24"/>
          <w:szCs w:val="24"/>
        </w:rPr>
        <w:t xml:space="preserve">que tanto el </w:t>
      </w:r>
      <w:r w:rsidR="0038561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rtículo 2 del Decreto Nº 155/013, como la Resolución Nº 012/014 del Consejo Directivo Honorario de la ACCE dictada a su amparo, contravienen las referidas normas legales, por lo cual ambos actos administrativos deben ser desaplicados en el caso concreto, a efectos de tutelar la jerarquía de las normas existente en el ordenamiento jurídico nacional;</w:t>
      </w:r>
    </w:p>
    <w:p w:rsidR="00C46438" w:rsidRDefault="00C46438" w:rsidP="0038561E">
      <w:pPr>
        <w:pStyle w:val="Textoindependiente"/>
        <w:spacing w:after="0"/>
        <w:ind w:firstLine="2977"/>
      </w:pPr>
      <w:r>
        <w:rPr>
          <w:b/>
          <w:bCs/>
        </w:rPr>
        <w:t>3)</w:t>
      </w:r>
      <w:r>
        <w:t xml:space="preserve"> que el argumento referido a la necesidad de la contratación no guarda relación con la causal que motivó la observación;</w:t>
      </w:r>
    </w:p>
    <w:p w:rsidR="00C46438" w:rsidRDefault="00C46438" w:rsidP="0038561E">
      <w:pPr>
        <w:pStyle w:val="Textoindependiente"/>
        <w:spacing w:after="0"/>
        <w:ind w:firstLine="2977"/>
      </w:pPr>
      <w:bookmarkStart w:id="0" w:name="_GoBack"/>
      <w:bookmarkEnd w:id="0"/>
      <w:r>
        <w:rPr>
          <w:b/>
          <w:bCs/>
        </w:rPr>
        <w:t xml:space="preserve">4) </w:t>
      </w:r>
      <w:r>
        <w:t>que en definitiva, sin perjuicio de la argumentación esgrimida por la Administración actuante, la causal que motivó la observación se mantiene incambiada;</w:t>
      </w:r>
    </w:p>
    <w:p w:rsidR="00C46438" w:rsidRDefault="00C46438" w:rsidP="0038561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expuesto y a lo dispuesto por el </w:t>
      </w:r>
      <w:r w:rsidR="0038561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rtículo 211 </w:t>
      </w:r>
      <w:r w:rsidR="0038561E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iteral B) de la Constitución de la República;</w:t>
      </w:r>
    </w:p>
    <w:p w:rsidR="00C46438" w:rsidRDefault="00C46438" w:rsidP="00D9689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EL TRIBUNAL ACUERDA</w:t>
      </w:r>
    </w:p>
    <w:p w:rsidR="00C46438" w:rsidRDefault="00C46438" w:rsidP="000B60E5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Mantener la observación formulada mediante Resolución N°</w:t>
      </w:r>
      <w:r w:rsidR="00B945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2571/17 adoptada en Sesión de fecha 16.08.17;</w:t>
      </w:r>
    </w:p>
    <w:p w:rsidR="00C46438" w:rsidRDefault="00C46438" w:rsidP="00D9689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Dar</w:t>
      </w:r>
      <w:r w:rsidR="00076C9A">
        <w:rPr>
          <w:rFonts w:ascii="Arial" w:hAnsi="Arial" w:cs="Arial"/>
          <w:sz w:val="24"/>
          <w:szCs w:val="24"/>
        </w:rPr>
        <w:t xml:space="preserve"> cuenta a la Asamblea General; y </w:t>
      </w:r>
    </w:p>
    <w:p w:rsidR="00C46438" w:rsidRDefault="00C46438" w:rsidP="000B60E5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Comunicar a</w:t>
      </w:r>
      <w:r w:rsidR="00076C9A">
        <w:rPr>
          <w:rFonts w:ascii="Arial" w:hAnsi="Arial" w:cs="Arial"/>
          <w:sz w:val="24"/>
          <w:szCs w:val="24"/>
        </w:rPr>
        <w:t xml:space="preserve">l Poder Ejecutivo, </w:t>
      </w:r>
      <w:r>
        <w:rPr>
          <w:rFonts w:ascii="Arial" w:hAnsi="Arial" w:cs="Arial"/>
          <w:sz w:val="24"/>
          <w:szCs w:val="24"/>
        </w:rPr>
        <w:t xml:space="preserve"> la Administración a</w:t>
      </w:r>
      <w:r w:rsidR="0038561E">
        <w:rPr>
          <w:rFonts w:ascii="Arial" w:hAnsi="Arial" w:cs="Arial"/>
          <w:sz w:val="24"/>
          <w:szCs w:val="24"/>
        </w:rPr>
        <w:t>ctuante y al Contador Delegado.</w:t>
      </w:r>
    </w:p>
    <w:p w:rsidR="0038561E" w:rsidRDefault="0038561E" w:rsidP="00D9689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46438" w:rsidRPr="00D96894" w:rsidRDefault="00D96894" w:rsidP="00D9689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D96894">
        <w:rPr>
          <w:rFonts w:ascii="Arial" w:hAnsi="Arial" w:cs="Arial"/>
          <w:iCs/>
          <w:sz w:val="24"/>
          <w:szCs w:val="24"/>
        </w:rPr>
        <w:t>ag</w:t>
      </w:r>
      <w:proofErr w:type="spellEnd"/>
      <w:proofErr w:type="gramEnd"/>
    </w:p>
    <w:sectPr w:rsidR="00C46438" w:rsidRPr="00D96894" w:rsidSect="000B60E5">
      <w:pgSz w:w="11906" w:h="16838" w:code="9"/>
      <w:pgMar w:top="3289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438"/>
    <w:rsid w:val="000053C1"/>
    <w:rsid w:val="00076C9A"/>
    <w:rsid w:val="000B60E5"/>
    <w:rsid w:val="001113E8"/>
    <w:rsid w:val="0038561E"/>
    <w:rsid w:val="00494464"/>
    <w:rsid w:val="004E5B7A"/>
    <w:rsid w:val="008B6591"/>
    <w:rsid w:val="00A71609"/>
    <w:rsid w:val="00B9452D"/>
    <w:rsid w:val="00BF77F2"/>
    <w:rsid w:val="00C46438"/>
    <w:rsid w:val="00D96894"/>
    <w:rsid w:val="00E9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uiPriority w:val="99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pPr>
      <w:suppressAutoHyphens/>
      <w:spacing w:after="0" w:line="240" w:lineRule="auto"/>
    </w:pPr>
    <w:rPr>
      <w:rFonts w:ascii="Arial" w:hAnsi="Arial" w:cs="Arial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46438"/>
    <w:rPr>
      <w:rFonts w:ascii="Calibri" w:hAnsi="Calibri" w:cs="Calibri"/>
      <w:sz w:val="20"/>
      <w:szCs w:val="20"/>
      <w:lang w:val="es-UY" w:eastAsia="en-US"/>
    </w:rPr>
  </w:style>
  <w:style w:type="paragraph" w:styleId="Textoindependiente">
    <w:name w:val="Body Text"/>
    <w:basedOn w:val="Normal"/>
    <w:link w:val="TextoindependienteCar"/>
    <w:uiPriority w:val="99"/>
    <w:pPr>
      <w:spacing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46438"/>
    <w:rPr>
      <w:rFonts w:ascii="Calibri" w:hAnsi="Calibri" w:cs="Calibri"/>
      <w:lang w:val="es-UY" w:eastAsia="en-US"/>
    </w:rPr>
  </w:style>
  <w:style w:type="paragraph" w:styleId="Textoindependiente2">
    <w:name w:val="Body Text 2"/>
    <w:basedOn w:val="Normal"/>
    <w:link w:val="Textoindependiente2Car"/>
    <w:uiPriority w:val="99"/>
    <w:pPr>
      <w:spacing w:after="0" w:line="360" w:lineRule="auto"/>
      <w:jc w:val="both"/>
    </w:pPr>
    <w:rPr>
      <w:rFonts w:ascii="Arial" w:hAnsi="Arial" w:cs="Arial"/>
      <w:sz w:val="24"/>
      <w:szCs w:val="24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C46438"/>
    <w:rPr>
      <w:rFonts w:ascii="Calibri" w:hAnsi="Calibri" w:cs="Calibri"/>
      <w:lang w:val="es-UY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uiPriority w:val="99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pPr>
      <w:suppressAutoHyphens/>
      <w:spacing w:after="0" w:line="240" w:lineRule="auto"/>
    </w:pPr>
    <w:rPr>
      <w:rFonts w:ascii="Arial" w:hAnsi="Arial" w:cs="Arial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46438"/>
    <w:rPr>
      <w:rFonts w:ascii="Calibri" w:hAnsi="Calibri" w:cs="Calibri"/>
      <w:sz w:val="20"/>
      <w:szCs w:val="20"/>
      <w:lang w:val="es-UY" w:eastAsia="en-US"/>
    </w:rPr>
  </w:style>
  <w:style w:type="paragraph" w:styleId="Textoindependiente">
    <w:name w:val="Body Text"/>
    <w:basedOn w:val="Normal"/>
    <w:link w:val="TextoindependienteCar"/>
    <w:uiPriority w:val="99"/>
    <w:pPr>
      <w:spacing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46438"/>
    <w:rPr>
      <w:rFonts w:ascii="Calibri" w:hAnsi="Calibri" w:cs="Calibri"/>
      <w:lang w:val="es-UY" w:eastAsia="en-US"/>
    </w:rPr>
  </w:style>
  <w:style w:type="paragraph" w:styleId="Textoindependiente2">
    <w:name w:val="Body Text 2"/>
    <w:basedOn w:val="Normal"/>
    <w:link w:val="Textoindependiente2Car"/>
    <w:uiPriority w:val="99"/>
    <w:pPr>
      <w:spacing w:after="0" w:line="360" w:lineRule="auto"/>
      <w:jc w:val="both"/>
    </w:pPr>
    <w:rPr>
      <w:rFonts w:ascii="Arial" w:hAnsi="Arial" w:cs="Arial"/>
      <w:sz w:val="24"/>
      <w:szCs w:val="24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C46438"/>
    <w:rPr>
      <w:rFonts w:ascii="Calibri" w:hAnsi="Calibri" w:cs="Calibri"/>
      <w:lang w:val="es-UY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512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N°: 2017-17-1-0000205</vt:lpstr>
    </vt:vector>
  </TitlesOfParts>
  <Company/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N°: 2017-17-1-0000205</dc:title>
  <dc:creator>MARIA ALEJANDRA ALVAREZ LOPEZ</dc:creator>
  <cp:lastModifiedBy>Andrea Gerner</cp:lastModifiedBy>
  <cp:revision>10</cp:revision>
  <cp:lastPrinted>2017-09-26T19:15:00Z</cp:lastPrinted>
  <dcterms:created xsi:type="dcterms:W3CDTF">2017-10-11T18:40:00Z</dcterms:created>
  <dcterms:modified xsi:type="dcterms:W3CDTF">2017-10-13T18:23:00Z</dcterms:modified>
</cp:coreProperties>
</file>