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DF" w:rsidRPr="00786EEB" w:rsidRDefault="007820DF" w:rsidP="00786EEB">
      <w:pPr>
        <w:tabs>
          <w:tab w:val="center" w:pos="4253"/>
        </w:tabs>
        <w:suppressAutoHyphens/>
        <w:jc w:val="right"/>
        <w:rPr>
          <w:rFonts w:cs="Arial"/>
          <w:b/>
          <w:sz w:val="28"/>
          <w:szCs w:val="28"/>
          <w:lang w:val="es-ES_tradnl"/>
        </w:rPr>
      </w:pPr>
      <w:r>
        <w:rPr>
          <w:rFonts w:cs="Arial"/>
          <w:b/>
          <w:sz w:val="28"/>
          <w:szCs w:val="28"/>
          <w:lang w:val="es-ES_tradnl"/>
        </w:rPr>
        <w:t>RES. 3398/17</w:t>
      </w:r>
    </w:p>
    <w:p w:rsidR="007820DF" w:rsidRDefault="007820DF" w:rsidP="00786EEB">
      <w:pPr>
        <w:tabs>
          <w:tab w:val="center" w:pos="4253"/>
        </w:tabs>
        <w:suppressAutoHyphens/>
        <w:jc w:val="right"/>
        <w:rPr>
          <w:rFonts w:cs="Arial"/>
          <w:b/>
          <w:lang w:val="es-ES_tradnl"/>
        </w:rPr>
      </w:pPr>
    </w:p>
    <w:p w:rsidR="007820DF" w:rsidRPr="00762B34" w:rsidRDefault="007820DF">
      <w:pPr>
        <w:tabs>
          <w:tab w:val="center" w:pos="4253"/>
        </w:tabs>
        <w:suppressAutoHyphens/>
        <w:jc w:val="center"/>
        <w:rPr>
          <w:rFonts w:cs="Arial"/>
          <w:b/>
          <w:lang w:val="es-ES_tradnl"/>
        </w:rPr>
      </w:pPr>
      <w:r w:rsidRPr="00762B34">
        <w:rPr>
          <w:rFonts w:cs="Arial"/>
          <w:b/>
          <w:lang w:val="es-ES_tradnl"/>
        </w:rPr>
        <w:t>RESOLUCION ADOPTADA POR EL</w:t>
      </w:r>
    </w:p>
    <w:p w:rsidR="007820DF" w:rsidRPr="00762B34" w:rsidRDefault="007820DF">
      <w:pPr>
        <w:tabs>
          <w:tab w:val="left" w:pos="-720"/>
        </w:tabs>
        <w:suppressAutoHyphens/>
        <w:jc w:val="center"/>
        <w:rPr>
          <w:rFonts w:cs="Arial"/>
          <w:b/>
          <w:lang w:val="es-ES_tradnl"/>
        </w:rPr>
      </w:pPr>
    </w:p>
    <w:p w:rsidR="007820DF" w:rsidRPr="00762B34" w:rsidRDefault="007820DF">
      <w:pPr>
        <w:tabs>
          <w:tab w:val="center" w:pos="4253"/>
        </w:tabs>
        <w:suppressAutoHyphens/>
        <w:jc w:val="center"/>
        <w:rPr>
          <w:rFonts w:cs="Arial"/>
          <w:b/>
          <w:lang w:val="es-ES_tradnl"/>
        </w:rPr>
      </w:pPr>
      <w:r w:rsidRPr="00762B34">
        <w:rPr>
          <w:rFonts w:cs="Arial"/>
          <w:b/>
          <w:lang w:val="es-ES_tradnl"/>
        </w:rPr>
        <w:t>TRIBUNAL DE CUENTAS</w:t>
      </w:r>
    </w:p>
    <w:p w:rsidR="007820DF" w:rsidRPr="00762B34" w:rsidRDefault="007820DF">
      <w:pPr>
        <w:tabs>
          <w:tab w:val="left" w:pos="-720"/>
        </w:tabs>
        <w:suppressAutoHyphens/>
        <w:jc w:val="center"/>
        <w:rPr>
          <w:rFonts w:cs="Arial"/>
          <w:b/>
          <w:lang w:val="es-ES_tradnl"/>
        </w:rPr>
      </w:pPr>
    </w:p>
    <w:p w:rsidR="007820DF" w:rsidRPr="00762B34" w:rsidRDefault="007820DF">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11 DE OCTUBRE </w:t>
      </w:r>
      <w:r>
        <w:rPr>
          <w:rFonts w:ascii="Helvetica" w:hAnsi="Helvetica"/>
          <w:b/>
          <w:lang w:val="es-ES_tradnl"/>
        </w:rPr>
        <w:t>DE 2017</w:t>
      </w:r>
    </w:p>
    <w:p w:rsidR="007820DF" w:rsidRPr="00762B34" w:rsidRDefault="007820DF">
      <w:pPr>
        <w:tabs>
          <w:tab w:val="center" w:pos="4253"/>
        </w:tabs>
        <w:suppressAutoHyphens/>
        <w:jc w:val="center"/>
        <w:rPr>
          <w:rFonts w:cs="Arial"/>
          <w:b/>
          <w:lang w:val="es-ES_tradnl"/>
        </w:rPr>
      </w:pPr>
    </w:p>
    <w:p w:rsidR="007820DF" w:rsidRPr="007820DF" w:rsidRDefault="007820DF">
      <w:pPr>
        <w:tabs>
          <w:tab w:val="center" w:pos="4253"/>
        </w:tabs>
        <w:suppressAutoHyphens/>
        <w:jc w:val="center"/>
        <w:rPr>
          <w:rFonts w:cs="Arial"/>
          <w:b/>
        </w:rPr>
      </w:pPr>
      <w:r w:rsidRPr="007820DF">
        <w:rPr>
          <w:rFonts w:cs="Arial"/>
          <w:b/>
        </w:rPr>
        <w:t xml:space="preserve">(E. E. Nº </w:t>
      </w:r>
      <w:r>
        <w:rPr>
          <w:b/>
          <w:bCs/>
          <w:lang w:val="es-MX"/>
        </w:rPr>
        <w:t>2017</w:t>
      </w:r>
      <w:r w:rsidRPr="001209BE">
        <w:rPr>
          <w:b/>
          <w:bCs/>
          <w:lang w:val="es-MX"/>
        </w:rPr>
        <w:t>-17-1-000</w:t>
      </w:r>
      <w:r>
        <w:rPr>
          <w:b/>
          <w:bCs/>
          <w:lang w:val="es-MX"/>
        </w:rPr>
        <w:t>1383</w:t>
      </w:r>
      <w:r w:rsidRPr="007820DF">
        <w:rPr>
          <w:rFonts w:cs="Arial"/>
          <w:b/>
        </w:rPr>
        <w:t xml:space="preserve">, </w:t>
      </w:r>
      <w:proofErr w:type="spellStart"/>
      <w:r w:rsidRPr="007820DF">
        <w:rPr>
          <w:rFonts w:cs="Arial"/>
          <w:b/>
        </w:rPr>
        <w:t>Ent</w:t>
      </w:r>
      <w:proofErr w:type="spellEnd"/>
      <w:r w:rsidRPr="007820DF">
        <w:rPr>
          <w:rFonts w:cs="Arial"/>
          <w:b/>
        </w:rPr>
        <w:t xml:space="preserve">. N° </w:t>
      </w:r>
      <w:r w:rsidRPr="00322AB3">
        <w:rPr>
          <w:b/>
          <w:lang w:val="es-MX"/>
        </w:rPr>
        <w:t>4820/17</w:t>
      </w:r>
      <w:r w:rsidRPr="007820DF">
        <w:rPr>
          <w:rFonts w:cs="Arial"/>
          <w:b/>
        </w:rPr>
        <w:t>)</w:t>
      </w:r>
    </w:p>
    <w:p w:rsidR="007820DF" w:rsidRPr="007820DF" w:rsidRDefault="007820DF"/>
    <w:p w:rsidR="00322AB3" w:rsidRDefault="00396CDB" w:rsidP="007820DF">
      <w:pPr>
        <w:spacing w:line="360" w:lineRule="auto"/>
        <w:ind w:firstLine="851"/>
        <w:jc w:val="both"/>
        <w:rPr>
          <w:rFonts w:cs="Arial"/>
          <w:lang w:val="es-MX"/>
        </w:rPr>
      </w:pPr>
      <w:r w:rsidRPr="00771C8E">
        <w:rPr>
          <w:b/>
          <w:bCs/>
          <w:lang w:val="es-MX"/>
        </w:rPr>
        <w:t>VISTO:</w:t>
      </w:r>
      <w:r w:rsidRPr="00771C8E">
        <w:rPr>
          <w:lang w:val="es-MX"/>
        </w:rPr>
        <w:t xml:space="preserve"> las actuaciones remitidas por la Administración de las Obras Sanitarias del Estado, relacionadas con la Licitación Pública </w:t>
      </w:r>
      <w:r w:rsidR="00322AB3">
        <w:rPr>
          <w:lang w:val="es-MX"/>
        </w:rPr>
        <w:t xml:space="preserve">Internacional </w:t>
      </w:r>
      <w:r w:rsidR="007820DF">
        <w:rPr>
          <w:lang w:val="es-MX"/>
        </w:rPr>
        <w:t xml:space="preserve">        </w:t>
      </w:r>
      <w:r>
        <w:rPr>
          <w:rFonts w:cs="Arial"/>
          <w:lang w:val="es-MX"/>
        </w:rPr>
        <w:t>Nº</w:t>
      </w:r>
      <w:r w:rsidR="00322AB3">
        <w:rPr>
          <w:rFonts w:cs="Arial"/>
          <w:lang w:val="es-MX"/>
        </w:rPr>
        <w:t xml:space="preserve"> </w:t>
      </w:r>
      <w:r w:rsidR="00322AB3">
        <w:rPr>
          <w:rFonts w:cs="Arial"/>
          <w:bCs/>
          <w:lang w:val="es-MX"/>
        </w:rPr>
        <w:t>16.560</w:t>
      </w:r>
      <w:r w:rsidR="00322AB3" w:rsidRPr="001209BE">
        <w:rPr>
          <w:rFonts w:cs="Arial"/>
          <w:bCs/>
          <w:lang w:val="es-MX"/>
        </w:rPr>
        <w:t xml:space="preserve"> para</w:t>
      </w:r>
      <w:r w:rsidR="00322AB3">
        <w:rPr>
          <w:rFonts w:cs="Arial"/>
          <w:bCs/>
          <w:lang w:val="es-MX"/>
        </w:rPr>
        <w:t xml:space="preserve"> el suministro de 1500 toneladas de cloro líquido para la planta de Aguas Corrientes; </w:t>
      </w:r>
      <w:r w:rsidR="00322AB3" w:rsidRPr="001209BE">
        <w:rPr>
          <w:rFonts w:cs="Arial"/>
          <w:bCs/>
          <w:lang w:val="es-MX"/>
        </w:rPr>
        <w:t xml:space="preserve"> </w:t>
      </w:r>
    </w:p>
    <w:p w:rsidR="00322AB3" w:rsidRDefault="00396CDB" w:rsidP="007820DF">
      <w:pPr>
        <w:spacing w:line="360" w:lineRule="auto"/>
        <w:ind w:firstLine="851"/>
        <w:jc w:val="both"/>
      </w:pPr>
      <w:r>
        <w:rPr>
          <w:rFonts w:cs="Arial"/>
          <w:b/>
          <w:lang w:val="es-MX"/>
        </w:rPr>
        <w:t xml:space="preserve">RESULTANDO:   1) </w:t>
      </w:r>
      <w:r w:rsidRPr="00771C8E">
        <w:rPr>
          <w:rFonts w:cs="Arial"/>
          <w:lang w:val="es-MX"/>
        </w:rPr>
        <w:t xml:space="preserve">que cumplido el requisito legal de publicidad, con fecha </w:t>
      </w:r>
      <w:r w:rsidR="00322AB3">
        <w:rPr>
          <w:rFonts w:cs="Arial"/>
          <w:lang w:val="es-MX"/>
        </w:rPr>
        <w:t>1°</w:t>
      </w:r>
      <w:r w:rsidR="005B6A6B">
        <w:rPr>
          <w:rFonts w:cs="Arial"/>
          <w:lang w:val="es-MX"/>
        </w:rPr>
        <w:t>/1</w:t>
      </w:r>
      <w:r w:rsidR="00322AB3">
        <w:rPr>
          <w:rFonts w:cs="Arial"/>
          <w:lang w:val="es-MX"/>
        </w:rPr>
        <w:t>2/2016</w:t>
      </w:r>
      <w:r w:rsidRPr="00771C8E">
        <w:rPr>
          <w:rFonts w:cs="Arial"/>
          <w:lang w:val="es-MX"/>
        </w:rPr>
        <w:t xml:space="preserve">, se procedió al acto de apertura de las </w:t>
      </w:r>
      <w:r w:rsidR="00CF5504">
        <w:rPr>
          <w:rFonts w:cs="Arial"/>
          <w:lang w:val="es-MX"/>
        </w:rPr>
        <w:t>propuestas</w:t>
      </w:r>
      <w:r w:rsidRPr="00771C8E">
        <w:rPr>
          <w:rFonts w:cs="Arial"/>
          <w:lang w:val="es-MX"/>
        </w:rPr>
        <w:t xml:space="preserve"> al que se presentaron</w:t>
      </w:r>
      <w:r w:rsidR="00322AB3">
        <w:rPr>
          <w:rFonts w:cs="Arial"/>
          <w:lang w:val="es-MX"/>
        </w:rPr>
        <w:t xml:space="preserve"> dos</w:t>
      </w:r>
      <w:r w:rsidRPr="00771C8E">
        <w:rPr>
          <w:rFonts w:cs="Arial"/>
          <w:lang w:val="es-MX"/>
        </w:rPr>
        <w:t xml:space="preserve"> oferentes:</w:t>
      </w:r>
      <w:r w:rsidRPr="00771C8E">
        <w:t xml:space="preserve"> </w:t>
      </w:r>
      <w:proofErr w:type="spellStart"/>
      <w:r w:rsidR="00322AB3">
        <w:t>Habilis</w:t>
      </w:r>
      <w:proofErr w:type="spellEnd"/>
      <w:r w:rsidR="00322AB3">
        <w:t xml:space="preserve"> SA y </w:t>
      </w:r>
      <w:proofErr w:type="spellStart"/>
      <w:r w:rsidR="00322AB3">
        <w:t>Efice</w:t>
      </w:r>
      <w:proofErr w:type="spellEnd"/>
      <w:r w:rsidR="00322AB3">
        <w:t xml:space="preserve"> SA; </w:t>
      </w:r>
    </w:p>
    <w:p w:rsidR="007820DF" w:rsidRDefault="00322AB3" w:rsidP="007820DF">
      <w:pPr>
        <w:spacing w:line="360" w:lineRule="auto"/>
        <w:ind w:firstLine="2835"/>
        <w:jc w:val="both"/>
        <w:rPr>
          <w:lang w:val="es-MX"/>
        </w:rPr>
      </w:pPr>
      <w:r>
        <w:rPr>
          <w:b/>
        </w:rPr>
        <w:t>2)</w:t>
      </w:r>
      <w:r>
        <w:t xml:space="preserve"> que efectuado </w:t>
      </w:r>
      <w:r>
        <w:rPr>
          <w:lang w:val="es-MX"/>
        </w:rPr>
        <w:t>el estudio jurídico-notarial de las ofertas, se informa que ambos oferentes se encuentran inscriptos en el RUPE, en estado “Activo”, constando en el mismo la acreditación de la personería jurídica de los oferentes y los poderes de los firmantes de las propuestas presentadas</w:t>
      </w:r>
      <w:r w:rsidR="00D36416">
        <w:rPr>
          <w:lang w:val="es-MX"/>
        </w:rPr>
        <w:t>, y que a</w:t>
      </w:r>
      <w:r>
        <w:rPr>
          <w:lang w:val="es-MX"/>
        </w:rPr>
        <w:t>simismo cumplen los requerimientos formales del Pliego de Condiciones Particulares;</w:t>
      </w:r>
    </w:p>
    <w:p w:rsidR="007820DF" w:rsidRDefault="00322AB3" w:rsidP="007820DF">
      <w:pPr>
        <w:spacing w:line="360" w:lineRule="auto"/>
        <w:ind w:firstLine="2835"/>
        <w:jc w:val="both"/>
        <w:rPr>
          <w:lang w:val="es-MX"/>
        </w:rPr>
      </w:pPr>
      <w:r>
        <w:rPr>
          <w:b/>
          <w:lang w:val="es-MX"/>
        </w:rPr>
        <w:t>3)</w:t>
      </w:r>
      <w:r>
        <w:rPr>
          <w:lang w:val="es-MX"/>
        </w:rPr>
        <w:t xml:space="preserve"> que con fecha 14/9/16, se informa que desde el punto de vista contable, ninguna de </w:t>
      </w:r>
      <w:r w:rsidR="00D36416">
        <w:rPr>
          <w:lang w:val="es-MX"/>
        </w:rPr>
        <w:t xml:space="preserve">los oferentes </w:t>
      </w:r>
      <w:r>
        <w:rPr>
          <w:lang w:val="es-MX"/>
        </w:rPr>
        <w:t xml:space="preserve"> presenta apartamientos a lo estipulado en los documentos de licitación</w:t>
      </w:r>
      <w:r w:rsidR="00D36416">
        <w:rPr>
          <w:lang w:val="es-MX"/>
        </w:rPr>
        <w:t xml:space="preserve">, siendo </w:t>
      </w:r>
      <w:r>
        <w:rPr>
          <w:lang w:val="es-MX"/>
        </w:rPr>
        <w:t xml:space="preserve"> el precio comparativo de </w:t>
      </w:r>
      <w:proofErr w:type="spellStart"/>
      <w:r>
        <w:rPr>
          <w:lang w:val="es-MX"/>
        </w:rPr>
        <w:t>Habilis</w:t>
      </w:r>
      <w:proofErr w:type="spellEnd"/>
      <w:r>
        <w:rPr>
          <w:lang w:val="es-MX"/>
        </w:rPr>
        <w:t xml:space="preserve"> SA  de $ 64.411.950,42 y el de </w:t>
      </w:r>
      <w:proofErr w:type="spellStart"/>
      <w:r>
        <w:rPr>
          <w:lang w:val="es-MX"/>
        </w:rPr>
        <w:t>Efice</w:t>
      </w:r>
      <w:proofErr w:type="spellEnd"/>
      <w:r>
        <w:rPr>
          <w:lang w:val="es-MX"/>
        </w:rPr>
        <w:t xml:space="preserve"> SA  de $ 82.800.000. Con fecha 15/12/16</w:t>
      </w:r>
      <w:r w:rsidR="00D36416">
        <w:rPr>
          <w:lang w:val="es-MX"/>
        </w:rPr>
        <w:t>,</w:t>
      </w:r>
      <w:r>
        <w:rPr>
          <w:lang w:val="es-MX"/>
        </w:rPr>
        <w:t xml:space="preserve"> se informa que ambas ofertas </w:t>
      </w:r>
      <w:r w:rsidR="00D36416">
        <w:rPr>
          <w:lang w:val="es-MX"/>
        </w:rPr>
        <w:t>se ajustan a</w:t>
      </w:r>
      <w:r>
        <w:rPr>
          <w:lang w:val="es-MX"/>
        </w:rPr>
        <w:t xml:space="preserve"> las especificaciones técnicas del Pliego de Condiciones Particulares y por tanto son aceptadas técnicamente;</w:t>
      </w:r>
    </w:p>
    <w:p w:rsidR="00322AB3" w:rsidRPr="00322AB3" w:rsidRDefault="00322AB3" w:rsidP="007820DF">
      <w:pPr>
        <w:spacing w:line="360" w:lineRule="auto"/>
        <w:ind w:firstLine="2835"/>
        <w:jc w:val="both"/>
        <w:rPr>
          <w:lang w:val="es-MX"/>
        </w:rPr>
      </w:pPr>
      <w:r>
        <w:rPr>
          <w:b/>
          <w:lang w:val="es-MX"/>
        </w:rPr>
        <w:t xml:space="preserve">4) </w:t>
      </w:r>
      <w:r>
        <w:rPr>
          <w:lang w:val="es-MX"/>
        </w:rPr>
        <w:t>que c</w:t>
      </w:r>
      <w:r>
        <w:rPr>
          <w:bCs/>
          <w:lang w:val="es-MX"/>
        </w:rPr>
        <w:t>on fecha 15/12/16, la Comisión Asesora de Adjudicaciones hace suyo los informes técnicos referidos, expresando que:</w:t>
      </w:r>
    </w:p>
    <w:p w:rsidR="00322AB3" w:rsidRDefault="00322AB3" w:rsidP="00322AB3">
      <w:pPr>
        <w:spacing w:line="360" w:lineRule="auto"/>
        <w:jc w:val="both"/>
        <w:rPr>
          <w:bCs/>
          <w:lang w:val="es-MX"/>
        </w:rPr>
      </w:pPr>
      <w:r w:rsidRPr="00322AB3">
        <w:rPr>
          <w:b/>
          <w:bCs/>
          <w:lang w:val="es-MX"/>
        </w:rPr>
        <w:t>4.1)</w:t>
      </w:r>
      <w:r>
        <w:rPr>
          <w:bCs/>
          <w:lang w:val="es-MX"/>
        </w:rPr>
        <w:t xml:space="preserve"> ambas ofertas resultan válidas y se ajustan sustancialmente a las bases del llamado, conforme lo requerido por el artículo 13.2 del Pliego,</w:t>
      </w:r>
    </w:p>
    <w:p w:rsidR="007820DF" w:rsidRDefault="00322AB3" w:rsidP="00322AB3">
      <w:pPr>
        <w:spacing w:line="360" w:lineRule="auto"/>
        <w:jc w:val="both"/>
        <w:rPr>
          <w:bCs/>
          <w:lang w:val="es-MX"/>
        </w:rPr>
      </w:pPr>
      <w:r w:rsidRPr="00322AB3">
        <w:rPr>
          <w:b/>
          <w:bCs/>
          <w:lang w:val="es-MX"/>
        </w:rPr>
        <w:t>4.2)</w:t>
      </w:r>
      <w:r>
        <w:rPr>
          <w:bCs/>
          <w:lang w:val="es-MX"/>
        </w:rPr>
        <w:t xml:space="preserve"> conforme lo dispuesto por el artículo 13.3 del Pliego, que preceptúa que la adjudicación recaerá en la oferta que cotice el menor precio, dentro de las </w:t>
      </w:r>
      <w:r>
        <w:rPr>
          <w:bCs/>
          <w:lang w:val="es-MX"/>
        </w:rPr>
        <w:lastRenderedPageBreak/>
        <w:t xml:space="preserve">ofertas válidas, se procedió a la evaluación económica, de la que surge que </w:t>
      </w:r>
      <w:proofErr w:type="spellStart"/>
      <w:r>
        <w:rPr>
          <w:bCs/>
          <w:lang w:val="es-MX"/>
        </w:rPr>
        <w:t>Habilis</w:t>
      </w:r>
      <w:proofErr w:type="spellEnd"/>
      <w:r>
        <w:rPr>
          <w:bCs/>
          <w:lang w:val="es-MX"/>
        </w:rPr>
        <w:t xml:space="preserve"> SA es la oferta de menor precio total de comparación, por lo que se propone la adjudicación a dicha firma por un total de U$S 2:708.436 (IVA incluido);</w:t>
      </w:r>
    </w:p>
    <w:p w:rsidR="007820DF" w:rsidRDefault="00322AB3" w:rsidP="007820DF">
      <w:pPr>
        <w:spacing w:line="360" w:lineRule="auto"/>
        <w:ind w:firstLine="2694"/>
        <w:jc w:val="both"/>
      </w:pPr>
      <w:r>
        <w:rPr>
          <w:b/>
          <w:bCs/>
          <w:lang w:val="es-MX"/>
        </w:rPr>
        <w:t xml:space="preserve">5) </w:t>
      </w:r>
      <w:r>
        <w:rPr>
          <w:bCs/>
          <w:lang w:val="es-MX"/>
        </w:rPr>
        <w:t xml:space="preserve">que por Resolución </w:t>
      </w:r>
      <w:r>
        <w:t>Nº 158/17 de fecha</w:t>
      </w:r>
      <w:r w:rsidR="00B573D0">
        <w:t xml:space="preserve"> </w:t>
      </w:r>
      <w:r>
        <w:t>8/2/17, el Directorio dispuso la adjudicación en la forma propuesta, expresando que la contratación queda supeditada a la intervención preventiva que compete a este Tribunal;</w:t>
      </w:r>
    </w:p>
    <w:p w:rsidR="007820DF" w:rsidRDefault="00322AB3" w:rsidP="007820DF">
      <w:pPr>
        <w:spacing w:line="360" w:lineRule="auto"/>
        <w:ind w:firstLine="2694"/>
        <w:jc w:val="both"/>
      </w:pPr>
      <w:r>
        <w:rPr>
          <w:b/>
        </w:rPr>
        <w:t xml:space="preserve">6) </w:t>
      </w:r>
      <w:r>
        <w:t>que con fecha 7/3/17, s</w:t>
      </w:r>
      <w:r w:rsidRPr="00434F58">
        <w:t>e imput</w:t>
      </w:r>
      <w:r>
        <w:t>ó el monto</w:t>
      </w:r>
      <w:r w:rsidRPr="00434F58">
        <w:t xml:space="preserve"> de </w:t>
      </w:r>
      <w:r w:rsidR="007820DF">
        <w:t xml:space="preserve">          </w:t>
      </w:r>
      <w:r w:rsidRPr="00434F58">
        <w:t xml:space="preserve">$ </w:t>
      </w:r>
      <w:r>
        <w:t>4</w:t>
      </w:r>
      <w:r w:rsidRPr="00434F58">
        <w:t>1:</w:t>
      </w:r>
      <w:r>
        <w:t>815.005</w:t>
      </w:r>
      <w:r w:rsidRPr="00434F58">
        <w:t xml:space="preserve"> más IVA</w:t>
      </w:r>
      <w:r>
        <w:t xml:space="preserve">, monto a ser ejecutado en el </w:t>
      </w:r>
      <w:r w:rsidR="00D36416">
        <w:t>e</w:t>
      </w:r>
      <w:r>
        <w:t>jercicio 2017,</w:t>
      </w:r>
      <w:r w:rsidRPr="00434F58">
        <w:t xml:space="preserve"> </w:t>
      </w:r>
      <w:r w:rsidRPr="00AC4AFC">
        <w:t xml:space="preserve">con cargo al Objeto </w:t>
      </w:r>
      <w:r>
        <w:t>159</w:t>
      </w:r>
      <w:r w:rsidRPr="00AC4AFC">
        <w:t>,</w:t>
      </w:r>
      <w:r>
        <w:t xml:space="preserve"> del Presupuesto de Compras 2016</w:t>
      </w:r>
      <w:r w:rsidRPr="00AC4AFC">
        <w:t xml:space="preserve"> (vigente por prórroga automática), </w:t>
      </w:r>
      <w:r w:rsidRPr="00EC296D">
        <w:t>sin disponibilidad suficiente</w:t>
      </w:r>
      <w:r w:rsidR="00EC296D">
        <w:t>;</w:t>
      </w:r>
    </w:p>
    <w:p w:rsidR="00EC296D" w:rsidRPr="007820DF" w:rsidRDefault="00EC296D" w:rsidP="007820DF">
      <w:pPr>
        <w:spacing w:line="360" w:lineRule="auto"/>
        <w:ind w:firstLine="2694"/>
        <w:jc w:val="both"/>
        <w:rPr>
          <w:bCs/>
          <w:lang w:val="es-MX"/>
        </w:rPr>
      </w:pPr>
      <w:r>
        <w:rPr>
          <w:b/>
        </w:rPr>
        <w:t>7)</w:t>
      </w:r>
      <w:r>
        <w:t xml:space="preserve"> que notificado el acto administrativo que dispuso la adjudicación, </w:t>
      </w:r>
      <w:proofErr w:type="spellStart"/>
      <w:r>
        <w:t>Efice</w:t>
      </w:r>
      <w:proofErr w:type="spellEnd"/>
      <w:r>
        <w:t xml:space="preserve"> SA interpuso recursos de revocación y de anulación en subsidio para ante el Poder Ejecutivo contra el mismo. En lo sustancial, el recurrente se agravia alegando que:</w:t>
      </w:r>
    </w:p>
    <w:p w:rsidR="00EC296D" w:rsidRDefault="00EC296D" w:rsidP="00EC296D">
      <w:pPr>
        <w:pStyle w:val="Textoindependiente"/>
      </w:pPr>
      <w:r w:rsidRPr="00EC296D">
        <w:rPr>
          <w:b/>
        </w:rPr>
        <w:t>7.1)</w:t>
      </w:r>
      <w:r>
        <w:t xml:space="preserve"> se omitió la vista previa a la adjudicación, la que resultaba de precepto atento a lo establecido en el artículo 67 del TOCAF, </w:t>
      </w:r>
    </w:p>
    <w:p w:rsidR="00EC296D" w:rsidRDefault="00EC296D" w:rsidP="00EC296D">
      <w:pPr>
        <w:pStyle w:val="Textoindependiente"/>
      </w:pPr>
      <w:r w:rsidRPr="00EC296D">
        <w:rPr>
          <w:b/>
        </w:rPr>
        <w:t xml:space="preserve">7.2) </w:t>
      </w:r>
      <w:r>
        <w:t xml:space="preserve">la oferta de la adjudicataria no </w:t>
      </w:r>
      <w:r w:rsidR="00D36416">
        <w:t xml:space="preserve">se ajusta a </w:t>
      </w:r>
      <w:r>
        <w:t xml:space="preserve"> alguna de las estipulaciones del Pliego de Condiciones (antecedentes del proveedor y del fabricante). El segundo de los contratos ofrecidos por la adjudicataria para acreditar la experiencia como proveedor principal en por lo menos dos contratos en los últimos 10 años anteriores a la fecha de apertura de la licitación, cada uno por un valor mayor o igual a U$S 1:500.000, no logra probar el monto definido en el Pliego y apela a unir dos suministros, es decir dos contratos (P44.006 y P45.850) que son sumados para que el monto alcance el valor solicitado en el Pliego</w:t>
      </w:r>
      <w:r w:rsidR="00DE5BDF">
        <w:t>;</w:t>
      </w:r>
    </w:p>
    <w:p w:rsidR="00DE5BDF" w:rsidRDefault="00EC296D" w:rsidP="00EC296D">
      <w:pPr>
        <w:pStyle w:val="Textoindependiente"/>
      </w:pPr>
      <w:r w:rsidRPr="00EC296D">
        <w:rPr>
          <w:b/>
        </w:rPr>
        <w:t>7.3)</w:t>
      </w:r>
      <w:r>
        <w:t xml:space="preserve"> en cuanto a los antecedentes relacionados con contratos de bienes similares al ofertado, el adjudicatario presentó en su oferta dos “ejemplos” que solo aparentemente estarían cumpliendo con la exigencia requerida. </w:t>
      </w:r>
    </w:p>
    <w:p w:rsidR="00DE5BDF" w:rsidRDefault="00EC296D" w:rsidP="00EC296D">
      <w:pPr>
        <w:pStyle w:val="Textoindependiente"/>
      </w:pPr>
      <w:r w:rsidRPr="00EC296D">
        <w:rPr>
          <w:b/>
        </w:rPr>
        <w:lastRenderedPageBreak/>
        <w:t>7.4)</w:t>
      </w:r>
      <w:r>
        <w:t xml:space="preserve"> con referencia a la autorización del fabricante y acreditación de su capacidad de producción a efectos de contar con el suministro necesario, la carta presentada por </w:t>
      </w:r>
      <w:proofErr w:type="spellStart"/>
      <w:r>
        <w:t>Habilis</w:t>
      </w:r>
      <w:proofErr w:type="spellEnd"/>
      <w:r>
        <w:t xml:space="preserve"> SA autoriza a ofertar únicamente la cantidad “base” del llamado, esto es, 1500 toneladas de cloro líquido, pero no autoriza a contemplar el aumento de la prestación</w:t>
      </w:r>
      <w:r w:rsidR="00DE5BDF">
        <w:t>;</w:t>
      </w:r>
    </w:p>
    <w:p w:rsidR="007820DF" w:rsidRDefault="00DE5BDF" w:rsidP="00EC296D">
      <w:pPr>
        <w:pStyle w:val="Textoindependiente"/>
      </w:pPr>
      <w:r w:rsidRPr="00EC296D">
        <w:rPr>
          <w:b/>
        </w:rPr>
        <w:t xml:space="preserve"> </w:t>
      </w:r>
      <w:r w:rsidR="00EC296D" w:rsidRPr="00EC296D">
        <w:rPr>
          <w:b/>
        </w:rPr>
        <w:t xml:space="preserve">7.5) </w:t>
      </w:r>
      <w:r w:rsidR="00EC296D">
        <w:t xml:space="preserve">asimismo, las bases del llamado exigen que el oferente debe acreditar y acompañar carta firmada del fabricante autorizando al oferente a presentar la oferta por el suministro licitado en la cantidad, características y plazo ofertados, siendo que </w:t>
      </w:r>
      <w:proofErr w:type="spellStart"/>
      <w:r w:rsidR="00EC296D">
        <w:t>Habilis</w:t>
      </w:r>
      <w:proofErr w:type="spellEnd"/>
      <w:r w:rsidR="00EC296D">
        <w:t xml:space="preserve"> SA presenta una carta firmada por quien no es el fabricante del producto licitado. La carta está firmada por el Director de ventas internacionales de una firma estadounidense, </w:t>
      </w:r>
      <w:proofErr w:type="spellStart"/>
      <w:r w:rsidR="00EC296D">
        <w:t>Allied</w:t>
      </w:r>
      <w:proofErr w:type="spellEnd"/>
      <w:r w:rsidR="00EC296D">
        <w:t xml:space="preserve"> Universal </w:t>
      </w:r>
      <w:proofErr w:type="spellStart"/>
      <w:r w:rsidR="00EC296D">
        <w:t>Corporation</w:t>
      </w:r>
      <w:proofErr w:type="spellEnd"/>
      <w:r w:rsidR="00EC296D">
        <w:t xml:space="preserve">, y en la misma certifica que el cloro que ofrece se encuentra empaquetado por </w:t>
      </w:r>
      <w:proofErr w:type="spellStart"/>
      <w:r w:rsidR="00EC296D">
        <w:t>Allied</w:t>
      </w:r>
      <w:proofErr w:type="spellEnd"/>
      <w:r w:rsidR="00EC296D">
        <w:t xml:space="preserve">. Quien fabrica el producto es la firma </w:t>
      </w:r>
      <w:proofErr w:type="spellStart"/>
      <w:r w:rsidR="00EC296D">
        <w:t>Olin</w:t>
      </w:r>
      <w:proofErr w:type="spellEnd"/>
      <w:r w:rsidR="00EC296D">
        <w:t xml:space="preserve"> </w:t>
      </w:r>
      <w:proofErr w:type="spellStart"/>
      <w:r w:rsidR="00EC296D">
        <w:t>Corporation</w:t>
      </w:r>
      <w:proofErr w:type="spellEnd"/>
      <w:r w:rsidR="00EC296D">
        <w:t>, que no emitió ninguna carta en los términos exigidos por las bases del llamado y por tanto no asumió ninguna responsabilidad en relación a la calidad del producto;</w:t>
      </w:r>
    </w:p>
    <w:p w:rsidR="00EC296D" w:rsidRDefault="00EC296D" w:rsidP="007820DF">
      <w:pPr>
        <w:pStyle w:val="Textoindependiente"/>
        <w:ind w:firstLine="2835"/>
      </w:pPr>
      <w:r>
        <w:rPr>
          <w:b/>
        </w:rPr>
        <w:t>8)</w:t>
      </w:r>
      <w:r>
        <w:t xml:space="preserve"> que con fecha 17/3/17, la Comisión Asesora de Adjudicaciones informa que:</w:t>
      </w:r>
    </w:p>
    <w:p w:rsidR="00DE5BDF" w:rsidRDefault="00EC296D" w:rsidP="00EC296D">
      <w:pPr>
        <w:pStyle w:val="Textoindependiente"/>
      </w:pPr>
      <w:r w:rsidRPr="00EC296D">
        <w:rPr>
          <w:b/>
        </w:rPr>
        <w:t>8.1)</w:t>
      </w:r>
      <w:r>
        <w:t xml:space="preserve"> </w:t>
      </w:r>
      <w:proofErr w:type="gramStart"/>
      <w:r>
        <w:t>en</w:t>
      </w:r>
      <w:proofErr w:type="gramEnd"/>
      <w:r>
        <w:t xml:space="preserve"> relación a la omisión de vista previa (artículo 67 del TOCAF), el accionante incurre en un doble error: a) desconoce el carácter de Servicio Descentralizado de OSE (art. 1° de la Ley 11.907), b) desconoce que el valor de referencia para la obligatoriedad de la vista preceptiva, que conforme lo indica el artículo 67 del TOCAF es el “cuádruple del monto máximo para licitación abreviada correspondiente al organismo”. El recurrente sustenta su afirmación en un cálculo equivocado, cuadriplicando los valores previstos por el artículo 33 del TOCAF, cuando este debe hacerse sobre los valores correspondientes a la ampliación de esos montos, que resulta del artículo 44 del TOCAF, para Entes Autónomos y Servicios Descentralizados del dominio industrial y comercial del Estado. Considerando esta disposición, el monto que determina la obligatoriedad de la puesta de manifiesto de las actuaciones ascendía a la fecha de la propuesta de adjudicación a </w:t>
      </w:r>
      <w:r w:rsidRPr="009F4BB1">
        <w:t>$ 180:002.028.</w:t>
      </w:r>
      <w:r>
        <w:t xml:space="preserve"> </w:t>
      </w:r>
    </w:p>
    <w:p w:rsidR="00EC296D" w:rsidRDefault="00EC296D" w:rsidP="00EC296D">
      <w:pPr>
        <w:pStyle w:val="Textoindependiente"/>
      </w:pPr>
      <w:r w:rsidRPr="00EC296D">
        <w:rPr>
          <w:b/>
        </w:rPr>
        <w:t>8.2)</w:t>
      </w:r>
      <w:r>
        <w:t xml:space="preserve"> en relación con los contratos anteriores exigidos al proveedor, el recurrente omite referir al hecho de que la adjudicataria presenta tres contratos por dicho monto, y si el segundo no cumpliera con el requisito, que a juicio de la Comisión sí lo hace, en función del objeto, modalidad y especialidad de contratos incluidos en el segundo caso (como lo son un llamado más una compra directa por excepción), bastan los otros dos contratos indicados y acreditados documentalmente (primero y tercero) para cumplir con el requisito referido, respecto de los cuales también se acredita la recepción y conformidad, como puede verificarse en su oferta,</w:t>
      </w:r>
    </w:p>
    <w:p w:rsidR="00DE5BDF" w:rsidRDefault="00EC296D" w:rsidP="00EC296D">
      <w:pPr>
        <w:pStyle w:val="Textoindependiente"/>
      </w:pPr>
      <w:r w:rsidRPr="00EC296D">
        <w:rPr>
          <w:b/>
        </w:rPr>
        <w:t>8.3)</w:t>
      </w:r>
      <w:r>
        <w:t xml:space="preserve"> en cuanto a los antecedentes relacionados con contratos de bienes similares al ofertado, sin perjuicio de que no es la oportunidad procedimental correcta para analizar las argumentaciones y documentación presentada, la firma </w:t>
      </w:r>
      <w:proofErr w:type="spellStart"/>
      <w:r>
        <w:t>Habilis</w:t>
      </w:r>
      <w:proofErr w:type="spellEnd"/>
      <w:r>
        <w:t xml:space="preserve"> SA incluyó el formulario correspondiente (Anexo VII – Experiencia particular del proveedor), conforme exige el Pliego, y lo acreditó documentalmente mediante solicitud y carta del </w:t>
      </w:r>
      <w:proofErr w:type="spellStart"/>
      <w:r>
        <w:t>cocontratante</w:t>
      </w:r>
      <w:proofErr w:type="spellEnd"/>
      <w:r>
        <w:t xml:space="preserve">, la conformidad con el suministro efectuado. Esa documentación, en esa etapa del procedimiento, hace fe salvo prueba en contrario, en idéntica situación que la documentación presentada por la empresa recurrente, </w:t>
      </w:r>
      <w:proofErr w:type="spellStart"/>
      <w:r>
        <w:t>Efice</w:t>
      </w:r>
      <w:proofErr w:type="spellEnd"/>
      <w:r>
        <w:t xml:space="preserve"> SA, para acreditar el mismo punto. La evaluación de la documentación presentada por los oferentes, en todos los casos, se realiza en función de los principios consagrados en el artículo 149 del TOCAF, en particular el principio de veracidad salvo prueba en contrario, máxime tratándose de una licitación pública internacional en las que normalmente se presenta documentación generada en el exterior. </w:t>
      </w:r>
    </w:p>
    <w:p w:rsidR="00EC296D" w:rsidRDefault="00EC296D" w:rsidP="00EC296D">
      <w:pPr>
        <w:pStyle w:val="Textoindependiente"/>
      </w:pPr>
      <w:r w:rsidRPr="00EC296D">
        <w:rPr>
          <w:b/>
        </w:rPr>
        <w:t>8.</w:t>
      </w:r>
      <w:r w:rsidR="00DE5BDF">
        <w:rPr>
          <w:b/>
        </w:rPr>
        <w:t>4</w:t>
      </w:r>
      <w:r w:rsidRPr="00EC296D">
        <w:rPr>
          <w:b/>
        </w:rPr>
        <w:t>)</w:t>
      </w:r>
      <w:r>
        <w:t xml:space="preserve"> con referencia a la autorización del fabricante y acreditación de su capacidad de producción a efectos de contar con el suministro necesario, </w:t>
      </w:r>
      <w:r w:rsidR="00DE5BDF">
        <w:t>l</w:t>
      </w:r>
      <w:r>
        <w:t>os oferentes cumplen con acreditar la autorización para presentar oferta por el suministro licitado en la cantidad, características y plazo ofertados, esto es, los que resultan de la descripción del objeto del llamado,</w:t>
      </w:r>
    </w:p>
    <w:p w:rsidR="00EC296D" w:rsidRDefault="00EC296D" w:rsidP="00EC296D">
      <w:pPr>
        <w:pStyle w:val="Textoindependiente"/>
      </w:pPr>
      <w:r w:rsidRPr="00EC296D">
        <w:rPr>
          <w:b/>
        </w:rPr>
        <w:t>8.</w:t>
      </w:r>
      <w:r w:rsidR="00DE5BDF">
        <w:rPr>
          <w:b/>
        </w:rPr>
        <w:t>5</w:t>
      </w:r>
      <w:r w:rsidRPr="00EC296D">
        <w:rPr>
          <w:b/>
        </w:rPr>
        <w:t>)</w:t>
      </w:r>
      <w:r>
        <w:t xml:space="preserve"> con relación al cuestionamiento de la condición de fabricante del proveedor debe tenerse presente que el objeto de la licitación es la adquisición de un bien en una cantidad, calidad y presentación inequívocamente definidas en los documentos licitatorios. El espíritu de la disposición cuyo cumplimiento se cuestiona (artículo 9.1 a) II) 4), es asegurar que el fabricante (el que provee al oferente del objeto ofrecido) está en conocimiento del compromiso que asume el oferente respecto a las condiciones de calidad, cantidad y presentación fijadas. En el caso de la oferta de </w:t>
      </w:r>
      <w:proofErr w:type="spellStart"/>
      <w:r>
        <w:t>Habilis</w:t>
      </w:r>
      <w:proofErr w:type="spellEnd"/>
      <w:r>
        <w:t xml:space="preserve"> SA, esa garantía sólo podría ser dada válidamente por quien le proveería el objeto licitado, puesto que es con quien el adjudicatario tiene el vínculo comercial que le posibilita la provisión del mismo en las condiciones que establece el pliego. Por tanto a efectos de lo exigido por las bases del llamado, la documentación aportada por </w:t>
      </w:r>
      <w:proofErr w:type="spellStart"/>
      <w:r>
        <w:t>Habilis</w:t>
      </w:r>
      <w:proofErr w:type="spellEnd"/>
      <w:r>
        <w:t xml:space="preserve"> SA da inequívoco cumplimiento a dicho requerimiento, por todo lo expuesto la Comisión entiende que los fundamentos de los recursos presentados deben ser desestimados;</w:t>
      </w:r>
    </w:p>
    <w:p w:rsidR="00EC296D" w:rsidRDefault="00EC296D" w:rsidP="00EC296D">
      <w:pPr>
        <w:pStyle w:val="Textoindependiente"/>
      </w:pPr>
      <w:r>
        <w:tab/>
      </w:r>
      <w:r>
        <w:tab/>
      </w:r>
      <w:r>
        <w:tab/>
      </w:r>
      <w:r>
        <w:rPr>
          <w:b/>
        </w:rPr>
        <w:t>9)</w:t>
      </w:r>
      <w:r>
        <w:t xml:space="preserve"> que con fecha 29/3/17, la Asesoría Letrada del Organismo, luego de analizados los recursos interpuestos y el informe efectuado por la Comisión Asesora de Adjudicaciones, el que hace suyo, expresa que no se comparten los fundamentos de la pretensión recursiva;</w:t>
      </w:r>
    </w:p>
    <w:p w:rsidR="00EC296D" w:rsidRDefault="00EC296D" w:rsidP="00EC296D">
      <w:pPr>
        <w:pStyle w:val="Textoindependiente"/>
      </w:pPr>
      <w:r>
        <w:tab/>
      </w:r>
      <w:r>
        <w:tab/>
      </w:r>
      <w:r>
        <w:tab/>
      </w:r>
      <w:r>
        <w:rPr>
          <w:b/>
        </w:rPr>
        <w:t>10)</w:t>
      </w:r>
      <w:r>
        <w:t xml:space="preserve"> que tanto el adjudicatario como el recurrente fueron notificados del informe de la Asesoría Letrada proponiendo la desestimación de los recursos interpuestos. Con fecha 30/5/17, el recurrente evac</w:t>
      </w:r>
      <w:r w:rsidR="00DE5BDF">
        <w:t>ú</w:t>
      </w:r>
      <w:r>
        <w:t>a la vista conferida, ratificando los recursos interpuestos con fecha 23/2/17;</w:t>
      </w:r>
    </w:p>
    <w:p w:rsidR="00EC296D" w:rsidRDefault="00EC296D" w:rsidP="00EC296D">
      <w:pPr>
        <w:pStyle w:val="Textoindependiente"/>
      </w:pPr>
      <w:r>
        <w:tab/>
      </w:r>
      <w:r>
        <w:tab/>
      </w:r>
      <w:r>
        <w:tab/>
      </w:r>
      <w:r>
        <w:rPr>
          <w:b/>
        </w:rPr>
        <w:t>11)</w:t>
      </w:r>
      <w:r>
        <w:t xml:space="preserve"> que por Resolución N° 802/17 de fecha 5/7/17, en base a lo informado por la Gerencia Jurídico Notarial, el Directorio dispuso no hacer lugar al recurso de revocación interpuesto por </w:t>
      </w:r>
      <w:proofErr w:type="spellStart"/>
      <w:r>
        <w:t>Efice</w:t>
      </w:r>
      <w:proofErr w:type="spellEnd"/>
      <w:r>
        <w:t xml:space="preserve"> SA, franqueándose el recurso de anulación para ante el Poder Ejecutivo, expresando que </w:t>
      </w:r>
      <w:r w:rsidR="00DE5BDF">
        <w:t>e</w:t>
      </w:r>
      <w:r>
        <w:t>l actuar de la Administración resultó ajustado a derecho, en tanto en la instancia no resultaba preceptiva la alegada vista, por cuanto la adjudicación no superaba, teniendo presente la naturaleza de servicio descentralizado de la Administración, el monto a que refiere el artículo 67 del TOCAF, no advirtiéndose tampoco que la oferta a la postre adjudica</w:t>
      </w:r>
      <w:r w:rsidR="00DE5BDF">
        <w:t>taria</w:t>
      </w:r>
      <w:r>
        <w:t>, contraviniera precepto alguno del Pliego de Condiciones que rigió la licitación;</w:t>
      </w:r>
    </w:p>
    <w:p w:rsidR="00EC296D" w:rsidRDefault="00EC296D" w:rsidP="00EC296D">
      <w:pPr>
        <w:pStyle w:val="Textoindependiente"/>
      </w:pPr>
      <w:r>
        <w:tab/>
      </w:r>
      <w:r>
        <w:tab/>
      </w:r>
      <w:r>
        <w:tab/>
      </w:r>
      <w:r>
        <w:rPr>
          <w:b/>
        </w:rPr>
        <w:t>12)</w:t>
      </w:r>
      <w:r>
        <w:t xml:space="preserve"> que por Resolución N° 971/17 de fecha 2/8/17, el Directorio dispuso levantar el efecto suspensivo derivado de la interposición de los referidos recursos, a efectos de no afectar inaplazables necesidades del servicio y evitar graves perjuicios al Organismo; </w:t>
      </w:r>
    </w:p>
    <w:p w:rsidR="007820DF" w:rsidRDefault="00396CDB" w:rsidP="007820DF">
      <w:pPr>
        <w:pStyle w:val="Textoindependiente"/>
        <w:ind w:firstLine="851"/>
      </w:pPr>
      <w:r>
        <w:rPr>
          <w:b/>
        </w:rPr>
        <w:t>CONSIDERANDO: 1)</w:t>
      </w:r>
      <w:r>
        <w:t xml:space="preserve"> </w:t>
      </w:r>
      <w:r w:rsidR="00A21A30">
        <w:t xml:space="preserve">que el </w:t>
      </w:r>
      <w:r w:rsidR="009F376F">
        <w:t>levantamiento por parte de la Administración del efecto suspensivo derivado de la interposición de recursos administrativos, habilita a este Tribunal a pronunciarse respecto a la legalidad del gasto;</w:t>
      </w:r>
    </w:p>
    <w:p w:rsidR="007820DF" w:rsidRDefault="00396CDB" w:rsidP="007820DF">
      <w:pPr>
        <w:pStyle w:val="Textoindependiente"/>
        <w:ind w:firstLine="3119"/>
      </w:pPr>
      <w:r>
        <w:rPr>
          <w:b/>
        </w:rPr>
        <w:t>2</w:t>
      </w:r>
      <w:r w:rsidR="00D36416">
        <w:rPr>
          <w:b/>
        </w:rPr>
        <w:t>)</w:t>
      </w:r>
      <w:r w:rsidR="009F376F">
        <w:rPr>
          <w:b/>
        </w:rPr>
        <w:t xml:space="preserve"> </w:t>
      </w:r>
      <w:r w:rsidR="009F376F">
        <w:t>que en relación a los recursos interpuestos, no asiste razón a la recurrente en cuanto conforme con el monto propuesto para la adjudicación no resulta</w:t>
      </w:r>
      <w:r w:rsidR="00E66AC3">
        <w:t>ba</w:t>
      </w:r>
      <w:r w:rsidR="009F376F">
        <w:t xml:space="preserve"> preceptiva la vista del dictamen de la Comisión Asesora de Adjudicaciones (artículo 67 del TOCAF) por los fundamentos expresados por la Administración;</w:t>
      </w:r>
    </w:p>
    <w:p w:rsidR="007820DF" w:rsidRDefault="00D36416" w:rsidP="007820DF">
      <w:pPr>
        <w:pStyle w:val="Textoindependiente"/>
        <w:ind w:firstLine="3119"/>
      </w:pPr>
      <w:r w:rsidRPr="007820DF">
        <w:rPr>
          <w:b/>
        </w:rPr>
        <w:t>3</w:t>
      </w:r>
      <w:r w:rsidR="009F376F" w:rsidRPr="007820DF">
        <w:rPr>
          <w:b/>
        </w:rPr>
        <w:t>)</w:t>
      </w:r>
      <w:r w:rsidR="009F376F">
        <w:rPr>
          <w:b/>
        </w:rPr>
        <w:t xml:space="preserve"> </w:t>
      </w:r>
      <w:r w:rsidR="009F376F">
        <w:t xml:space="preserve">que </w:t>
      </w:r>
      <w:proofErr w:type="spellStart"/>
      <w:r w:rsidR="00E66AC3">
        <w:t>Habilis</w:t>
      </w:r>
      <w:proofErr w:type="spellEnd"/>
      <w:r w:rsidR="00E66AC3">
        <w:t xml:space="preserve"> SA dio cumplimiento a las</w:t>
      </w:r>
      <w:r w:rsidR="009F376F">
        <w:t xml:space="preserve"> disposiciones del Pliego de Condiciones Particulares</w:t>
      </w:r>
      <w:r w:rsidR="00E66AC3">
        <w:t xml:space="preserve"> en lo referente a la acreditación de sus antecedentes como proveedor</w:t>
      </w:r>
      <w:r w:rsidR="009C6F30">
        <w:t>;</w:t>
      </w:r>
      <w:r w:rsidR="00E66AC3">
        <w:t xml:space="preserve"> </w:t>
      </w:r>
    </w:p>
    <w:p w:rsidR="007820DF" w:rsidRDefault="00D36416" w:rsidP="007820DF">
      <w:pPr>
        <w:pStyle w:val="Textoindependiente"/>
        <w:ind w:firstLine="3119"/>
      </w:pPr>
      <w:r w:rsidRPr="007820DF">
        <w:rPr>
          <w:b/>
        </w:rPr>
        <w:t>4</w:t>
      </w:r>
      <w:r w:rsidR="00E66AC3" w:rsidRPr="007820DF">
        <w:rPr>
          <w:b/>
        </w:rPr>
        <w:t>)</w:t>
      </w:r>
      <w:r w:rsidR="00E66AC3">
        <w:t xml:space="preserve"> </w:t>
      </w:r>
      <w:proofErr w:type="gramStart"/>
      <w:r w:rsidR="00E66AC3">
        <w:t>que</w:t>
      </w:r>
      <w:proofErr w:type="gramEnd"/>
      <w:r w:rsidR="00E66AC3">
        <w:t xml:space="preserve"> en relación al cuestionamiento de la condición de fabricante</w:t>
      </w:r>
      <w:r w:rsidR="00B573D0">
        <w:t xml:space="preserve"> de </w:t>
      </w:r>
      <w:proofErr w:type="spellStart"/>
      <w:r w:rsidR="00B573D0">
        <w:t>Allied</w:t>
      </w:r>
      <w:proofErr w:type="spellEnd"/>
      <w:r w:rsidR="00B573D0">
        <w:t xml:space="preserve"> Universal </w:t>
      </w:r>
      <w:proofErr w:type="spellStart"/>
      <w:r w:rsidR="00B573D0">
        <w:t>Corporation</w:t>
      </w:r>
      <w:proofErr w:type="spellEnd"/>
      <w:r w:rsidR="00426E49">
        <w:t xml:space="preserve"> </w:t>
      </w:r>
      <w:r w:rsidR="00E66AC3">
        <w:t xml:space="preserve">presentado por el oferente, </w:t>
      </w:r>
      <w:r w:rsidR="00413A1F">
        <w:t xml:space="preserve">siendo que en el caso </w:t>
      </w:r>
      <w:proofErr w:type="spellStart"/>
      <w:r w:rsidR="00413A1F">
        <w:t>Habilis</w:t>
      </w:r>
      <w:proofErr w:type="spellEnd"/>
      <w:r w:rsidR="00413A1F">
        <w:t xml:space="preserve"> SA no es el fabricante del producto, las exigencias de  cantidad, calidad y presentación del objeto de la licitación (artículo 9.1 a) II) 4 del pliego),</w:t>
      </w:r>
      <w:r w:rsidR="00426E49" w:rsidRPr="00426E49">
        <w:t xml:space="preserve"> </w:t>
      </w:r>
      <w:r w:rsidR="00426E49">
        <w:t xml:space="preserve">sólo pueden ser aseguradas por quien </w:t>
      </w:r>
      <w:r w:rsidR="00413A1F">
        <w:t xml:space="preserve">provee al oferente del </w:t>
      </w:r>
      <w:r w:rsidR="00426E49">
        <w:t>objeto ofrecido</w:t>
      </w:r>
      <w:r w:rsidR="009C6F30">
        <w:t xml:space="preserve"> </w:t>
      </w:r>
      <w:r w:rsidR="00426E49">
        <w:t xml:space="preserve">. Asimismo, como surge de la documentación presentada por </w:t>
      </w:r>
      <w:proofErr w:type="spellStart"/>
      <w:r w:rsidR="00426E49">
        <w:t>Habilis</w:t>
      </w:r>
      <w:proofErr w:type="spellEnd"/>
      <w:r w:rsidR="00426E49">
        <w:t xml:space="preserve"> SA, </w:t>
      </w:r>
      <w:r w:rsidR="00413A1F">
        <w:t xml:space="preserve">la Organización de Certificación Internacional NSF otorga a </w:t>
      </w:r>
      <w:proofErr w:type="spellStart"/>
      <w:r w:rsidR="00413A1F">
        <w:t>Allied</w:t>
      </w:r>
      <w:proofErr w:type="spellEnd"/>
      <w:r w:rsidR="00413A1F">
        <w:t xml:space="preserve"> Universal </w:t>
      </w:r>
      <w:proofErr w:type="spellStart"/>
      <w:r w:rsidR="00413A1F">
        <w:t>Corporation</w:t>
      </w:r>
      <w:proofErr w:type="spellEnd"/>
      <w:r w:rsidR="00413A1F">
        <w:t xml:space="preserve"> la certi</w:t>
      </w:r>
      <w:r w:rsidR="00325FF7">
        <w:t>ficación del producto ofrecido;</w:t>
      </w:r>
    </w:p>
    <w:p w:rsidR="00396CDB" w:rsidRDefault="00D36416" w:rsidP="007820DF">
      <w:pPr>
        <w:pStyle w:val="Textoindependiente"/>
        <w:ind w:firstLine="3119"/>
      </w:pPr>
      <w:r w:rsidRPr="007820DF">
        <w:rPr>
          <w:b/>
        </w:rPr>
        <w:t>5</w:t>
      </w:r>
      <w:r w:rsidR="00210083" w:rsidRPr="007820DF">
        <w:rPr>
          <w:b/>
        </w:rPr>
        <w:t>)</w:t>
      </w:r>
      <w:r w:rsidR="00210083">
        <w:t xml:space="preserve"> </w:t>
      </w:r>
      <w:r w:rsidR="00396CDB">
        <w:t>que se contravino lo dispuesto por el artículo 15 del TOCAF, al comprometer</w:t>
      </w:r>
      <w:r>
        <w:t>se</w:t>
      </w:r>
      <w:r w:rsidR="00396CDB">
        <w:t xml:space="preserve"> un gasto sin que exista disponibilidad presupuestal suficiente </w:t>
      </w:r>
      <w:r>
        <w:t xml:space="preserve"> en el rubro correspondiente </w:t>
      </w:r>
      <w:r w:rsidR="00396CDB">
        <w:t>para atenderlo</w:t>
      </w:r>
      <w:r w:rsidR="00E66AC3">
        <w:t xml:space="preserve"> (Resultando N° 6)</w:t>
      </w:r>
      <w:r w:rsidR="00396CDB">
        <w:t>;</w:t>
      </w:r>
    </w:p>
    <w:p w:rsidR="00396CDB" w:rsidRDefault="00396CDB" w:rsidP="007820DF">
      <w:pPr>
        <w:tabs>
          <w:tab w:val="left" w:pos="-3420"/>
        </w:tabs>
        <w:spacing w:line="360" w:lineRule="auto"/>
        <w:ind w:firstLine="851"/>
        <w:jc w:val="both"/>
        <w:rPr>
          <w:rFonts w:cs="Arial"/>
        </w:rPr>
      </w:pPr>
      <w:r>
        <w:rPr>
          <w:rFonts w:cs="Arial"/>
          <w:b/>
          <w:bCs/>
        </w:rPr>
        <w:t xml:space="preserve">ATENTO: </w:t>
      </w:r>
      <w:r>
        <w:rPr>
          <w:rFonts w:cs="Arial"/>
        </w:rPr>
        <w:t>a lo expuesto y a lo dispuesto por el  artículo 211 literal B) de la Constitución de la República;</w:t>
      </w:r>
    </w:p>
    <w:p w:rsidR="00396CDB" w:rsidRDefault="00396CDB" w:rsidP="00396CDB">
      <w:pPr>
        <w:pStyle w:val="Ttulo1"/>
      </w:pPr>
    </w:p>
    <w:p w:rsidR="00396CDB" w:rsidRDefault="00396CDB" w:rsidP="007820DF">
      <w:pPr>
        <w:pStyle w:val="Ttulo1"/>
        <w:jc w:val="center"/>
      </w:pPr>
      <w:r>
        <w:t>EL TRIBUNAL ACUERDA</w:t>
      </w:r>
    </w:p>
    <w:p w:rsidR="00396CDB" w:rsidRDefault="00396CDB" w:rsidP="007820DF">
      <w:pPr>
        <w:numPr>
          <w:ilvl w:val="0"/>
          <w:numId w:val="1"/>
        </w:numPr>
        <w:tabs>
          <w:tab w:val="clear" w:pos="720"/>
          <w:tab w:val="num" w:pos="284"/>
        </w:tabs>
        <w:spacing w:line="360" w:lineRule="auto"/>
        <w:ind w:hanging="720"/>
        <w:jc w:val="both"/>
        <w:rPr>
          <w:rFonts w:cs="Arial"/>
          <w:lang w:val="es-MX"/>
        </w:rPr>
      </w:pPr>
      <w:r>
        <w:rPr>
          <w:rFonts w:cs="Arial"/>
          <w:lang w:val="es-MX"/>
        </w:rPr>
        <w:t>Observar el ga</w:t>
      </w:r>
      <w:r w:rsidR="00993901">
        <w:rPr>
          <w:rFonts w:cs="Arial"/>
          <w:lang w:val="es-MX"/>
        </w:rPr>
        <w:t xml:space="preserve">sto en razón de lo expresado </w:t>
      </w:r>
      <w:r w:rsidR="003F430C">
        <w:rPr>
          <w:rFonts w:cs="Arial"/>
          <w:lang w:val="es-MX"/>
        </w:rPr>
        <w:t xml:space="preserve"> en el</w:t>
      </w:r>
      <w:r>
        <w:rPr>
          <w:rFonts w:cs="Arial"/>
          <w:lang w:val="es-MX"/>
        </w:rPr>
        <w:t xml:space="preserve">  Considerando</w:t>
      </w:r>
      <w:r w:rsidR="00993901">
        <w:rPr>
          <w:rFonts w:cs="Arial"/>
          <w:lang w:val="es-MX"/>
        </w:rPr>
        <w:t xml:space="preserve"> </w:t>
      </w:r>
      <w:r w:rsidR="00D36416">
        <w:rPr>
          <w:rFonts w:cs="Arial"/>
          <w:lang w:val="es-MX"/>
        </w:rPr>
        <w:t>5</w:t>
      </w:r>
      <w:r w:rsidR="00993901">
        <w:rPr>
          <w:rFonts w:cs="Arial"/>
          <w:lang w:val="es-MX"/>
        </w:rPr>
        <w:t>)</w:t>
      </w:r>
      <w:r w:rsidR="007820DF">
        <w:rPr>
          <w:rFonts w:cs="Arial"/>
          <w:lang w:val="es-MX"/>
        </w:rPr>
        <w:t>;</w:t>
      </w:r>
      <w:bookmarkStart w:id="0" w:name="_GoBack"/>
      <w:bookmarkEnd w:id="0"/>
    </w:p>
    <w:p w:rsidR="00396CDB" w:rsidRDefault="00396CDB" w:rsidP="007820DF">
      <w:pPr>
        <w:numPr>
          <w:ilvl w:val="0"/>
          <w:numId w:val="1"/>
        </w:numPr>
        <w:tabs>
          <w:tab w:val="clear" w:pos="720"/>
          <w:tab w:val="num" w:pos="284"/>
        </w:tabs>
        <w:spacing w:line="360" w:lineRule="auto"/>
        <w:ind w:hanging="720"/>
        <w:jc w:val="both"/>
        <w:rPr>
          <w:rFonts w:cs="Arial"/>
          <w:lang w:val="es-MX"/>
        </w:rPr>
      </w:pPr>
      <w:r>
        <w:rPr>
          <w:rFonts w:cs="Arial"/>
          <w:lang w:val="es-MX"/>
        </w:rPr>
        <w:t>Devolver las actuaciones.</w:t>
      </w:r>
    </w:p>
    <w:p w:rsidR="00396CDB" w:rsidRPr="007820DF" w:rsidRDefault="007820DF" w:rsidP="007820DF">
      <w:pPr>
        <w:tabs>
          <w:tab w:val="num" w:pos="284"/>
        </w:tabs>
        <w:spacing w:line="360" w:lineRule="auto"/>
        <w:jc w:val="both"/>
        <w:rPr>
          <w:bCs/>
          <w:sz w:val="20"/>
          <w:lang w:val="es-MX"/>
        </w:rPr>
      </w:pPr>
      <w:r w:rsidRPr="007820DF">
        <w:rPr>
          <w:bCs/>
          <w:sz w:val="20"/>
          <w:lang w:val="es-MX"/>
        </w:rPr>
        <w:t>CLC</w:t>
      </w:r>
    </w:p>
    <w:p w:rsidR="00396CDB" w:rsidRDefault="00396CDB" w:rsidP="007F11BE">
      <w:pPr>
        <w:spacing w:line="360" w:lineRule="auto"/>
        <w:jc w:val="both"/>
        <w:rPr>
          <w:rFonts w:cs="Arial"/>
          <w:lang w:val="es-MX"/>
        </w:rPr>
      </w:pPr>
      <w:r>
        <w:rPr>
          <w:rFonts w:cs="Arial"/>
          <w:lang w:val="es-MX"/>
        </w:rPr>
        <w:t xml:space="preserve">                                                      </w:t>
      </w:r>
    </w:p>
    <w:p w:rsidR="00396CDB" w:rsidRDefault="00396CDB" w:rsidP="00396CDB">
      <w:pPr>
        <w:spacing w:line="360" w:lineRule="auto"/>
        <w:jc w:val="both"/>
        <w:rPr>
          <w:rFonts w:cs="Arial"/>
          <w:lang w:val="es-MX"/>
        </w:rPr>
      </w:pPr>
    </w:p>
    <w:p w:rsidR="00396CDB" w:rsidRDefault="00396CDB" w:rsidP="00396CDB">
      <w:pPr>
        <w:spacing w:line="360" w:lineRule="auto"/>
        <w:jc w:val="both"/>
        <w:rPr>
          <w:rFonts w:cs="Arial"/>
          <w:lang w:val="es-MX"/>
        </w:rPr>
      </w:pPr>
    </w:p>
    <w:p w:rsidR="00396CDB" w:rsidRPr="00AC4AFC" w:rsidRDefault="00396CDB" w:rsidP="00396CDB">
      <w:pPr>
        <w:spacing w:line="360" w:lineRule="auto"/>
        <w:jc w:val="both"/>
        <w:rPr>
          <w:rFonts w:cs="Arial"/>
          <w:bCs/>
          <w:lang w:val="es-MX"/>
        </w:rPr>
      </w:pPr>
    </w:p>
    <w:p w:rsidR="00396CDB" w:rsidRDefault="00396CDB" w:rsidP="00396CDB">
      <w:pPr>
        <w:spacing w:line="360" w:lineRule="auto"/>
        <w:jc w:val="both"/>
        <w:rPr>
          <w:lang w:val="es-MX"/>
        </w:rPr>
      </w:pPr>
    </w:p>
    <w:p w:rsidR="00396CDB" w:rsidRDefault="00396CDB"/>
    <w:sectPr w:rsidR="00396CDB" w:rsidSect="004E292D">
      <w:pgSz w:w="11907" w:h="16840" w:code="9"/>
      <w:pgMar w:top="3402" w:right="1701" w:bottom="1134" w:left="1701"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056"/>
    <w:multiLevelType w:val="hybridMultilevel"/>
    <w:tmpl w:val="6E02C99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C11250E"/>
    <w:multiLevelType w:val="hybridMultilevel"/>
    <w:tmpl w:val="C854DB0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BE42B7D"/>
    <w:multiLevelType w:val="hybridMultilevel"/>
    <w:tmpl w:val="D02A787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407C230A"/>
    <w:multiLevelType w:val="hybridMultilevel"/>
    <w:tmpl w:val="893C242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45505217"/>
    <w:multiLevelType w:val="hybridMultilevel"/>
    <w:tmpl w:val="11983D0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460F629D"/>
    <w:multiLevelType w:val="hybridMultilevel"/>
    <w:tmpl w:val="E6FE4C18"/>
    <w:lvl w:ilvl="0" w:tplc="822EA61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B6C0E5D"/>
    <w:multiLevelType w:val="hybridMultilevel"/>
    <w:tmpl w:val="B9544E0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08B06C8"/>
    <w:multiLevelType w:val="hybridMultilevel"/>
    <w:tmpl w:val="BFC460F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196653D"/>
    <w:multiLevelType w:val="hybridMultilevel"/>
    <w:tmpl w:val="E4AC432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5"/>
  </w:num>
  <w:num w:numId="2">
    <w:abstractNumId w:val="8"/>
  </w:num>
  <w:num w:numId="3">
    <w:abstractNumId w:val="7"/>
  </w:num>
  <w:num w:numId="4">
    <w:abstractNumId w:val="6"/>
  </w:num>
  <w:num w:numId="5">
    <w:abstractNumId w:val="3"/>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CDB"/>
    <w:rsid w:val="00025EC3"/>
    <w:rsid w:val="00064B6E"/>
    <w:rsid w:val="0008261D"/>
    <w:rsid w:val="000A5D25"/>
    <w:rsid w:val="000B137F"/>
    <w:rsid w:val="000C6041"/>
    <w:rsid w:val="000E36F5"/>
    <w:rsid w:val="0014142D"/>
    <w:rsid w:val="001672E9"/>
    <w:rsid w:val="00170D3A"/>
    <w:rsid w:val="00177E92"/>
    <w:rsid w:val="00185DC0"/>
    <w:rsid w:val="001907E1"/>
    <w:rsid w:val="00194DE0"/>
    <w:rsid w:val="001951CF"/>
    <w:rsid w:val="00197358"/>
    <w:rsid w:val="001C760C"/>
    <w:rsid w:val="001F4A03"/>
    <w:rsid w:val="00210083"/>
    <w:rsid w:val="00233E8B"/>
    <w:rsid w:val="00250FE3"/>
    <w:rsid w:val="00262AAF"/>
    <w:rsid w:val="002D0B7F"/>
    <w:rsid w:val="00310EF8"/>
    <w:rsid w:val="00322AB3"/>
    <w:rsid w:val="00325FF7"/>
    <w:rsid w:val="003279F3"/>
    <w:rsid w:val="0034070E"/>
    <w:rsid w:val="00390B41"/>
    <w:rsid w:val="00396CDB"/>
    <w:rsid w:val="003B6045"/>
    <w:rsid w:val="003C50D4"/>
    <w:rsid w:val="003E3D79"/>
    <w:rsid w:val="003F3677"/>
    <w:rsid w:val="003F430C"/>
    <w:rsid w:val="00410372"/>
    <w:rsid w:val="00413A1F"/>
    <w:rsid w:val="004222D1"/>
    <w:rsid w:val="00426E49"/>
    <w:rsid w:val="00434F58"/>
    <w:rsid w:val="00436044"/>
    <w:rsid w:val="00465E09"/>
    <w:rsid w:val="004668DB"/>
    <w:rsid w:val="004802E2"/>
    <w:rsid w:val="004B174C"/>
    <w:rsid w:val="004E292D"/>
    <w:rsid w:val="00507E86"/>
    <w:rsid w:val="00510178"/>
    <w:rsid w:val="00550119"/>
    <w:rsid w:val="00554E43"/>
    <w:rsid w:val="00575027"/>
    <w:rsid w:val="005B302F"/>
    <w:rsid w:val="005B6A6B"/>
    <w:rsid w:val="005C17B4"/>
    <w:rsid w:val="005D65B5"/>
    <w:rsid w:val="005E0B39"/>
    <w:rsid w:val="005F0526"/>
    <w:rsid w:val="0067192E"/>
    <w:rsid w:val="00687B1D"/>
    <w:rsid w:val="006B7E19"/>
    <w:rsid w:val="006C1781"/>
    <w:rsid w:val="006D1F5E"/>
    <w:rsid w:val="006E14C5"/>
    <w:rsid w:val="006F016D"/>
    <w:rsid w:val="0074383F"/>
    <w:rsid w:val="00767CE8"/>
    <w:rsid w:val="007820DF"/>
    <w:rsid w:val="007A3E5E"/>
    <w:rsid w:val="007C4204"/>
    <w:rsid w:val="007D0408"/>
    <w:rsid w:val="007F11BE"/>
    <w:rsid w:val="007F2376"/>
    <w:rsid w:val="00847E00"/>
    <w:rsid w:val="00875039"/>
    <w:rsid w:val="008976E5"/>
    <w:rsid w:val="008B4169"/>
    <w:rsid w:val="008D0C03"/>
    <w:rsid w:val="00921793"/>
    <w:rsid w:val="00934279"/>
    <w:rsid w:val="00941C75"/>
    <w:rsid w:val="00993901"/>
    <w:rsid w:val="009962D5"/>
    <w:rsid w:val="009C6F30"/>
    <w:rsid w:val="009F376F"/>
    <w:rsid w:val="009F406A"/>
    <w:rsid w:val="009F4BB1"/>
    <w:rsid w:val="009F573D"/>
    <w:rsid w:val="00A02E45"/>
    <w:rsid w:val="00A21A30"/>
    <w:rsid w:val="00AA4FA7"/>
    <w:rsid w:val="00AB6222"/>
    <w:rsid w:val="00AF2B8B"/>
    <w:rsid w:val="00B224FB"/>
    <w:rsid w:val="00B553E7"/>
    <w:rsid w:val="00B573D0"/>
    <w:rsid w:val="00B77A00"/>
    <w:rsid w:val="00BB4FB9"/>
    <w:rsid w:val="00BD3084"/>
    <w:rsid w:val="00BE0B98"/>
    <w:rsid w:val="00BE38E5"/>
    <w:rsid w:val="00BF3146"/>
    <w:rsid w:val="00C01B0E"/>
    <w:rsid w:val="00C100C7"/>
    <w:rsid w:val="00C56ED1"/>
    <w:rsid w:val="00C66833"/>
    <w:rsid w:val="00C95ECC"/>
    <w:rsid w:val="00CB6251"/>
    <w:rsid w:val="00CF5504"/>
    <w:rsid w:val="00D02656"/>
    <w:rsid w:val="00D16AD6"/>
    <w:rsid w:val="00D24EAF"/>
    <w:rsid w:val="00D36416"/>
    <w:rsid w:val="00D367D7"/>
    <w:rsid w:val="00D44DF2"/>
    <w:rsid w:val="00D64D86"/>
    <w:rsid w:val="00D86DBE"/>
    <w:rsid w:val="00DC4B1B"/>
    <w:rsid w:val="00DE5BDF"/>
    <w:rsid w:val="00E1557B"/>
    <w:rsid w:val="00E2738E"/>
    <w:rsid w:val="00E30DD5"/>
    <w:rsid w:val="00E36179"/>
    <w:rsid w:val="00E541CB"/>
    <w:rsid w:val="00E555B3"/>
    <w:rsid w:val="00E66AC3"/>
    <w:rsid w:val="00E805D4"/>
    <w:rsid w:val="00E972A0"/>
    <w:rsid w:val="00EC015D"/>
    <w:rsid w:val="00EC1564"/>
    <w:rsid w:val="00EC296D"/>
    <w:rsid w:val="00EC5472"/>
    <w:rsid w:val="00EE6F38"/>
    <w:rsid w:val="00F13493"/>
    <w:rsid w:val="00F31183"/>
    <w:rsid w:val="00F7053E"/>
    <w:rsid w:val="00F82574"/>
    <w:rsid w:val="00F94D29"/>
    <w:rsid w:val="00FD1A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1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9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D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qFormat/>
    <w:rsid w:val="00396CDB"/>
    <w:pPr>
      <w:keepNext/>
      <w:spacing w:line="360" w:lineRule="auto"/>
      <w:jc w:val="both"/>
      <w:outlineLvl w:val="0"/>
    </w:pPr>
    <w:rPr>
      <w:rFonts w:cs="Arial"/>
      <w:b/>
      <w:bCs/>
      <w:lang w:val="es-MX"/>
    </w:rPr>
  </w:style>
  <w:style w:type="paragraph" w:styleId="Ttulo2">
    <w:name w:val="heading 2"/>
    <w:basedOn w:val="Normal"/>
    <w:next w:val="Normal"/>
    <w:link w:val="Ttulo2Car"/>
    <w:qFormat/>
    <w:rsid w:val="00396CDB"/>
    <w:pPr>
      <w:keepNext/>
      <w:spacing w:line="360" w:lineRule="auto"/>
      <w:jc w:val="center"/>
      <w:outlineLvl w:val="1"/>
    </w:pPr>
    <w:rPr>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6CDB"/>
    <w:rPr>
      <w:rFonts w:ascii="Arial" w:eastAsia="Times New Roman" w:hAnsi="Arial" w:cs="Arial"/>
      <w:b/>
      <w:bCs/>
      <w:sz w:val="24"/>
      <w:szCs w:val="20"/>
      <w:lang w:val="es-MX" w:eastAsia="es-ES"/>
    </w:rPr>
  </w:style>
  <w:style w:type="character" w:customStyle="1" w:styleId="Ttulo2Car">
    <w:name w:val="Título 2 Car"/>
    <w:basedOn w:val="Fuentedeprrafopredeter"/>
    <w:link w:val="Ttulo2"/>
    <w:rsid w:val="00396CDB"/>
    <w:rPr>
      <w:rFonts w:ascii="Arial" w:eastAsia="Times New Roman" w:hAnsi="Arial" w:cs="Times New Roman"/>
      <w:b/>
      <w:bCs/>
      <w:sz w:val="24"/>
      <w:szCs w:val="20"/>
      <w:lang w:val="es-MX" w:eastAsia="es-ES"/>
    </w:rPr>
  </w:style>
  <w:style w:type="paragraph" w:styleId="Ttulo">
    <w:name w:val="Title"/>
    <w:basedOn w:val="Normal"/>
    <w:link w:val="TtuloCar"/>
    <w:qFormat/>
    <w:rsid w:val="00396CDB"/>
    <w:pPr>
      <w:spacing w:line="360" w:lineRule="auto"/>
      <w:jc w:val="center"/>
    </w:pPr>
    <w:rPr>
      <w:rFonts w:cs="Arial"/>
      <w:b/>
      <w:u w:val="single"/>
      <w:lang w:val="es-MX"/>
    </w:rPr>
  </w:style>
  <w:style w:type="character" w:customStyle="1" w:styleId="TtuloCar">
    <w:name w:val="Título Car"/>
    <w:basedOn w:val="Fuentedeprrafopredeter"/>
    <w:link w:val="Ttulo"/>
    <w:rsid w:val="00396CDB"/>
    <w:rPr>
      <w:rFonts w:ascii="Arial" w:eastAsia="Times New Roman" w:hAnsi="Arial" w:cs="Arial"/>
      <w:b/>
      <w:sz w:val="24"/>
      <w:szCs w:val="20"/>
      <w:u w:val="single"/>
      <w:lang w:val="es-MX" w:eastAsia="es-ES"/>
    </w:rPr>
  </w:style>
  <w:style w:type="paragraph" w:styleId="Textoindependiente">
    <w:name w:val="Body Text"/>
    <w:basedOn w:val="Normal"/>
    <w:link w:val="TextoindependienteCar"/>
    <w:semiHidden/>
    <w:rsid w:val="00396CDB"/>
    <w:pPr>
      <w:spacing w:line="360" w:lineRule="auto"/>
      <w:jc w:val="both"/>
    </w:pPr>
    <w:rPr>
      <w:bCs/>
      <w:lang w:val="es-MX"/>
    </w:rPr>
  </w:style>
  <w:style w:type="character" w:customStyle="1" w:styleId="TextoindependienteCar">
    <w:name w:val="Texto independiente Car"/>
    <w:basedOn w:val="Fuentedeprrafopredeter"/>
    <w:link w:val="Textoindependiente"/>
    <w:semiHidden/>
    <w:rsid w:val="00396CDB"/>
    <w:rPr>
      <w:rFonts w:ascii="Arial" w:eastAsia="Times New Roman" w:hAnsi="Arial" w:cs="Times New Roman"/>
      <w:bCs/>
      <w:sz w:val="24"/>
      <w:szCs w:val="20"/>
      <w:lang w:val="es-MX" w:eastAsia="es-ES"/>
    </w:rPr>
  </w:style>
  <w:style w:type="paragraph" w:styleId="Prrafodelista">
    <w:name w:val="List Paragraph"/>
    <w:basedOn w:val="Normal"/>
    <w:uiPriority w:val="34"/>
    <w:qFormat/>
    <w:rsid w:val="004B174C"/>
    <w:pPr>
      <w:ind w:left="720"/>
      <w:contextualSpacing/>
    </w:pPr>
  </w:style>
  <w:style w:type="table" w:styleId="Tablaconcuadrcula">
    <w:name w:val="Table Grid"/>
    <w:basedOn w:val="Tablanormal"/>
    <w:uiPriority w:val="59"/>
    <w:rsid w:val="00AF2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21793"/>
    <w:rPr>
      <w:rFonts w:ascii="Tahoma" w:hAnsi="Tahoma" w:cs="Tahoma"/>
      <w:sz w:val="16"/>
      <w:szCs w:val="16"/>
    </w:rPr>
  </w:style>
  <w:style w:type="character" w:customStyle="1" w:styleId="TextodegloboCar">
    <w:name w:val="Texto de globo Car"/>
    <w:basedOn w:val="Fuentedeprrafopredeter"/>
    <w:link w:val="Textodeglobo"/>
    <w:uiPriority w:val="99"/>
    <w:semiHidden/>
    <w:rsid w:val="0092179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9DFF5-6555-412E-8ACC-D9D4123E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1911</Words>
  <Characters>10512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4</cp:revision>
  <cp:lastPrinted>2017-10-18T15:21:00Z</cp:lastPrinted>
  <dcterms:created xsi:type="dcterms:W3CDTF">2017-10-18T15:16:00Z</dcterms:created>
  <dcterms:modified xsi:type="dcterms:W3CDTF">2017-10-18T15:21:00Z</dcterms:modified>
</cp:coreProperties>
</file>