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12E" w:rsidRDefault="0093512E" w:rsidP="00813870">
      <w:pPr>
        <w:tabs>
          <w:tab w:val="center" w:pos="4253"/>
        </w:tabs>
        <w:suppressAutoHyphens/>
        <w:jc w:val="right"/>
        <w:rPr>
          <w:rFonts w:ascii="Helvetica" w:hAnsi="Helvetica"/>
          <w:sz w:val="28"/>
          <w:szCs w:val="28"/>
          <w:lang w:val="es-ES_tradnl"/>
        </w:rPr>
      </w:pPr>
      <w:r>
        <w:rPr>
          <w:rFonts w:ascii="Helvetica" w:hAnsi="Helvetica"/>
          <w:sz w:val="28"/>
          <w:szCs w:val="28"/>
          <w:lang w:val="es-ES_tradnl"/>
        </w:rPr>
        <w:t>RES</w:t>
      </w:r>
      <w:r w:rsidRPr="005144B5">
        <w:rPr>
          <w:rFonts w:ascii="Helvetica" w:hAnsi="Helvetica"/>
          <w:sz w:val="28"/>
          <w:szCs w:val="28"/>
          <w:lang w:val="es-ES_tradnl"/>
        </w:rPr>
        <w:t>.  Nº</w:t>
      </w:r>
      <w:r w:rsidR="00813870">
        <w:rPr>
          <w:rFonts w:ascii="Helvetica" w:hAnsi="Helvetica"/>
          <w:sz w:val="28"/>
          <w:szCs w:val="28"/>
          <w:lang w:val="es-ES_tradnl"/>
        </w:rPr>
        <w:t xml:space="preserve"> </w:t>
      </w:r>
      <w:r>
        <w:rPr>
          <w:rFonts w:ascii="Helvetica" w:hAnsi="Helvetica"/>
          <w:sz w:val="28"/>
          <w:szCs w:val="28"/>
          <w:lang w:val="es-ES_tradnl"/>
        </w:rPr>
        <w:t>2201/17</w:t>
      </w:r>
    </w:p>
    <w:p w:rsidR="00813870" w:rsidRPr="000F4C96" w:rsidRDefault="00813870" w:rsidP="00813870">
      <w:pPr>
        <w:tabs>
          <w:tab w:val="center" w:pos="4253"/>
        </w:tabs>
        <w:suppressAutoHyphens/>
        <w:jc w:val="right"/>
        <w:rPr>
          <w:rFonts w:ascii="Helvetica" w:hAnsi="Helvetica"/>
          <w:b w:val="0"/>
          <w:sz w:val="28"/>
          <w:szCs w:val="28"/>
          <w:lang w:val="es-ES_tradnl"/>
        </w:rPr>
      </w:pPr>
    </w:p>
    <w:p w:rsidR="0093512E" w:rsidRDefault="0093512E" w:rsidP="0093512E">
      <w:pPr>
        <w:tabs>
          <w:tab w:val="center" w:pos="4253"/>
        </w:tabs>
        <w:suppressAutoHyphens/>
        <w:jc w:val="center"/>
        <w:rPr>
          <w:rFonts w:ascii="Helvetica" w:hAnsi="Helvetica"/>
          <w:b w:val="0"/>
          <w:lang w:val="es-ES_tradnl"/>
        </w:rPr>
      </w:pPr>
    </w:p>
    <w:p w:rsidR="0093512E" w:rsidRDefault="0093512E" w:rsidP="0093512E">
      <w:pPr>
        <w:tabs>
          <w:tab w:val="center" w:pos="4253"/>
        </w:tabs>
        <w:suppressAutoHyphens/>
        <w:jc w:val="center"/>
        <w:rPr>
          <w:rFonts w:ascii="Helvetica" w:hAnsi="Helvetica"/>
          <w:b w:val="0"/>
          <w:lang w:val="es-ES_tradnl"/>
        </w:rPr>
      </w:pPr>
      <w:r>
        <w:rPr>
          <w:rFonts w:ascii="Helvetica" w:hAnsi="Helvetica"/>
          <w:lang w:val="es-ES_tradnl"/>
        </w:rPr>
        <w:t>RESOLUCION ADOPTADA POR EL</w:t>
      </w:r>
    </w:p>
    <w:p w:rsidR="0093512E" w:rsidRDefault="0093512E" w:rsidP="0093512E">
      <w:pPr>
        <w:tabs>
          <w:tab w:val="left" w:pos="-720"/>
        </w:tabs>
        <w:suppressAutoHyphens/>
        <w:jc w:val="center"/>
        <w:rPr>
          <w:rFonts w:ascii="Helvetica" w:hAnsi="Helvetica"/>
          <w:b w:val="0"/>
          <w:lang w:val="es-ES_tradnl"/>
        </w:rPr>
      </w:pPr>
    </w:p>
    <w:p w:rsidR="0093512E" w:rsidRDefault="0093512E" w:rsidP="0093512E">
      <w:pPr>
        <w:tabs>
          <w:tab w:val="center" w:pos="4253"/>
        </w:tabs>
        <w:suppressAutoHyphens/>
        <w:jc w:val="center"/>
        <w:rPr>
          <w:rFonts w:ascii="Helvetica" w:hAnsi="Helvetica"/>
          <w:b w:val="0"/>
          <w:lang w:val="es-ES_tradnl"/>
        </w:rPr>
      </w:pPr>
      <w:r>
        <w:rPr>
          <w:rFonts w:ascii="Helvetica" w:hAnsi="Helvetica"/>
          <w:lang w:val="es-ES_tradnl"/>
        </w:rPr>
        <w:t>TRIBUNAL DE CUENTAS</w:t>
      </w:r>
    </w:p>
    <w:p w:rsidR="0093512E" w:rsidRDefault="0093512E" w:rsidP="0093512E">
      <w:pPr>
        <w:tabs>
          <w:tab w:val="left" w:pos="-720"/>
        </w:tabs>
        <w:suppressAutoHyphens/>
        <w:jc w:val="center"/>
        <w:rPr>
          <w:rFonts w:ascii="Helvetica" w:hAnsi="Helvetica"/>
          <w:b w:val="0"/>
          <w:lang w:val="es-ES_tradnl"/>
        </w:rPr>
      </w:pPr>
    </w:p>
    <w:p w:rsidR="0093512E" w:rsidRDefault="0093512E" w:rsidP="0093512E">
      <w:pPr>
        <w:tabs>
          <w:tab w:val="center" w:pos="4253"/>
        </w:tabs>
        <w:suppressAutoHyphens/>
        <w:jc w:val="center"/>
        <w:rPr>
          <w:rFonts w:ascii="Helvetica" w:hAnsi="Helvetica"/>
          <w:b w:val="0"/>
          <w:lang w:val="es-ES_tradnl"/>
        </w:rPr>
      </w:pPr>
      <w:r>
        <w:rPr>
          <w:rFonts w:ascii="Helvetica" w:hAnsi="Helvetica"/>
          <w:lang w:val="es-ES_tradnl"/>
        </w:rPr>
        <w:t>EN SESION DE FECHA 12 DE JULIO DE 2017</w:t>
      </w:r>
    </w:p>
    <w:p w:rsidR="0093512E" w:rsidRDefault="0093512E" w:rsidP="0093512E">
      <w:pPr>
        <w:tabs>
          <w:tab w:val="center" w:pos="4253"/>
        </w:tabs>
        <w:suppressAutoHyphens/>
        <w:jc w:val="center"/>
        <w:rPr>
          <w:rFonts w:ascii="Helvetica" w:hAnsi="Helvetica"/>
          <w:b w:val="0"/>
          <w:lang w:val="es-ES_tradnl"/>
        </w:rPr>
      </w:pPr>
    </w:p>
    <w:p w:rsidR="0093512E" w:rsidRDefault="0093512E" w:rsidP="0093512E">
      <w:pPr>
        <w:tabs>
          <w:tab w:val="center" w:pos="4253"/>
        </w:tabs>
        <w:suppressAutoHyphens/>
        <w:jc w:val="center"/>
        <w:rPr>
          <w:rFonts w:ascii="Helvetica" w:hAnsi="Helvetica"/>
        </w:rPr>
      </w:pPr>
      <w:r w:rsidRPr="000F4C96">
        <w:rPr>
          <w:rFonts w:ascii="Helvetica" w:hAnsi="Helvetica"/>
        </w:rPr>
        <w:t>(E. E. Nº 201</w:t>
      </w:r>
      <w:r>
        <w:rPr>
          <w:rFonts w:ascii="Helvetica" w:hAnsi="Helvetica"/>
        </w:rPr>
        <w:t>7-17-1-0003835, Ent. Nº3134/2017</w:t>
      </w:r>
      <w:r w:rsidRPr="000F4C96">
        <w:rPr>
          <w:rFonts w:ascii="Helvetica" w:hAnsi="Helvetica"/>
        </w:rPr>
        <w:t>)</w:t>
      </w:r>
    </w:p>
    <w:p w:rsidR="00813870" w:rsidRPr="000F4C96" w:rsidRDefault="00813870" w:rsidP="0093512E">
      <w:pPr>
        <w:tabs>
          <w:tab w:val="center" w:pos="4253"/>
        </w:tabs>
        <w:suppressAutoHyphens/>
        <w:jc w:val="center"/>
        <w:rPr>
          <w:rFonts w:ascii="Helvetica" w:hAnsi="Helvetica"/>
          <w:b w:val="0"/>
        </w:rPr>
      </w:pPr>
    </w:p>
    <w:p w:rsidR="0093512E" w:rsidRDefault="0093512E">
      <w:pPr>
        <w:pStyle w:val="Ttulo8"/>
        <w:numPr>
          <w:ilvl w:val="0"/>
          <w:numId w:val="0"/>
        </w:numPr>
        <w:rPr>
          <w:lang w:val="es-ES"/>
        </w:rPr>
      </w:pPr>
    </w:p>
    <w:p w:rsidR="00D71541" w:rsidRDefault="0093512E" w:rsidP="00813870">
      <w:pPr>
        <w:pStyle w:val="Ttulo8"/>
        <w:numPr>
          <w:ilvl w:val="0"/>
          <w:numId w:val="0"/>
        </w:numPr>
        <w:tabs>
          <w:tab w:val="left" w:pos="851"/>
        </w:tabs>
        <w:rPr>
          <w:b w:val="0"/>
          <w:bCs/>
        </w:rPr>
      </w:pPr>
      <w:r>
        <w:rPr>
          <w:lang w:val="es-ES"/>
        </w:rPr>
        <w:tab/>
      </w:r>
      <w:r w:rsidR="00D71541">
        <w:t xml:space="preserve">VISTO: </w:t>
      </w:r>
      <w:r w:rsidR="00D71541">
        <w:rPr>
          <w:b w:val="0"/>
        </w:rPr>
        <w:t xml:space="preserve">las actuaciones remitidas por la Contadora Delegada en la Intendencia de Canelones, relacionadas con la Licitación Pública PU </w:t>
      </w:r>
      <w:r w:rsidR="00813870">
        <w:rPr>
          <w:b w:val="0"/>
        </w:rPr>
        <w:t xml:space="preserve">               </w:t>
      </w:r>
      <w:r w:rsidR="00D71541">
        <w:rPr>
          <w:b w:val="0"/>
        </w:rPr>
        <w:t>Nº</w:t>
      </w:r>
      <w:r w:rsidR="00D71541">
        <w:rPr>
          <w:b w:val="0"/>
          <w:bCs/>
        </w:rPr>
        <w:t xml:space="preserve"> </w:t>
      </w:r>
      <w:r w:rsidR="00D71541">
        <w:rPr>
          <w:b w:val="0"/>
        </w:rPr>
        <w:t xml:space="preserve">2016-06 para la adquisición de equipamiento </w:t>
      </w:r>
      <w:r w:rsidR="00F13D47">
        <w:rPr>
          <w:b w:val="0"/>
        </w:rPr>
        <w:t xml:space="preserve">urbano </w:t>
      </w:r>
      <w:r w:rsidR="00D71541">
        <w:rPr>
          <w:b w:val="0"/>
        </w:rPr>
        <w:t>para servicios de limpieza pública</w:t>
      </w:r>
      <w:r w:rsidR="00F13D47">
        <w:rPr>
          <w:b w:val="0"/>
        </w:rPr>
        <w:t xml:space="preserve"> para el Departamento</w:t>
      </w:r>
      <w:r w:rsidR="00D71541">
        <w:rPr>
          <w:b w:val="0"/>
        </w:rPr>
        <w:t xml:space="preserve">;  </w:t>
      </w:r>
    </w:p>
    <w:p w:rsidR="00C53D04" w:rsidRDefault="0093512E" w:rsidP="00813870">
      <w:pPr>
        <w:pStyle w:val="Ttulo"/>
        <w:tabs>
          <w:tab w:val="left" w:pos="851"/>
          <w:tab w:val="left" w:pos="2835"/>
        </w:tabs>
        <w:jc w:val="both"/>
        <w:rPr>
          <w:b w:val="0"/>
          <w:bCs/>
          <w:u w:val="none"/>
        </w:rPr>
      </w:pPr>
      <w:r>
        <w:rPr>
          <w:u w:val="none"/>
        </w:rPr>
        <w:tab/>
      </w:r>
      <w:r w:rsidR="003A3DBE">
        <w:rPr>
          <w:u w:val="none"/>
        </w:rPr>
        <w:t xml:space="preserve">RESULTANDO: </w:t>
      </w:r>
      <w:r>
        <w:rPr>
          <w:u w:val="none"/>
        </w:rPr>
        <w:tab/>
      </w:r>
      <w:r w:rsidR="00B34AD6">
        <w:rPr>
          <w:u w:val="none"/>
        </w:rPr>
        <w:t>1</w:t>
      </w:r>
      <w:r w:rsidR="00D71541">
        <w:rPr>
          <w:u w:val="none"/>
        </w:rPr>
        <w:t xml:space="preserve">) </w:t>
      </w:r>
      <w:r w:rsidR="00D71541">
        <w:rPr>
          <w:b w:val="0"/>
          <w:bCs/>
          <w:u w:val="none"/>
        </w:rPr>
        <w:t>q</w:t>
      </w:r>
      <w:r w:rsidR="00613162">
        <w:rPr>
          <w:b w:val="0"/>
          <w:bCs/>
          <w:u w:val="none"/>
        </w:rPr>
        <w:t xml:space="preserve">ue </w:t>
      </w:r>
      <w:r w:rsidR="00D71541">
        <w:rPr>
          <w:b w:val="0"/>
          <w:bCs/>
          <w:u w:val="none"/>
        </w:rPr>
        <w:t xml:space="preserve">por </w:t>
      </w:r>
      <w:r w:rsidR="00613162">
        <w:rPr>
          <w:b w:val="0"/>
          <w:bCs/>
          <w:u w:val="none"/>
        </w:rPr>
        <w:t xml:space="preserve">Resolución Nº 16/04396 del Intendente, </w:t>
      </w:r>
      <w:r w:rsidR="00D71541">
        <w:rPr>
          <w:b w:val="0"/>
          <w:bCs/>
          <w:u w:val="none"/>
        </w:rPr>
        <w:t>se</w:t>
      </w:r>
      <w:r w:rsidR="00613162">
        <w:rPr>
          <w:b w:val="0"/>
          <w:bCs/>
          <w:u w:val="none"/>
        </w:rPr>
        <w:t xml:space="preserve"> autorizó el llamado a licitación</w:t>
      </w:r>
      <w:r w:rsidR="00AF0884">
        <w:rPr>
          <w:b w:val="0"/>
          <w:bCs/>
          <w:u w:val="none"/>
        </w:rPr>
        <w:t xml:space="preserve"> y se</w:t>
      </w:r>
      <w:r w:rsidR="00613162">
        <w:rPr>
          <w:b w:val="0"/>
          <w:bCs/>
          <w:u w:val="none"/>
        </w:rPr>
        <w:t xml:space="preserve"> </w:t>
      </w:r>
      <w:r w:rsidR="00BA56D3">
        <w:rPr>
          <w:b w:val="0"/>
          <w:bCs/>
          <w:u w:val="none"/>
        </w:rPr>
        <w:t xml:space="preserve">aprobó el Pliego de condiciones </w:t>
      </w:r>
      <w:r w:rsidR="00C53D04">
        <w:rPr>
          <w:b w:val="0"/>
          <w:bCs/>
          <w:u w:val="none"/>
        </w:rPr>
        <w:t>con el objeto de adquirir 3.200 contenedores metálicos 1100 lts, 64.000 contenedores individuales 120 lits</w:t>
      </w:r>
      <w:r w:rsidR="00AF0884">
        <w:rPr>
          <w:b w:val="0"/>
          <w:bCs/>
          <w:u w:val="none"/>
        </w:rPr>
        <w:t>.</w:t>
      </w:r>
      <w:r w:rsidR="00C53D04">
        <w:rPr>
          <w:b w:val="0"/>
          <w:bCs/>
          <w:u w:val="none"/>
        </w:rPr>
        <w:t>, 500 cestos papeleros</w:t>
      </w:r>
      <w:r w:rsidR="00BA56D3">
        <w:rPr>
          <w:b w:val="0"/>
          <w:bCs/>
          <w:u w:val="none"/>
        </w:rPr>
        <w:t>, pudiéndose cotizar por Item</w:t>
      </w:r>
      <w:r w:rsidR="00C53D04">
        <w:rPr>
          <w:b w:val="0"/>
          <w:bCs/>
          <w:u w:val="none"/>
        </w:rPr>
        <w:t xml:space="preserve">; </w:t>
      </w:r>
    </w:p>
    <w:p w:rsidR="00424813" w:rsidRDefault="00424813" w:rsidP="00813870">
      <w:pPr>
        <w:pStyle w:val="Ttulo"/>
        <w:tabs>
          <w:tab w:val="left" w:pos="2835"/>
        </w:tabs>
        <w:ind w:firstLine="708"/>
        <w:jc w:val="both"/>
        <w:rPr>
          <w:b w:val="0"/>
          <w:bCs/>
          <w:u w:val="none"/>
        </w:rPr>
      </w:pPr>
      <w:r>
        <w:rPr>
          <w:b w:val="0"/>
          <w:bCs/>
          <w:u w:val="none"/>
        </w:rPr>
        <w:t xml:space="preserve">                  </w:t>
      </w:r>
      <w:r w:rsidR="0093512E">
        <w:rPr>
          <w:b w:val="0"/>
          <w:bCs/>
          <w:u w:val="none"/>
        </w:rPr>
        <w:tab/>
      </w:r>
      <w:r w:rsidR="00C53D04" w:rsidRPr="00AF3FAC">
        <w:rPr>
          <w:bCs/>
          <w:u w:val="none"/>
        </w:rPr>
        <w:t>2)</w:t>
      </w:r>
      <w:r w:rsidR="00C53D04">
        <w:rPr>
          <w:b w:val="0"/>
          <w:bCs/>
          <w:u w:val="none"/>
        </w:rPr>
        <w:t xml:space="preserve"> que en el citado Pliego se estableció: </w:t>
      </w:r>
    </w:p>
    <w:p w:rsidR="00424813" w:rsidRDefault="00C53D04" w:rsidP="00813870">
      <w:pPr>
        <w:pStyle w:val="Ttulo"/>
        <w:jc w:val="both"/>
        <w:rPr>
          <w:b w:val="0"/>
          <w:bCs/>
          <w:u w:val="none"/>
        </w:rPr>
      </w:pPr>
      <w:r w:rsidRPr="00AF0884">
        <w:rPr>
          <w:bCs/>
          <w:u w:val="none"/>
        </w:rPr>
        <w:t>2.1)</w:t>
      </w:r>
      <w:r>
        <w:rPr>
          <w:b w:val="0"/>
          <w:bCs/>
          <w:u w:val="none"/>
        </w:rPr>
        <w:t xml:space="preserve"> en el Art</w:t>
      </w:r>
      <w:r w:rsidR="00813870">
        <w:rPr>
          <w:b w:val="0"/>
          <w:bCs/>
          <w:u w:val="none"/>
        </w:rPr>
        <w:t>ículo</w:t>
      </w:r>
      <w:r>
        <w:rPr>
          <w:b w:val="0"/>
          <w:bCs/>
          <w:u w:val="none"/>
        </w:rPr>
        <w:t xml:space="preserve"> 10 que los oferentes deben presentar con la oferta</w:t>
      </w:r>
      <w:r w:rsidR="00424813">
        <w:rPr>
          <w:b w:val="0"/>
          <w:bCs/>
          <w:u w:val="none"/>
        </w:rPr>
        <w:t xml:space="preserve"> el recibo de compra del Pliego</w:t>
      </w:r>
      <w:r w:rsidR="00AD739F">
        <w:rPr>
          <w:b w:val="0"/>
          <w:bCs/>
          <w:u w:val="none"/>
        </w:rPr>
        <w:t>;</w:t>
      </w:r>
    </w:p>
    <w:p w:rsidR="00153EAA" w:rsidRDefault="00C53D04" w:rsidP="00813870">
      <w:pPr>
        <w:pStyle w:val="Ttulo"/>
        <w:jc w:val="both"/>
        <w:rPr>
          <w:b w:val="0"/>
          <w:bCs/>
          <w:u w:val="none"/>
        </w:rPr>
      </w:pPr>
      <w:r w:rsidRPr="00AF0884">
        <w:rPr>
          <w:bCs/>
          <w:u w:val="none"/>
        </w:rPr>
        <w:t xml:space="preserve"> 2.2)</w:t>
      </w:r>
      <w:r>
        <w:rPr>
          <w:b w:val="0"/>
          <w:bCs/>
          <w:u w:val="none"/>
        </w:rPr>
        <w:t xml:space="preserve"> en el Art</w:t>
      </w:r>
      <w:r w:rsidR="00813870">
        <w:rPr>
          <w:b w:val="0"/>
          <w:bCs/>
          <w:u w:val="none"/>
        </w:rPr>
        <w:t>ículo</w:t>
      </w:r>
      <w:r>
        <w:rPr>
          <w:b w:val="0"/>
          <w:bCs/>
          <w:u w:val="none"/>
        </w:rPr>
        <w:t xml:space="preserve"> 12 que la comparación de ofertas se realiza de acuerdo a diferentes factores </w:t>
      </w:r>
      <w:r w:rsidR="00424813">
        <w:rPr>
          <w:b w:val="0"/>
          <w:bCs/>
          <w:u w:val="none"/>
        </w:rPr>
        <w:t>de ponderación, Precio de la oferta (35 puntos), Plazo de entrega (20 p), Calidad (25 p),</w:t>
      </w:r>
      <w:r>
        <w:rPr>
          <w:b w:val="0"/>
          <w:bCs/>
          <w:u w:val="none"/>
        </w:rPr>
        <w:t xml:space="preserve"> Antecedentes de adjudicaciones de servicios anteriores en la Comuna Canaria y otras organizaciones públicas o privadas</w:t>
      </w:r>
      <w:r w:rsidR="00424813">
        <w:rPr>
          <w:b w:val="0"/>
          <w:bCs/>
          <w:u w:val="none"/>
        </w:rPr>
        <w:t xml:space="preserve"> (20 p)</w:t>
      </w:r>
      <w:r w:rsidR="00813870">
        <w:rPr>
          <w:b w:val="0"/>
          <w:bCs/>
          <w:u w:val="none"/>
        </w:rPr>
        <w:t>;</w:t>
      </w:r>
      <w:r w:rsidR="00424813">
        <w:rPr>
          <w:b w:val="0"/>
          <w:bCs/>
          <w:u w:val="none"/>
        </w:rPr>
        <w:t xml:space="preserve"> </w:t>
      </w:r>
    </w:p>
    <w:p w:rsidR="00AD739F" w:rsidRDefault="00C53D04" w:rsidP="00813870">
      <w:pPr>
        <w:pStyle w:val="Ttulo"/>
        <w:jc w:val="both"/>
        <w:rPr>
          <w:b w:val="0"/>
          <w:bCs/>
          <w:u w:val="none"/>
        </w:rPr>
      </w:pPr>
      <w:r w:rsidRPr="00AF0884">
        <w:rPr>
          <w:bCs/>
          <w:u w:val="none"/>
        </w:rPr>
        <w:t>2.3)</w:t>
      </w:r>
      <w:r>
        <w:rPr>
          <w:b w:val="0"/>
          <w:bCs/>
          <w:u w:val="none"/>
        </w:rPr>
        <w:t xml:space="preserve"> </w:t>
      </w:r>
      <w:r w:rsidR="0093512E">
        <w:rPr>
          <w:b w:val="0"/>
          <w:bCs/>
          <w:u w:val="none"/>
        </w:rPr>
        <w:t>en el Artículo</w:t>
      </w:r>
      <w:r w:rsidR="00531AC9">
        <w:rPr>
          <w:b w:val="0"/>
          <w:bCs/>
          <w:u w:val="none"/>
        </w:rPr>
        <w:t xml:space="preserve"> 13 </w:t>
      </w:r>
      <w:r w:rsidR="00AF0884">
        <w:rPr>
          <w:b w:val="0"/>
          <w:bCs/>
          <w:u w:val="none"/>
        </w:rPr>
        <w:t xml:space="preserve">que, </w:t>
      </w:r>
      <w:r w:rsidR="00531AC9">
        <w:rPr>
          <w:b w:val="0"/>
          <w:bCs/>
          <w:u w:val="none"/>
        </w:rPr>
        <w:t>cuando se presenten empresas extranjeras que no se encuentren instaladas en el Uruguay, podrán actuar por representante, en cuyo caso el mismo deberá estar inscrito en el Registro Nacional de Representantes de Firma</w:t>
      </w:r>
      <w:r w:rsidR="00AF0884">
        <w:rPr>
          <w:b w:val="0"/>
          <w:bCs/>
          <w:u w:val="none"/>
        </w:rPr>
        <w:t>s</w:t>
      </w:r>
      <w:r w:rsidR="00531AC9">
        <w:rPr>
          <w:b w:val="0"/>
          <w:bCs/>
          <w:u w:val="none"/>
        </w:rPr>
        <w:t xml:space="preserve"> Extranjeras</w:t>
      </w:r>
      <w:r w:rsidR="00AD739F">
        <w:rPr>
          <w:b w:val="0"/>
          <w:bCs/>
          <w:u w:val="none"/>
        </w:rPr>
        <w:t>;</w:t>
      </w:r>
      <w:r w:rsidR="00357C56">
        <w:rPr>
          <w:b w:val="0"/>
          <w:bCs/>
          <w:u w:val="none"/>
        </w:rPr>
        <w:t xml:space="preserve"> y</w:t>
      </w:r>
    </w:p>
    <w:p w:rsidR="00D71541" w:rsidRDefault="00AD739F" w:rsidP="00813870">
      <w:pPr>
        <w:pStyle w:val="Ttulo"/>
        <w:jc w:val="both"/>
        <w:rPr>
          <w:b w:val="0"/>
          <w:bCs/>
          <w:u w:val="none"/>
        </w:rPr>
      </w:pPr>
      <w:r w:rsidRPr="00AF0884">
        <w:rPr>
          <w:bCs/>
          <w:u w:val="none"/>
        </w:rPr>
        <w:lastRenderedPageBreak/>
        <w:t>2.4)</w:t>
      </w:r>
      <w:r w:rsidR="0093512E">
        <w:rPr>
          <w:b w:val="0"/>
          <w:bCs/>
          <w:u w:val="none"/>
        </w:rPr>
        <w:t xml:space="preserve"> Artículo</w:t>
      </w:r>
      <w:r w:rsidR="00357C56">
        <w:rPr>
          <w:b w:val="0"/>
          <w:bCs/>
          <w:u w:val="none"/>
        </w:rPr>
        <w:t xml:space="preserve"> 14.1 que los proponentes deben presentar un cronograma de entrega que deberá indicar los plazos previstos para dar cumplimiento a lo ofertado como el plazo total ofertado</w:t>
      </w:r>
      <w:r w:rsidR="00613162">
        <w:rPr>
          <w:b w:val="0"/>
          <w:bCs/>
          <w:u w:val="none"/>
        </w:rPr>
        <w:t>;</w:t>
      </w:r>
    </w:p>
    <w:p w:rsidR="00D71541" w:rsidRDefault="0047777E" w:rsidP="00813870">
      <w:pPr>
        <w:pStyle w:val="Ttulo"/>
        <w:tabs>
          <w:tab w:val="left" w:pos="2835"/>
        </w:tabs>
        <w:jc w:val="both"/>
        <w:rPr>
          <w:b w:val="0"/>
          <w:bCs/>
          <w:u w:val="none"/>
        </w:rPr>
      </w:pPr>
      <w:r>
        <w:rPr>
          <w:b w:val="0"/>
          <w:bCs/>
          <w:u w:val="none"/>
        </w:rPr>
        <w:t xml:space="preserve">                         </w:t>
      </w:r>
      <w:r w:rsidR="006760ED">
        <w:rPr>
          <w:b w:val="0"/>
          <w:bCs/>
          <w:u w:val="none"/>
        </w:rPr>
        <w:t xml:space="preserve"> </w:t>
      </w:r>
      <w:r>
        <w:rPr>
          <w:b w:val="0"/>
          <w:bCs/>
          <w:u w:val="none"/>
        </w:rPr>
        <w:t xml:space="preserve">  </w:t>
      </w:r>
      <w:r w:rsidR="0093512E">
        <w:rPr>
          <w:b w:val="0"/>
          <w:bCs/>
          <w:u w:val="none"/>
        </w:rPr>
        <w:tab/>
      </w:r>
      <w:r>
        <w:rPr>
          <w:u w:val="none"/>
        </w:rPr>
        <w:t>3</w:t>
      </w:r>
      <w:r w:rsidR="00D71541">
        <w:rPr>
          <w:u w:val="none"/>
        </w:rPr>
        <w:t xml:space="preserve">) </w:t>
      </w:r>
      <w:r w:rsidR="00D71541">
        <w:rPr>
          <w:b w:val="0"/>
          <w:u w:val="none"/>
        </w:rPr>
        <w:t>q</w:t>
      </w:r>
      <w:r w:rsidR="00D71541">
        <w:rPr>
          <w:b w:val="0"/>
          <w:bCs/>
          <w:u w:val="none"/>
        </w:rPr>
        <w:t>ue se efectuaron las publicaciones correspondientes de ac</w:t>
      </w:r>
      <w:r w:rsidR="0093512E">
        <w:rPr>
          <w:b w:val="0"/>
          <w:bCs/>
          <w:u w:val="none"/>
        </w:rPr>
        <w:t>uerdo a lo dispuesto por el Artículo</w:t>
      </w:r>
      <w:r w:rsidR="00D71541">
        <w:rPr>
          <w:b w:val="0"/>
          <w:bCs/>
          <w:u w:val="none"/>
        </w:rPr>
        <w:t xml:space="preserve"> 51 del T.O.C.A.F.;</w:t>
      </w:r>
    </w:p>
    <w:p w:rsidR="00813870" w:rsidRDefault="00D71541" w:rsidP="00813870">
      <w:pPr>
        <w:tabs>
          <w:tab w:val="left" w:pos="2835"/>
        </w:tabs>
        <w:spacing w:line="360" w:lineRule="auto"/>
        <w:jc w:val="both"/>
        <w:rPr>
          <w:rFonts w:ascii="Arial" w:hAnsi="Arial" w:cs="Arial"/>
          <w:b w:val="0"/>
          <w:bCs/>
        </w:rPr>
      </w:pPr>
      <w:r>
        <w:rPr>
          <w:rFonts w:ascii="Arial" w:hAnsi="Arial" w:cs="Arial"/>
          <w:b w:val="0"/>
          <w:bCs/>
        </w:rPr>
        <w:t xml:space="preserve">                      </w:t>
      </w:r>
      <w:r w:rsidR="00B34AD6">
        <w:rPr>
          <w:rFonts w:ascii="Arial" w:hAnsi="Arial" w:cs="Arial"/>
          <w:b w:val="0"/>
          <w:bCs/>
        </w:rPr>
        <w:t xml:space="preserve">   </w:t>
      </w:r>
      <w:r w:rsidR="006760ED">
        <w:rPr>
          <w:rFonts w:ascii="Arial" w:hAnsi="Arial" w:cs="Arial"/>
          <w:b w:val="0"/>
          <w:bCs/>
        </w:rPr>
        <w:t xml:space="preserve"> </w:t>
      </w:r>
      <w:r w:rsidR="0093512E">
        <w:rPr>
          <w:rFonts w:ascii="Arial" w:hAnsi="Arial" w:cs="Arial"/>
          <w:b w:val="0"/>
          <w:bCs/>
        </w:rPr>
        <w:tab/>
      </w:r>
      <w:r w:rsidR="0047777E">
        <w:rPr>
          <w:rFonts w:ascii="Arial" w:hAnsi="Arial" w:cs="Arial"/>
          <w:bCs/>
        </w:rPr>
        <w:t>4</w:t>
      </w:r>
      <w:r>
        <w:rPr>
          <w:rFonts w:ascii="Arial" w:hAnsi="Arial" w:cs="Arial"/>
          <w:bCs/>
        </w:rPr>
        <w:t>)</w:t>
      </w:r>
      <w:r>
        <w:rPr>
          <w:rFonts w:ascii="Arial" w:hAnsi="Arial" w:cs="Arial"/>
          <w:b w:val="0"/>
          <w:bCs/>
        </w:rPr>
        <w:t xml:space="preserve">  que</w:t>
      </w:r>
      <w:r w:rsidR="00AF0884">
        <w:rPr>
          <w:rFonts w:ascii="Arial" w:hAnsi="Arial" w:cs="Arial"/>
          <w:b w:val="0"/>
          <w:bCs/>
        </w:rPr>
        <w:t>,</w:t>
      </w:r>
      <w:r>
        <w:rPr>
          <w:rFonts w:ascii="Arial" w:hAnsi="Arial" w:cs="Arial"/>
          <w:b w:val="0"/>
          <w:bCs/>
        </w:rPr>
        <w:t xml:space="preserve"> con fecha </w:t>
      </w:r>
      <w:r>
        <w:rPr>
          <w:rFonts w:ascii="Arial" w:hAnsi="Arial" w:cs="Arial"/>
          <w:b w:val="0"/>
        </w:rPr>
        <w:t>30/08/16</w:t>
      </w:r>
      <w:r w:rsidR="00AF0884">
        <w:rPr>
          <w:rFonts w:ascii="Arial" w:hAnsi="Arial" w:cs="Arial"/>
          <w:b w:val="0"/>
        </w:rPr>
        <w:t>,</w:t>
      </w:r>
      <w:r>
        <w:rPr>
          <w:rFonts w:ascii="Arial" w:hAnsi="Arial" w:cs="Arial"/>
          <w:b w:val="0"/>
        </w:rPr>
        <w:t xml:space="preserve"> </w:t>
      </w:r>
      <w:r>
        <w:rPr>
          <w:rFonts w:ascii="Arial" w:hAnsi="Arial" w:cs="Arial"/>
          <w:b w:val="0"/>
          <w:bCs/>
        </w:rPr>
        <w:t xml:space="preserve">tuvo lugar el acto de apertura, al que se presentaron las siguientes firmas: </w:t>
      </w:r>
    </w:p>
    <w:p w:rsidR="00813870" w:rsidRDefault="00F13D47" w:rsidP="00813870">
      <w:pPr>
        <w:tabs>
          <w:tab w:val="left" w:pos="2835"/>
        </w:tabs>
        <w:spacing w:line="360" w:lineRule="auto"/>
        <w:jc w:val="both"/>
        <w:rPr>
          <w:rFonts w:ascii="Arial" w:hAnsi="Arial" w:cs="Arial"/>
          <w:b w:val="0"/>
          <w:bCs/>
        </w:rPr>
      </w:pPr>
      <w:r w:rsidRPr="00813870">
        <w:rPr>
          <w:rFonts w:ascii="Arial" w:hAnsi="Arial" w:cs="Arial"/>
          <w:bCs/>
        </w:rPr>
        <w:t>a)</w:t>
      </w:r>
      <w:r w:rsidR="00D71541">
        <w:rPr>
          <w:rFonts w:ascii="Arial" w:hAnsi="Arial" w:cs="Arial"/>
          <w:b w:val="0"/>
          <w:bCs/>
        </w:rPr>
        <w:t xml:space="preserve"> Rontil S.A.</w:t>
      </w:r>
      <w:r w:rsidR="0081088B">
        <w:rPr>
          <w:rFonts w:ascii="Arial" w:hAnsi="Arial" w:cs="Arial"/>
          <w:b w:val="0"/>
          <w:bCs/>
        </w:rPr>
        <w:t xml:space="preserve"> que cotiza por un total</w:t>
      </w:r>
      <w:r>
        <w:rPr>
          <w:rFonts w:ascii="Arial" w:hAnsi="Arial" w:cs="Arial"/>
          <w:b w:val="0"/>
          <w:bCs/>
        </w:rPr>
        <w:t xml:space="preserve"> </w:t>
      </w:r>
      <w:r w:rsidR="0081088B">
        <w:rPr>
          <w:rFonts w:ascii="Arial" w:hAnsi="Arial" w:cs="Arial"/>
          <w:b w:val="0"/>
          <w:bCs/>
        </w:rPr>
        <w:t xml:space="preserve">de </w:t>
      </w:r>
      <w:r>
        <w:rPr>
          <w:rFonts w:ascii="Arial" w:hAnsi="Arial" w:cs="Arial"/>
          <w:b w:val="0"/>
          <w:bCs/>
        </w:rPr>
        <w:t>e</w:t>
      </w:r>
      <w:r w:rsidR="0081088B">
        <w:rPr>
          <w:rFonts w:ascii="Arial" w:hAnsi="Arial" w:cs="Arial"/>
          <w:b w:val="0"/>
          <w:bCs/>
        </w:rPr>
        <w:t>uros 2:587.024,07 DAP</w:t>
      </w:r>
      <w:r w:rsidR="00BA56D3">
        <w:rPr>
          <w:rFonts w:ascii="Arial" w:hAnsi="Arial" w:cs="Arial"/>
          <w:b w:val="0"/>
          <w:bCs/>
        </w:rPr>
        <w:t xml:space="preserve"> (Delivery </w:t>
      </w:r>
      <w:r w:rsidR="00813870">
        <w:rPr>
          <w:rFonts w:ascii="Arial" w:hAnsi="Arial" w:cs="Arial"/>
          <w:b w:val="0"/>
          <w:bCs/>
        </w:rPr>
        <w:t xml:space="preserve">       </w:t>
      </w:r>
      <w:r w:rsidR="00BA56D3">
        <w:rPr>
          <w:rFonts w:ascii="Arial" w:hAnsi="Arial" w:cs="Arial"/>
          <w:b w:val="0"/>
          <w:bCs/>
        </w:rPr>
        <w:t>at place)</w:t>
      </w:r>
      <w:r w:rsidR="0081088B">
        <w:rPr>
          <w:rFonts w:ascii="Arial" w:hAnsi="Arial" w:cs="Arial"/>
          <w:b w:val="0"/>
          <w:bCs/>
        </w:rPr>
        <w:t xml:space="preserve"> Canelones</w:t>
      </w:r>
      <w:r w:rsidR="00813870">
        <w:rPr>
          <w:rFonts w:ascii="Arial" w:hAnsi="Arial" w:cs="Arial"/>
          <w:b w:val="0"/>
          <w:bCs/>
        </w:rPr>
        <w:t>;</w:t>
      </w:r>
      <w:r w:rsidR="00D71541">
        <w:rPr>
          <w:rFonts w:ascii="Arial" w:hAnsi="Arial" w:cs="Arial"/>
          <w:b w:val="0"/>
          <w:bCs/>
        </w:rPr>
        <w:t xml:space="preserve"> </w:t>
      </w:r>
    </w:p>
    <w:p w:rsidR="00813870" w:rsidRDefault="00F13D47" w:rsidP="00813870">
      <w:pPr>
        <w:tabs>
          <w:tab w:val="left" w:pos="2835"/>
        </w:tabs>
        <w:spacing w:line="360" w:lineRule="auto"/>
        <w:jc w:val="both"/>
        <w:rPr>
          <w:rFonts w:ascii="Arial" w:hAnsi="Arial" w:cs="Arial"/>
          <w:b w:val="0"/>
          <w:bCs/>
        </w:rPr>
      </w:pPr>
      <w:r w:rsidRPr="00813870">
        <w:rPr>
          <w:rFonts w:ascii="Arial" w:hAnsi="Arial" w:cs="Arial"/>
          <w:bCs/>
        </w:rPr>
        <w:t>b)</w:t>
      </w:r>
      <w:r>
        <w:rPr>
          <w:rFonts w:ascii="Arial" w:hAnsi="Arial" w:cs="Arial"/>
          <w:b w:val="0"/>
          <w:bCs/>
        </w:rPr>
        <w:t xml:space="preserve"> </w:t>
      </w:r>
      <w:r w:rsidR="00D71541">
        <w:rPr>
          <w:rFonts w:ascii="Arial" w:hAnsi="Arial" w:cs="Arial"/>
          <w:b w:val="0"/>
          <w:bCs/>
        </w:rPr>
        <w:t>Pablo Rodríguez</w:t>
      </w:r>
      <w:r w:rsidR="0081088B">
        <w:rPr>
          <w:rFonts w:ascii="Arial" w:hAnsi="Arial" w:cs="Arial"/>
          <w:b w:val="0"/>
          <w:bCs/>
        </w:rPr>
        <w:t xml:space="preserve"> que cotiza por un total de U$S 3:208.600 DAP Canelones</w:t>
      </w:r>
      <w:r w:rsidR="00813870">
        <w:rPr>
          <w:rFonts w:ascii="Arial" w:hAnsi="Arial" w:cs="Arial"/>
          <w:b w:val="0"/>
          <w:bCs/>
        </w:rPr>
        <w:t>;</w:t>
      </w:r>
      <w:r w:rsidR="00D71541">
        <w:rPr>
          <w:rFonts w:ascii="Arial" w:hAnsi="Arial" w:cs="Arial"/>
          <w:b w:val="0"/>
          <w:bCs/>
        </w:rPr>
        <w:t xml:space="preserve"> </w:t>
      </w:r>
      <w:r w:rsidRPr="00813870">
        <w:rPr>
          <w:rFonts w:ascii="Arial" w:hAnsi="Arial" w:cs="Arial"/>
          <w:bCs/>
        </w:rPr>
        <w:t>c)</w:t>
      </w:r>
      <w:r w:rsidR="00D71541">
        <w:rPr>
          <w:rFonts w:ascii="Arial" w:hAnsi="Arial" w:cs="Arial"/>
          <w:b w:val="0"/>
          <w:bCs/>
        </w:rPr>
        <w:t xml:space="preserve"> Rotomoldeos</w:t>
      </w:r>
      <w:r w:rsidR="00B558A7">
        <w:rPr>
          <w:rFonts w:ascii="Arial" w:hAnsi="Arial" w:cs="Arial"/>
          <w:b w:val="0"/>
          <w:bCs/>
        </w:rPr>
        <w:t xml:space="preserve"> -</w:t>
      </w:r>
      <w:r w:rsidR="00D71541">
        <w:rPr>
          <w:rFonts w:ascii="Arial" w:hAnsi="Arial" w:cs="Arial"/>
          <w:b w:val="0"/>
          <w:bCs/>
        </w:rPr>
        <w:t xml:space="preserve"> Nueva Era S.A.</w:t>
      </w:r>
      <w:r w:rsidR="0081088B">
        <w:rPr>
          <w:rFonts w:ascii="Arial" w:hAnsi="Arial" w:cs="Arial"/>
          <w:b w:val="0"/>
          <w:bCs/>
        </w:rPr>
        <w:t xml:space="preserve"> que cotiza por un total de U$S 2:245.966 DAP Canelones</w:t>
      </w:r>
      <w:r w:rsidR="00813870">
        <w:rPr>
          <w:rFonts w:ascii="Arial" w:hAnsi="Arial" w:cs="Arial"/>
          <w:b w:val="0"/>
          <w:bCs/>
        </w:rPr>
        <w:t>;</w:t>
      </w:r>
      <w:r w:rsidR="00D71541">
        <w:rPr>
          <w:rFonts w:ascii="Arial" w:hAnsi="Arial" w:cs="Arial"/>
          <w:b w:val="0"/>
          <w:bCs/>
        </w:rPr>
        <w:t xml:space="preserve"> </w:t>
      </w:r>
    </w:p>
    <w:p w:rsidR="00813870" w:rsidRDefault="00F13D47" w:rsidP="00813870">
      <w:pPr>
        <w:tabs>
          <w:tab w:val="left" w:pos="2835"/>
        </w:tabs>
        <w:spacing w:line="360" w:lineRule="auto"/>
        <w:jc w:val="both"/>
        <w:rPr>
          <w:rFonts w:ascii="Arial" w:hAnsi="Arial" w:cs="Arial"/>
          <w:b w:val="0"/>
          <w:bCs/>
        </w:rPr>
      </w:pPr>
      <w:r w:rsidRPr="00813870">
        <w:rPr>
          <w:rFonts w:ascii="Arial" w:hAnsi="Arial" w:cs="Arial"/>
          <w:bCs/>
        </w:rPr>
        <w:t>d)</w:t>
      </w:r>
      <w:r w:rsidR="00D71541">
        <w:rPr>
          <w:rFonts w:ascii="Arial" w:hAnsi="Arial" w:cs="Arial"/>
          <w:b w:val="0"/>
          <w:bCs/>
        </w:rPr>
        <w:t xml:space="preserve"> Servipiezas</w:t>
      </w:r>
      <w:r w:rsidR="0081088B">
        <w:rPr>
          <w:rFonts w:ascii="Arial" w:hAnsi="Arial" w:cs="Arial"/>
          <w:b w:val="0"/>
          <w:bCs/>
        </w:rPr>
        <w:t xml:space="preserve"> que cotiza por el ítem 2 por un total de Euros 1:510.400 DAP Canelones</w:t>
      </w:r>
      <w:r w:rsidR="00813870">
        <w:rPr>
          <w:rFonts w:ascii="Arial" w:hAnsi="Arial" w:cs="Arial"/>
          <w:b w:val="0"/>
          <w:bCs/>
        </w:rPr>
        <w:t>;</w:t>
      </w:r>
      <w:r w:rsidR="00D71541">
        <w:rPr>
          <w:rFonts w:ascii="Arial" w:hAnsi="Arial" w:cs="Arial"/>
          <w:b w:val="0"/>
          <w:bCs/>
        </w:rPr>
        <w:t xml:space="preserve"> y </w:t>
      </w:r>
    </w:p>
    <w:p w:rsidR="000C3515" w:rsidRDefault="00F13D47" w:rsidP="00813870">
      <w:pPr>
        <w:tabs>
          <w:tab w:val="left" w:pos="2835"/>
        </w:tabs>
        <w:spacing w:line="360" w:lineRule="auto"/>
        <w:jc w:val="both"/>
        <w:rPr>
          <w:rFonts w:ascii="Arial" w:hAnsi="Arial" w:cs="Arial"/>
          <w:b w:val="0"/>
          <w:bCs/>
        </w:rPr>
      </w:pPr>
      <w:r w:rsidRPr="00813870">
        <w:rPr>
          <w:rFonts w:ascii="Arial" w:hAnsi="Arial" w:cs="Arial"/>
          <w:bCs/>
        </w:rPr>
        <w:t>e)</w:t>
      </w:r>
      <w:r w:rsidR="00D71541">
        <w:rPr>
          <w:rFonts w:ascii="Arial" w:hAnsi="Arial" w:cs="Arial"/>
          <w:b w:val="0"/>
          <w:bCs/>
        </w:rPr>
        <w:t xml:space="preserve"> Sanimobel S.A.</w:t>
      </w:r>
      <w:r w:rsidR="0081088B">
        <w:rPr>
          <w:rFonts w:ascii="Arial" w:hAnsi="Arial" w:cs="Arial"/>
          <w:b w:val="0"/>
          <w:bCs/>
        </w:rPr>
        <w:t xml:space="preserve"> que cotiza los ítem 1 y 2 por un total de U$S 3:536.000 DAP Canelones</w:t>
      </w:r>
      <w:r>
        <w:rPr>
          <w:rFonts w:ascii="Arial" w:hAnsi="Arial" w:cs="Arial"/>
          <w:b w:val="0"/>
          <w:bCs/>
        </w:rPr>
        <w:t>. E</w:t>
      </w:r>
      <w:r w:rsidR="00D71541">
        <w:rPr>
          <w:rFonts w:ascii="Arial" w:hAnsi="Arial" w:cs="Arial"/>
          <w:b w:val="0"/>
          <w:bCs/>
        </w:rPr>
        <w:t xml:space="preserve">n el mismo </w:t>
      </w:r>
      <w:r>
        <w:rPr>
          <w:rFonts w:ascii="Arial" w:hAnsi="Arial" w:cs="Arial"/>
          <w:b w:val="0"/>
          <w:bCs/>
        </w:rPr>
        <w:t xml:space="preserve">acto </w:t>
      </w:r>
      <w:r w:rsidR="00D71541">
        <w:rPr>
          <w:rFonts w:ascii="Arial" w:hAnsi="Arial" w:cs="Arial"/>
          <w:b w:val="0"/>
          <w:bCs/>
        </w:rPr>
        <w:t>la firma Sanimobel S.A. observa que</w:t>
      </w:r>
      <w:r w:rsidR="00AF0884">
        <w:rPr>
          <w:rFonts w:ascii="Arial" w:hAnsi="Arial" w:cs="Arial"/>
          <w:b w:val="0"/>
          <w:bCs/>
        </w:rPr>
        <w:t>,</w:t>
      </w:r>
      <w:r w:rsidR="00D71541">
        <w:rPr>
          <w:rFonts w:ascii="Arial" w:hAnsi="Arial" w:cs="Arial"/>
          <w:b w:val="0"/>
          <w:bCs/>
        </w:rPr>
        <w:t xml:space="preserve"> de la información agregada, surge que Rontil, Pablo Rodríguez y Nueva Era S.A., y Servipiezas presentan productos de fabricación extranjera, sin la firma del titular o titulares, </w:t>
      </w:r>
      <w:r>
        <w:rPr>
          <w:rFonts w:ascii="Arial" w:hAnsi="Arial" w:cs="Arial"/>
          <w:b w:val="0"/>
          <w:bCs/>
        </w:rPr>
        <w:t>no se acredita</w:t>
      </w:r>
      <w:r w:rsidR="00AF0884">
        <w:rPr>
          <w:rFonts w:ascii="Arial" w:hAnsi="Arial" w:cs="Arial"/>
          <w:b w:val="0"/>
          <w:bCs/>
        </w:rPr>
        <w:t xml:space="preserve"> la representación de quié</w:t>
      </w:r>
      <w:r w:rsidR="00D71541">
        <w:rPr>
          <w:rFonts w:ascii="Arial" w:hAnsi="Arial" w:cs="Arial"/>
          <w:b w:val="0"/>
          <w:bCs/>
        </w:rPr>
        <w:t>nes la pres</w:t>
      </w:r>
      <w:r w:rsidR="00813870">
        <w:rPr>
          <w:rFonts w:ascii="Arial" w:hAnsi="Arial" w:cs="Arial"/>
          <w:b w:val="0"/>
          <w:bCs/>
        </w:rPr>
        <w:t>entan de conformidad con el Artículo</w:t>
      </w:r>
      <w:r w:rsidR="00D71541">
        <w:rPr>
          <w:rFonts w:ascii="Arial" w:hAnsi="Arial" w:cs="Arial"/>
          <w:b w:val="0"/>
          <w:bCs/>
        </w:rPr>
        <w:t xml:space="preserve"> 10.1 del P.C.P.</w:t>
      </w:r>
      <w:r>
        <w:rPr>
          <w:rFonts w:ascii="Arial" w:hAnsi="Arial" w:cs="Arial"/>
          <w:b w:val="0"/>
          <w:bCs/>
        </w:rPr>
        <w:t xml:space="preserve">, </w:t>
      </w:r>
      <w:r w:rsidR="00D71541">
        <w:rPr>
          <w:rFonts w:ascii="Arial" w:hAnsi="Arial" w:cs="Arial"/>
          <w:b w:val="0"/>
          <w:bCs/>
        </w:rPr>
        <w:t>tampoco adjuntaron el certificado de estar inscriptos en el Registro Nacional de Representantes de firmas extranjeras como exige la Ley 16.497</w:t>
      </w:r>
      <w:r>
        <w:rPr>
          <w:rFonts w:ascii="Arial" w:hAnsi="Arial" w:cs="Arial"/>
          <w:b w:val="0"/>
          <w:bCs/>
        </w:rPr>
        <w:t>. P</w:t>
      </w:r>
      <w:r w:rsidR="00D71541">
        <w:rPr>
          <w:rFonts w:ascii="Arial" w:hAnsi="Arial" w:cs="Arial"/>
          <w:b w:val="0"/>
          <w:bCs/>
        </w:rPr>
        <w:t>or su parte la firma Rontil S.A. formula observaciones, expresando que el espesor de la chapa de los contenedores metálicos es de 1,5 mm y no de 1,20 como la oferta presentad</w:t>
      </w:r>
      <w:r w:rsidR="00AF0884">
        <w:rPr>
          <w:rFonts w:ascii="Arial" w:hAnsi="Arial" w:cs="Arial"/>
          <w:b w:val="0"/>
          <w:bCs/>
        </w:rPr>
        <w:t>a por Rotomoldeos, y ésta especi</w:t>
      </w:r>
      <w:r w:rsidR="00D71541">
        <w:rPr>
          <w:rFonts w:ascii="Arial" w:hAnsi="Arial" w:cs="Arial"/>
          <w:b w:val="0"/>
          <w:bCs/>
        </w:rPr>
        <w:t>fica que su contenedor de 120 l</w:t>
      </w:r>
      <w:r w:rsidR="00B472B5">
        <w:rPr>
          <w:rFonts w:ascii="Arial" w:hAnsi="Arial" w:cs="Arial"/>
          <w:b w:val="0"/>
          <w:bCs/>
        </w:rPr>
        <w:t>itros</w:t>
      </w:r>
      <w:r w:rsidR="00D71541">
        <w:rPr>
          <w:rFonts w:ascii="Arial" w:hAnsi="Arial" w:cs="Arial"/>
          <w:b w:val="0"/>
          <w:bCs/>
        </w:rPr>
        <w:t xml:space="preserve"> soporta 120 kg lo que excede el test realizado para cumplimiento de la n</w:t>
      </w:r>
      <w:r w:rsidR="002172C8">
        <w:rPr>
          <w:rFonts w:ascii="Arial" w:hAnsi="Arial" w:cs="Arial"/>
          <w:b w:val="0"/>
          <w:bCs/>
        </w:rPr>
        <w:t xml:space="preserve">orma EN 840-5;  </w:t>
      </w:r>
    </w:p>
    <w:p w:rsidR="00D71541" w:rsidRDefault="000C3515" w:rsidP="00813870">
      <w:pPr>
        <w:tabs>
          <w:tab w:val="left" w:pos="2835"/>
        </w:tabs>
        <w:spacing w:line="360" w:lineRule="auto"/>
        <w:jc w:val="both"/>
        <w:rPr>
          <w:rFonts w:ascii="Arial" w:hAnsi="Arial" w:cs="Arial"/>
          <w:b w:val="0"/>
          <w:bCs/>
          <w:u w:val="single"/>
        </w:rPr>
      </w:pPr>
      <w:r>
        <w:rPr>
          <w:rFonts w:ascii="Arial" w:hAnsi="Arial" w:cs="Arial"/>
          <w:b w:val="0"/>
          <w:bCs/>
        </w:rPr>
        <w:t xml:space="preserve">                               </w:t>
      </w:r>
      <w:r w:rsidR="00B34AD6">
        <w:rPr>
          <w:rFonts w:ascii="Arial" w:hAnsi="Arial" w:cs="Arial"/>
          <w:b w:val="0"/>
          <w:bCs/>
        </w:rPr>
        <w:t xml:space="preserve">     </w:t>
      </w:r>
      <w:r w:rsidR="0093512E">
        <w:rPr>
          <w:rFonts w:ascii="Arial" w:hAnsi="Arial" w:cs="Arial"/>
          <w:b w:val="0"/>
          <w:bCs/>
        </w:rPr>
        <w:tab/>
      </w:r>
      <w:r w:rsidR="0047777E">
        <w:rPr>
          <w:rFonts w:ascii="Arial" w:hAnsi="Arial" w:cs="Arial"/>
          <w:bCs/>
        </w:rPr>
        <w:t>5</w:t>
      </w:r>
      <w:r w:rsidRPr="00B34AD6">
        <w:rPr>
          <w:rFonts w:ascii="Arial" w:hAnsi="Arial" w:cs="Arial"/>
          <w:bCs/>
        </w:rPr>
        <w:t>)</w:t>
      </w:r>
      <w:r>
        <w:rPr>
          <w:rFonts w:ascii="Arial" w:hAnsi="Arial" w:cs="Arial"/>
          <w:b w:val="0"/>
          <w:bCs/>
        </w:rPr>
        <w:t xml:space="preserve"> que</w:t>
      </w:r>
      <w:r w:rsidR="00AF0884">
        <w:rPr>
          <w:rFonts w:ascii="Arial" w:hAnsi="Arial" w:cs="Arial"/>
          <w:b w:val="0"/>
          <w:bCs/>
        </w:rPr>
        <w:t>,</w:t>
      </w:r>
      <w:r>
        <w:rPr>
          <w:rFonts w:ascii="Arial" w:hAnsi="Arial" w:cs="Arial"/>
          <w:b w:val="0"/>
          <w:bCs/>
        </w:rPr>
        <w:t xml:space="preserve"> con fecha 09/09/2016</w:t>
      </w:r>
      <w:r w:rsidR="00AF0884">
        <w:rPr>
          <w:rFonts w:ascii="Arial" w:hAnsi="Arial" w:cs="Arial"/>
          <w:b w:val="0"/>
          <w:bCs/>
        </w:rPr>
        <w:t>,</w:t>
      </w:r>
      <w:r>
        <w:rPr>
          <w:rFonts w:ascii="Arial" w:hAnsi="Arial" w:cs="Arial"/>
          <w:b w:val="0"/>
          <w:bCs/>
        </w:rPr>
        <w:t xml:space="preserve"> </w:t>
      </w:r>
      <w:r w:rsidR="00370AE9">
        <w:rPr>
          <w:rFonts w:ascii="Arial" w:hAnsi="Arial" w:cs="Arial"/>
          <w:b w:val="0"/>
          <w:bCs/>
        </w:rPr>
        <w:t xml:space="preserve">el Área de Planificación y Seguimiento informa que </w:t>
      </w:r>
      <w:r w:rsidR="00B558A7">
        <w:rPr>
          <w:rFonts w:ascii="Arial" w:hAnsi="Arial" w:cs="Arial"/>
          <w:b w:val="0"/>
          <w:bCs/>
        </w:rPr>
        <w:t>los mejores puntajes fueron asignados a Pablo Rodríguez y Rotomoldeos</w:t>
      </w:r>
      <w:r w:rsidR="0093512E">
        <w:rPr>
          <w:rFonts w:ascii="Arial" w:hAnsi="Arial" w:cs="Arial"/>
          <w:b w:val="0"/>
          <w:bCs/>
        </w:rPr>
        <w:t>-Nueva Era, a saber, para el Ítem</w:t>
      </w:r>
      <w:r w:rsidR="00B558A7">
        <w:rPr>
          <w:rFonts w:ascii="Arial" w:hAnsi="Arial" w:cs="Arial"/>
          <w:b w:val="0"/>
          <w:bCs/>
        </w:rPr>
        <w:t xml:space="preserve"> </w:t>
      </w:r>
      <w:r w:rsidR="0093512E">
        <w:rPr>
          <w:rFonts w:ascii="Arial" w:hAnsi="Arial" w:cs="Arial"/>
          <w:b w:val="0"/>
          <w:bCs/>
        </w:rPr>
        <w:t xml:space="preserve">1 - de 85 </w:t>
      </w:r>
      <w:r w:rsidR="0093512E">
        <w:rPr>
          <w:rFonts w:ascii="Arial" w:hAnsi="Arial" w:cs="Arial"/>
          <w:b w:val="0"/>
          <w:bCs/>
        </w:rPr>
        <w:lastRenderedPageBreak/>
        <w:t>puntos  y 75 puntos, Ítem 2: 78 y 68 e, Ítem</w:t>
      </w:r>
      <w:r w:rsidR="00B558A7">
        <w:rPr>
          <w:rFonts w:ascii="Arial" w:hAnsi="Arial" w:cs="Arial"/>
          <w:b w:val="0"/>
          <w:bCs/>
        </w:rPr>
        <w:t xml:space="preserve"> 3 - 78 y 65, respectivamente. Por tanto las propuestas más convenientes son: </w:t>
      </w:r>
      <w:r w:rsidR="00370AE9">
        <w:rPr>
          <w:rFonts w:ascii="Arial" w:hAnsi="Arial" w:cs="Arial"/>
          <w:b w:val="0"/>
          <w:bCs/>
        </w:rPr>
        <w:t xml:space="preserve">para </w:t>
      </w:r>
      <w:r w:rsidR="00F856EB">
        <w:rPr>
          <w:rFonts w:ascii="Arial" w:hAnsi="Arial" w:cs="Arial"/>
          <w:b w:val="0"/>
          <w:bCs/>
        </w:rPr>
        <w:t>los</w:t>
      </w:r>
      <w:r w:rsidR="0093512E">
        <w:rPr>
          <w:rFonts w:ascii="Arial" w:hAnsi="Arial" w:cs="Arial"/>
          <w:b w:val="0"/>
          <w:bCs/>
        </w:rPr>
        <w:t xml:space="preserve"> Ítems</w:t>
      </w:r>
      <w:r w:rsidR="00370AE9">
        <w:rPr>
          <w:rFonts w:ascii="Arial" w:hAnsi="Arial" w:cs="Arial"/>
          <w:b w:val="0"/>
          <w:bCs/>
        </w:rPr>
        <w:t xml:space="preserve"> 1 </w:t>
      </w:r>
      <w:r w:rsidR="00C74518">
        <w:rPr>
          <w:rFonts w:ascii="Arial" w:hAnsi="Arial" w:cs="Arial"/>
          <w:b w:val="0"/>
          <w:bCs/>
        </w:rPr>
        <w:t>y 2</w:t>
      </w:r>
      <w:r w:rsidR="00F856EB">
        <w:rPr>
          <w:rFonts w:ascii="Arial" w:hAnsi="Arial" w:cs="Arial"/>
          <w:b w:val="0"/>
          <w:bCs/>
        </w:rPr>
        <w:t>,</w:t>
      </w:r>
      <w:r w:rsidR="00C74518">
        <w:rPr>
          <w:rFonts w:ascii="Arial" w:hAnsi="Arial" w:cs="Arial"/>
          <w:b w:val="0"/>
          <w:bCs/>
        </w:rPr>
        <w:t xml:space="preserve"> de Pablo Rodríguez por U$S 1:568.000 y U$S 1:465.600 respectivamente</w:t>
      </w:r>
      <w:r w:rsidR="00C67E33">
        <w:rPr>
          <w:rFonts w:ascii="Arial" w:hAnsi="Arial" w:cs="Arial"/>
          <w:b w:val="0"/>
          <w:bCs/>
        </w:rPr>
        <w:t xml:space="preserve"> (total adjudicado de U$S 3.033.600)</w:t>
      </w:r>
      <w:r w:rsidR="00B558A7">
        <w:rPr>
          <w:rFonts w:ascii="Arial" w:hAnsi="Arial" w:cs="Arial"/>
          <w:b w:val="0"/>
          <w:bCs/>
        </w:rPr>
        <w:t xml:space="preserve"> </w:t>
      </w:r>
      <w:r w:rsidR="00C74518">
        <w:rPr>
          <w:rFonts w:ascii="Arial" w:hAnsi="Arial" w:cs="Arial"/>
          <w:b w:val="0"/>
          <w:bCs/>
        </w:rPr>
        <w:t>y</w:t>
      </w:r>
      <w:r w:rsidR="00F856EB">
        <w:rPr>
          <w:rFonts w:ascii="Arial" w:hAnsi="Arial" w:cs="Arial"/>
          <w:b w:val="0"/>
          <w:bCs/>
        </w:rPr>
        <w:t>,</w:t>
      </w:r>
      <w:r w:rsidR="00C74518">
        <w:rPr>
          <w:rFonts w:ascii="Arial" w:hAnsi="Arial" w:cs="Arial"/>
          <w:b w:val="0"/>
          <w:bCs/>
        </w:rPr>
        <w:t xml:space="preserve"> para el Ítem 3 la de la firma Rotomoldeos por U$S 9.710</w:t>
      </w:r>
      <w:r w:rsidR="00A175B6">
        <w:rPr>
          <w:rFonts w:ascii="Arial" w:hAnsi="Arial" w:cs="Arial"/>
          <w:b w:val="0"/>
          <w:bCs/>
        </w:rPr>
        <w:t>. E</w:t>
      </w:r>
      <w:r w:rsidR="00C6499B">
        <w:rPr>
          <w:rFonts w:ascii="Arial" w:hAnsi="Arial" w:cs="Arial"/>
          <w:b w:val="0"/>
          <w:bCs/>
        </w:rPr>
        <w:t xml:space="preserve">l informe </w:t>
      </w:r>
      <w:r w:rsidR="00A175B6">
        <w:rPr>
          <w:rFonts w:ascii="Arial" w:hAnsi="Arial" w:cs="Arial"/>
          <w:b w:val="0"/>
          <w:bCs/>
        </w:rPr>
        <w:t xml:space="preserve">es </w:t>
      </w:r>
      <w:r w:rsidR="00C6499B">
        <w:rPr>
          <w:rFonts w:ascii="Arial" w:hAnsi="Arial" w:cs="Arial"/>
          <w:b w:val="0"/>
          <w:bCs/>
        </w:rPr>
        <w:t>confirmado  por la Dirección General de Gestión Ambiental</w:t>
      </w:r>
      <w:r w:rsidR="000367DC">
        <w:rPr>
          <w:rFonts w:ascii="Arial" w:hAnsi="Arial" w:cs="Arial"/>
          <w:b w:val="0"/>
          <w:bCs/>
        </w:rPr>
        <w:t xml:space="preserve"> con fecha 12/09/16</w:t>
      </w:r>
      <w:r w:rsidR="00C74518">
        <w:rPr>
          <w:rFonts w:ascii="Arial" w:hAnsi="Arial" w:cs="Arial"/>
          <w:b w:val="0"/>
          <w:bCs/>
        </w:rPr>
        <w:t xml:space="preserve">; </w:t>
      </w:r>
      <w:r>
        <w:rPr>
          <w:rFonts w:ascii="Arial" w:hAnsi="Arial" w:cs="Arial"/>
          <w:b w:val="0"/>
          <w:bCs/>
        </w:rPr>
        <w:t xml:space="preserve"> </w:t>
      </w:r>
      <w:r w:rsidR="00D71541">
        <w:rPr>
          <w:rFonts w:ascii="Arial" w:hAnsi="Arial" w:cs="Arial"/>
          <w:b w:val="0"/>
          <w:bCs/>
        </w:rPr>
        <w:t xml:space="preserve">    </w:t>
      </w:r>
      <w:r w:rsidR="00D71541">
        <w:rPr>
          <w:rFonts w:ascii="Arial" w:hAnsi="Arial" w:cs="Arial"/>
          <w:b w:val="0"/>
        </w:rPr>
        <w:t xml:space="preserve"> </w:t>
      </w:r>
    </w:p>
    <w:p w:rsidR="00D71541" w:rsidRDefault="00D71541" w:rsidP="00813870">
      <w:pPr>
        <w:pStyle w:val="Textoindependiente2"/>
        <w:tabs>
          <w:tab w:val="left" w:pos="2835"/>
        </w:tabs>
        <w:rPr>
          <w:b/>
          <w:bCs w:val="0"/>
        </w:rPr>
      </w:pPr>
      <w:r>
        <w:rPr>
          <w:b/>
          <w:bCs w:val="0"/>
        </w:rPr>
        <w:t xml:space="preserve">                                </w:t>
      </w:r>
      <w:r w:rsidR="00B34AD6">
        <w:rPr>
          <w:b/>
          <w:bCs w:val="0"/>
        </w:rPr>
        <w:t xml:space="preserve">    </w:t>
      </w:r>
      <w:r w:rsidR="0093512E">
        <w:rPr>
          <w:b/>
          <w:bCs w:val="0"/>
        </w:rPr>
        <w:tab/>
      </w:r>
      <w:r w:rsidR="0047777E">
        <w:rPr>
          <w:b/>
        </w:rPr>
        <w:t>6</w:t>
      </w:r>
      <w:r>
        <w:rPr>
          <w:b/>
        </w:rPr>
        <w:t>)</w:t>
      </w:r>
      <w:r>
        <w:rPr>
          <w:b/>
          <w:bCs w:val="0"/>
        </w:rPr>
        <w:t xml:space="preserve"> </w:t>
      </w:r>
      <w:r>
        <w:rPr>
          <w:bCs w:val="0"/>
        </w:rPr>
        <w:t>que la Comisión Asesora de Adjudicaciones</w:t>
      </w:r>
      <w:r w:rsidR="00C6499B">
        <w:rPr>
          <w:bCs w:val="0"/>
        </w:rPr>
        <w:t>, con fecha 28/11/16</w:t>
      </w:r>
      <w:r w:rsidR="00AF0884">
        <w:rPr>
          <w:bCs w:val="0"/>
        </w:rPr>
        <w:t>,</w:t>
      </w:r>
      <w:r>
        <w:rPr>
          <w:b/>
          <w:bCs w:val="0"/>
        </w:rPr>
        <w:t xml:space="preserve"> </w:t>
      </w:r>
      <w:r w:rsidR="00C6499B">
        <w:rPr>
          <w:bCs w:val="0"/>
        </w:rPr>
        <w:t xml:space="preserve">emite dictamen, </w:t>
      </w:r>
      <w:r w:rsidR="00A175B6">
        <w:rPr>
          <w:bCs w:val="0"/>
        </w:rPr>
        <w:t xml:space="preserve">expresando en el análisis de admisibilidad de las ofertas que todas las empresas se encuentran inscriptas en el RUPE en estado “Activo”, a excepción de Sanimobel S.A. en estado “en ingreso”, faltando agregar la </w:t>
      </w:r>
      <w:r w:rsidR="00A35DBC">
        <w:rPr>
          <w:bCs w:val="0"/>
        </w:rPr>
        <w:t>documentación correspondiente (Artículo</w:t>
      </w:r>
      <w:r w:rsidR="00A175B6">
        <w:rPr>
          <w:bCs w:val="0"/>
        </w:rPr>
        <w:t xml:space="preserve"> 10.5 del pliego). Todas las propuestas se encuentran firmadas, presentan recibo de compra de pliego, de depósito de garantía y comproba</w:t>
      </w:r>
      <w:r w:rsidR="006B5E06">
        <w:rPr>
          <w:bCs w:val="0"/>
        </w:rPr>
        <w:t>nte de entrega de muestras y so</w:t>
      </w:r>
      <w:r w:rsidR="00A175B6">
        <w:rPr>
          <w:bCs w:val="0"/>
        </w:rPr>
        <w:t xml:space="preserve">n en condición DAP. Efectuada la comparación, </w:t>
      </w:r>
      <w:r w:rsidR="00C6499B">
        <w:rPr>
          <w:bCs w:val="0"/>
        </w:rPr>
        <w:t>sugi</w:t>
      </w:r>
      <w:r w:rsidR="00A175B6">
        <w:rPr>
          <w:bCs w:val="0"/>
        </w:rPr>
        <w:t>e</w:t>
      </w:r>
      <w:r w:rsidR="00C6499B">
        <w:rPr>
          <w:bCs w:val="0"/>
        </w:rPr>
        <w:t>r</w:t>
      </w:r>
      <w:r w:rsidR="00A175B6">
        <w:rPr>
          <w:bCs w:val="0"/>
        </w:rPr>
        <w:t>e</w:t>
      </w:r>
      <w:r w:rsidR="00C6499B">
        <w:rPr>
          <w:bCs w:val="0"/>
        </w:rPr>
        <w:t xml:space="preserve"> la adjudicación conforme lo informado por</w:t>
      </w:r>
      <w:r w:rsidR="00215506">
        <w:rPr>
          <w:bCs w:val="0"/>
        </w:rPr>
        <w:t xml:space="preserve"> los servicios técnicos, por un total de U$S 3:043.310 en condiciones DAP Canelones</w:t>
      </w:r>
      <w:r w:rsidR="00C53D04">
        <w:rPr>
          <w:bCs w:val="0"/>
        </w:rPr>
        <w:t>. Asimismo a</w:t>
      </w:r>
      <w:r w:rsidR="00215506">
        <w:rPr>
          <w:bCs w:val="0"/>
        </w:rPr>
        <w:t>clara</w:t>
      </w:r>
      <w:r w:rsidR="00C53D04">
        <w:rPr>
          <w:bCs w:val="0"/>
        </w:rPr>
        <w:t xml:space="preserve"> </w:t>
      </w:r>
      <w:r w:rsidR="00215506">
        <w:rPr>
          <w:bCs w:val="0"/>
        </w:rPr>
        <w:t xml:space="preserve">que la adjudicación queda condicionada a que resulte exitosa la emisión del fideicomiso que se encuentra en trámite por expediente 2016-81-1010-00051, en virtud que el mismo es la fuente de recursos financieros para la compra objeto de la presente licitación;  </w:t>
      </w:r>
    </w:p>
    <w:p w:rsidR="00D71541" w:rsidRDefault="0045600B" w:rsidP="00813870">
      <w:pPr>
        <w:tabs>
          <w:tab w:val="left" w:pos="2835"/>
        </w:tabs>
        <w:spacing w:line="360" w:lineRule="auto"/>
        <w:jc w:val="both"/>
        <w:rPr>
          <w:rFonts w:ascii="Arial" w:hAnsi="Arial" w:cs="Arial"/>
          <w:b w:val="0"/>
          <w:bCs/>
        </w:rPr>
      </w:pPr>
      <w:r>
        <w:rPr>
          <w:rFonts w:ascii="Arial" w:hAnsi="Arial" w:cs="Arial"/>
          <w:bCs/>
        </w:rPr>
        <w:t xml:space="preserve">                              </w:t>
      </w:r>
      <w:r w:rsidR="00B34AD6">
        <w:rPr>
          <w:rFonts w:ascii="Arial" w:hAnsi="Arial" w:cs="Arial"/>
          <w:bCs/>
        </w:rPr>
        <w:t xml:space="preserve">    </w:t>
      </w:r>
      <w:r w:rsidR="0047777E">
        <w:rPr>
          <w:rFonts w:ascii="Arial" w:hAnsi="Arial" w:cs="Arial"/>
          <w:bCs/>
        </w:rPr>
        <w:t xml:space="preserve"> </w:t>
      </w:r>
      <w:r w:rsidR="0093512E">
        <w:rPr>
          <w:rFonts w:ascii="Arial" w:hAnsi="Arial" w:cs="Arial"/>
          <w:bCs/>
        </w:rPr>
        <w:tab/>
      </w:r>
      <w:r w:rsidR="0047777E">
        <w:rPr>
          <w:rFonts w:ascii="Arial" w:hAnsi="Arial" w:cs="Arial"/>
          <w:bCs/>
        </w:rPr>
        <w:t>7</w:t>
      </w:r>
      <w:r w:rsidR="00D71541">
        <w:rPr>
          <w:rFonts w:ascii="Arial" w:hAnsi="Arial" w:cs="Arial"/>
          <w:bCs/>
        </w:rPr>
        <w:t xml:space="preserve">) </w:t>
      </w:r>
      <w:r w:rsidR="00D71541">
        <w:rPr>
          <w:rFonts w:ascii="Arial" w:hAnsi="Arial" w:cs="Arial"/>
          <w:b w:val="0"/>
          <w:bCs/>
        </w:rPr>
        <w:t>que</w:t>
      </w:r>
      <w:r w:rsidR="00AF0884">
        <w:rPr>
          <w:rFonts w:ascii="Arial" w:hAnsi="Arial" w:cs="Arial"/>
          <w:b w:val="0"/>
          <w:bCs/>
        </w:rPr>
        <w:t>,</w:t>
      </w:r>
      <w:r w:rsidR="00D71541">
        <w:rPr>
          <w:rFonts w:ascii="Arial" w:hAnsi="Arial" w:cs="Arial"/>
          <w:b w:val="0"/>
          <w:bCs/>
        </w:rPr>
        <w:t xml:space="preserve"> </w:t>
      </w:r>
      <w:r w:rsidR="00215506">
        <w:rPr>
          <w:rFonts w:ascii="Arial" w:hAnsi="Arial" w:cs="Arial"/>
          <w:b w:val="0"/>
          <w:bCs/>
        </w:rPr>
        <w:t>conferida vista de las actuaciones</w:t>
      </w:r>
      <w:r w:rsidR="00C53D04">
        <w:rPr>
          <w:rFonts w:ascii="Arial" w:hAnsi="Arial" w:cs="Arial"/>
          <w:b w:val="0"/>
          <w:bCs/>
        </w:rPr>
        <w:t xml:space="preserve"> de</w:t>
      </w:r>
      <w:r w:rsidR="00A35DBC">
        <w:rPr>
          <w:rFonts w:ascii="Arial" w:hAnsi="Arial" w:cs="Arial"/>
          <w:b w:val="0"/>
          <w:bCs/>
        </w:rPr>
        <w:t xml:space="preserve"> acuerdo a lo dispuesto por el Artículo</w:t>
      </w:r>
      <w:r w:rsidR="00C53D04">
        <w:rPr>
          <w:rFonts w:ascii="Arial" w:hAnsi="Arial" w:cs="Arial"/>
          <w:b w:val="0"/>
          <w:bCs/>
        </w:rPr>
        <w:t xml:space="preserve"> 67 del TOCAF</w:t>
      </w:r>
      <w:r w:rsidR="00215506">
        <w:rPr>
          <w:rFonts w:ascii="Arial" w:hAnsi="Arial" w:cs="Arial"/>
          <w:b w:val="0"/>
          <w:bCs/>
        </w:rPr>
        <w:t xml:space="preserve">, formularon observaciones las firmas: - Sanimobel S.A., y – Rotomoldeos, Nueva Era S.A.; </w:t>
      </w:r>
    </w:p>
    <w:p w:rsidR="00DF651D" w:rsidRDefault="00215506" w:rsidP="00813870">
      <w:pPr>
        <w:tabs>
          <w:tab w:val="left" w:pos="2835"/>
        </w:tabs>
        <w:spacing w:line="360" w:lineRule="auto"/>
        <w:jc w:val="both"/>
        <w:rPr>
          <w:rFonts w:ascii="Arial" w:hAnsi="Arial" w:cs="Arial"/>
          <w:b w:val="0"/>
          <w:bCs/>
        </w:rPr>
      </w:pPr>
      <w:r>
        <w:rPr>
          <w:rFonts w:ascii="Arial" w:hAnsi="Arial" w:cs="Arial"/>
          <w:b w:val="0"/>
          <w:bCs/>
        </w:rPr>
        <w:t xml:space="preserve">                            </w:t>
      </w:r>
      <w:r w:rsidR="00867FD9">
        <w:rPr>
          <w:rFonts w:ascii="Arial" w:hAnsi="Arial" w:cs="Arial"/>
          <w:b w:val="0"/>
          <w:bCs/>
        </w:rPr>
        <w:t xml:space="preserve">  </w:t>
      </w:r>
      <w:r>
        <w:rPr>
          <w:rFonts w:ascii="Arial" w:hAnsi="Arial" w:cs="Arial"/>
          <w:b w:val="0"/>
          <w:bCs/>
        </w:rPr>
        <w:t xml:space="preserve"> </w:t>
      </w:r>
      <w:r w:rsidR="00B34AD6">
        <w:rPr>
          <w:rFonts w:ascii="Arial" w:hAnsi="Arial" w:cs="Arial"/>
          <w:b w:val="0"/>
          <w:bCs/>
        </w:rPr>
        <w:t xml:space="preserve">   </w:t>
      </w:r>
      <w:r w:rsidR="0047777E">
        <w:rPr>
          <w:rFonts w:ascii="Arial" w:hAnsi="Arial" w:cs="Arial"/>
          <w:b w:val="0"/>
          <w:bCs/>
        </w:rPr>
        <w:t xml:space="preserve">  </w:t>
      </w:r>
      <w:r w:rsidR="0093512E">
        <w:rPr>
          <w:rFonts w:ascii="Arial" w:hAnsi="Arial" w:cs="Arial"/>
          <w:b w:val="0"/>
          <w:bCs/>
        </w:rPr>
        <w:tab/>
      </w:r>
      <w:r w:rsidR="0047777E">
        <w:rPr>
          <w:rFonts w:ascii="Arial" w:hAnsi="Arial" w:cs="Arial"/>
          <w:bCs/>
        </w:rPr>
        <w:t>8</w:t>
      </w:r>
      <w:r w:rsidRPr="00B34AD6">
        <w:rPr>
          <w:rFonts w:ascii="Arial" w:hAnsi="Arial" w:cs="Arial"/>
          <w:bCs/>
        </w:rPr>
        <w:t>)</w:t>
      </w:r>
      <w:r>
        <w:rPr>
          <w:rFonts w:ascii="Arial" w:hAnsi="Arial" w:cs="Arial"/>
          <w:b w:val="0"/>
          <w:bCs/>
        </w:rPr>
        <w:t xml:space="preserve"> que las observa</w:t>
      </w:r>
      <w:r w:rsidR="00A35DBC">
        <w:rPr>
          <w:rFonts w:ascii="Arial" w:hAnsi="Arial" w:cs="Arial"/>
          <w:b w:val="0"/>
          <w:bCs/>
        </w:rPr>
        <w:t>ciones formuladas por Sanimobel</w:t>
      </w:r>
      <w:r>
        <w:rPr>
          <w:rFonts w:ascii="Arial" w:hAnsi="Arial" w:cs="Arial"/>
          <w:b w:val="0"/>
          <w:bCs/>
        </w:rPr>
        <w:t>S.A. en lo medular refieren a</w:t>
      </w:r>
      <w:r w:rsidR="005E1B90">
        <w:rPr>
          <w:rFonts w:ascii="Arial" w:hAnsi="Arial" w:cs="Arial"/>
          <w:b w:val="0"/>
          <w:bCs/>
        </w:rPr>
        <w:t xml:space="preserve"> que</w:t>
      </w:r>
      <w:r>
        <w:rPr>
          <w:rFonts w:ascii="Arial" w:hAnsi="Arial" w:cs="Arial"/>
          <w:b w:val="0"/>
          <w:bCs/>
        </w:rPr>
        <w:t xml:space="preserve">: </w:t>
      </w:r>
      <w:r w:rsidR="005E1B90">
        <w:rPr>
          <w:rFonts w:ascii="Arial" w:hAnsi="Arial" w:cs="Arial"/>
          <w:b w:val="0"/>
          <w:bCs/>
        </w:rPr>
        <w:t>- la oferta presentada por Pablo Rodríguez en lo que hace al plan de entrega incumple requisi</w:t>
      </w:r>
      <w:r w:rsidR="00A35DBC">
        <w:rPr>
          <w:rFonts w:ascii="Arial" w:hAnsi="Arial" w:cs="Arial"/>
          <w:b w:val="0"/>
          <w:bCs/>
        </w:rPr>
        <w:t>tos esenciales del Pliego, Artículo</w:t>
      </w:r>
      <w:r w:rsidR="005E1B90">
        <w:rPr>
          <w:rFonts w:ascii="Arial" w:hAnsi="Arial" w:cs="Arial"/>
          <w:b w:val="0"/>
          <w:bCs/>
        </w:rPr>
        <w:t xml:space="preserve">14, al establecer una sucesión de entregas para el </w:t>
      </w:r>
      <w:r w:rsidR="005B102A">
        <w:rPr>
          <w:rFonts w:ascii="Arial" w:hAnsi="Arial" w:cs="Arial"/>
          <w:b w:val="0"/>
          <w:bCs/>
        </w:rPr>
        <w:t xml:space="preserve">Ítem 1, </w:t>
      </w:r>
      <w:r w:rsidR="00BC67AD">
        <w:rPr>
          <w:rFonts w:ascii="Arial" w:hAnsi="Arial" w:cs="Arial"/>
          <w:b w:val="0"/>
          <w:bCs/>
        </w:rPr>
        <w:t>- dicha oferta incumple</w:t>
      </w:r>
      <w:r w:rsidR="00AF0884" w:rsidRPr="00AF0884">
        <w:rPr>
          <w:rFonts w:ascii="Arial" w:hAnsi="Arial" w:cs="Arial"/>
          <w:b w:val="0"/>
          <w:bCs/>
        </w:rPr>
        <w:t xml:space="preserve"> </w:t>
      </w:r>
      <w:r w:rsidR="00AF0884">
        <w:rPr>
          <w:rFonts w:ascii="Arial" w:hAnsi="Arial" w:cs="Arial"/>
          <w:b w:val="0"/>
          <w:bCs/>
        </w:rPr>
        <w:t xml:space="preserve">además </w:t>
      </w:r>
      <w:r w:rsidR="00A35DBC">
        <w:rPr>
          <w:rFonts w:ascii="Arial" w:hAnsi="Arial" w:cs="Arial"/>
          <w:b w:val="0"/>
          <w:bCs/>
        </w:rPr>
        <w:t>con el Artículo</w:t>
      </w:r>
      <w:r w:rsidR="00BC67AD">
        <w:rPr>
          <w:rFonts w:ascii="Arial" w:hAnsi="Arial" w:cs="Arial"/>
          <w:b w:val="0"/>
          <w:bCs/>
        </w:rPr>
        <w:t xml:space="preserve"> 13 </w:t>
      </w:r>
      <w:r w:rsidR="00EB344F">
        <w:rPr>
          <w:rFonts w:ascii="Arial" w:hAnsi="Arial" w:cs="Arial"/>
          <w:b w:val="0"/>
          <w:bCs/>
        </w:rPr>
        <w:t>del mismo texto,</w:t>
      </w:r>
      <w:r w:rsidR="00BC67AD">
        <w:rPr>
          <w:rFonts w:ascii="Arial" w:hAnsi="Arial" w:cs="Arial"/>
          <w:b w:val="0"/>
          <w:bCs/>
        </w:rPr>
        <w:t xml:space="preserve"> </w:t>
      </w:r>
      <w:r w:rsidR="00977744">
        <w:rPr>
          <w:rFonts w:ascii="Arial" w:hAnsi="Arial" w:cs="Arial"/>
          <w:b w:val="0"/>
          <w:bCs/>
        </w:rPr>
        <w:t>que establece los requisitos en el caso de presentarse empresa</w:t>
      </w:r>
      <w:r w:rsidR="00A35DBC">
        <w:rPr>
          <w:rFonts w:ascii="Arial" w:hAnsi="Arial" w:cs="Arial"/>
          <w:b w:val="0"/>
          <w:bCs/>
        </w:rPr>
        <w:t>s extranjeras, en cuanto el Sr.</w:t>
      </w:r>
      <w:r w:rsidR="00977744">
        <w:rPr>
          <w:rFonts w:ascii="Arial" w:hAnsi="Arial" w:cs="Arial"/>
          <w:b w:val="0"/>
          <w:bCs/>
        </w:rPr>
        <w:t xml:space="preserve">Rodríguez presenta en su oferta contenedores fabricados por una empresa </w:t>
      </w:r>
      <w:r w:rsidR="00977744">
        <w:rPr>
          <w:rFonts w:ascii="Arial" w:hAnsi="Arial" w:cs="Arial"/>
          <w:b w:val="0"/>
          <w:bCs/>
        </w:rPr>
        <w:lastRenderedPageBreak/>
        <w:t>de la República Popular China, agregando en su oferta certificados de una empresa extranjera, lo que implica que la esté representando, -</w:t>
      </w:r>
      <w:r w:rsidR="0022674B">
        <w:rPr>
          <w:rFonts w:ascii="Arial" w:hAnsi="Arial" w:cs="Arial"/>
          <w:b w:val="0"/>
          <w:bCs/>
        </w:rPr>
        <w:t xml:space="preserve"> presenta documentos aparentemente emitidos en el extranjero presentados por la firma Pablo Rodríguez que carecen de efi</w:t>
      </w:r>
      <w:r w:rsidR="00DF651D">
        <w:rPr>
          <w:rFonts w:ascii="Arial" w:hAnsi="Arial" w:cs="Arial"/>
          <w:b w:val="0"/>
          <w:bCs/>
        </w:rPr>
        <w:t xml:space="preserve">cacia jurídica en nuestro país; </w:t>
      </w:r>
      <w:r w:rsidR="00977744">
        <w:rPr>
          <w:rFonts w:ascii="Arial" w:hAnsi="Arial" w:cs="Arial"/>
          <w:b w:val="0"/>
          <w:bCs/>
        </w:rPr>
        <w:t xml:space="preserve"> </w:t>
      </w:r>
      <w:r w:rsidR="00B30A67">
        <w:rPr>
          <w:rFonts w:ascii="Arial" w:hAnsi="Arial" w:cs="Arial"/>
          <w:b w:val="0"/>
          <w:bCs/>
        </w:rPr>
        <w:t xml:space="preserve"> </w:t>
      </w:r>
      <w:r w:rsidR="00DF651D">
        <w:rPr>
          <w:rFonts w:ascii="Arial" w:hAnsi="Arial" w:cs="Arial"/>
          <w:b w:val="0"/>
          <w:bCs/>
        </w:rPr>
        <w:t xml:space="preserve">    </w:t>
      </w:r>
    </w:p>
    <w:p w:rsidR="00215506" w:rsidRDefault="00DF651D" w:rsidP="00813870">
      <w:pPr>
        <w:tabs>
          <w:tab w:val="left" w:pos="2835"/>
        </w:tabs>
        <w:spacing w:line="360" w:lineRule="auto"/>
        <w:jc w:val="both"/>
        <w:rPr>
          <w:rFonts w:ascii="Arial" w:hAnsi="Arial" w:cs="Arial"/>
          <w:b w:val="0"/>
          <w:bCs/>
        </w:rPr>
      </w:pPr>
      <w:r>
        <w:rPr>
          <w:rFonts w:ascii="Arial" w:hAnsi="Arial" w:cs="Arial"/>
          <w:b w:val="0"/>
          <w:bCs/>
        </w:rPr>
        <w:t xml:space="preserve">                              </w:t>
      </w:r>
      <w:r w:rsidR="003B55FD">
        <w:rPr>
          <w:rFonts w:ascii="Arial" w:hAnsi="Arial" w:cs="Arial"/>
          <w:b w:val="0"/>
          <w:bCs/>
        </w:rPr>
        <w:t xml:space="preserve">  </w:t>
      </w:r>
      <w:r w:rsidR="00B34AD6">
        <w:rPr>
          <w:rFonts w:ascii="Arial" w:hAnsi="Arial" w:cs="Arial"/>
          <w:b w:val="0"/>
          <w:bCs/>
        </w:rPr>
        <w:t xml:space="preserve"> </w:t>
      </w:r>
      <w:r w:rsidR="0047777E">
        <w:rPr>
          <w:rFonts w:ascii="Arial" w:hAnsi="Arial" w:cs="Arial"/>
          <w:b w:val="0"/>
          <w:bCs/>
        </w:rPr>
        <w:t xml:space="preserve"> </w:t>
      </w:r>
      <w:r w:rsidR="0093512E">
        <w:rPr>
          <w:rFonts w:ascii="Arial" w:hAnsi="Arial" w:cs="Arial"/>
          <w:b w:val="0"/>
          <w:bCs/>
        </w:rPr>
        <w:tab/>
      </w:r>
      <w:r w:rsidR="0047777E">
        <w:rPr>
          <w:rFonts w:ascii="Arial" w:hAnsi="Arial" w:cs="Arial"/>
          <w:bCs/>
        </w:rPr>
        <w:t>9</w:t>
      </w:r>
      <w:r w:rsidRPr="00B34AD6">
        <w:rPr>
          <w:rFonts w:ascii="Arial" w:hAnsi="Arial" w:cs="Arial"/>
          <w:bCs/>
        </w:rPr>
        <w:t>)</w:t>
      </w:r>
      <w:r>
        <w:rPr>
          <w:rFonts w:ascii="Arial" w:hAnsi="Arial" w:cs="Arial"/>
          <w:b w:val="0"/>
          <w:bCs/>
        </w:rPr>
        <w:t xml:space="preserve"> que las observaciones formuladas por Rotomoldeos – Nueva Era S.A., en lo medular refieren a que: -</w:t>
      </w:r>
      <w:r w:rsidR="003B55FD">
        <w:rPr>
          <w:rFonts w:ascii="Arial" w:hAnsi="Arial" w:cs="Arial"/>
          <w:b w:val="0"/>
          <w:bCs/>
        </w:rPr>
        <w:t xml:space="preserve"> </w:t>
      </w:r>
      <w:r w:rsidR="00A84A70">
        <w:rPr>
          <w:rFonts w:ascii="Arial" w:hAnsi="Arial" w:cs="Arial"/>
          <w:b w:val="0"/>
          <w:bCs/>
        </w:rPr>
        <w:t xml:space="preserve">su empresa tiene mejores precios y </w:t>
      </w:r>
      <w:r w:rsidR="00825C11">
        <w:rPr>
          <w:rFonts w:ascii="Arial" w:hAnsi="Arial" w:cs="Arial"/>
          <w:b w:val="0"/>
          <w:bCs/>
        </w:rPr>
        <w:t>mejor calidad en los productos ofertados</w:t>
      </w:r>
      <w:r w:rsidR="00A84A70">
        <w:rPr>
          <w:rFonts w:ascii="Arial" w:hAnsi="Arial" w:cs="Arial"/>
          <w:b w:val="0"/>
          <w:bCs/>
        </w:rPr>
        <w:t xml:space="preserve"> respecto de la sugerencia de adjudicación</w:t>
      </w:r>
      <w:r w:rsidR="00687E64">
        <w:rPr>
          <w:rFonts w:ascii="Arial" w:hAnsi="Arial" w:cs="Arial"/>
          <w:b w:val="0"/>
          <w:bCs/>
        </w:rPr>
        <w:t>, lo que significaría un ahorro para la Administración de U$S 680.000</w:t>
      </w:r>
      <w:r w:rsidR="009D016A">
        <w:rPr>
          <w:rFonts w:ascii="Arial" w:hAnsi="Arial" w:cs="Arial"/>
          <w:b w:val="0"/>
          <w:bCs/>
        </w:rPr>
        <w:t xml:space="preserve">, </w:t>
      </w:r>
      <w:r w:rsidR="00641177">
        <w:rPr>
          <w:rFonts w:ascii="Arial" w:hAnsi="Arial" w:cs="Arial"/>
          <w:b w:val="0"/>
          <w:bCs/>
        </w:rPr>
        <w:t xml:space="preserve">para </w:t>
      </w:r>
      <w:r w:rsidR="00F305F2">
        <w:rPr>
          <w:rFonts w:ascii="Arial" w:hAnsi="Arial" w:cs="Arial"/>
          <w:b w:val="0"/>
          <w:bCs/>
        </w:rPr>
        <w:t xml:space="preserve">la diferencia </w:t>
      </w:r>
      <w:r w:rsidR="00641177">
        <w:rPr>
          <w:rFonts w:ascii="Arial" w:hAnsi="Arial" w:cs="Arial"/>
          <w:b w:val="0"/>
          <w:bCs/>
        </w:rPr>
        <w:t>en los plazos,</w:t>
      </w:r>
      <w:r w:rsidR="00EB344F">
        <w:rPr>
          <w:rFonts w:ascii="Arial" w:hAnsi="Arial" w:cs="Arial"/>
          <w:b w:val="0"/>
          <w:bCs/>
        </w:rPr>
        <w:t xml:space="preserve"> debiéndose</w:t>
      </w:r>
      <w:r w:rsidR="00641177">
        <w:rPr>
          <w:rFonts w:ascii="Arial" w:hAnsi="Arial" w:cs="Arial"/>
          <w:b w:val="0"/>
          <w:bCs/>
        </w:rPr>
        <w:t xml:space="preserve"> tener en cuenta que se ofrecen entregas parciales qu</w:t>
      </w:r>
      <w:r w:rsidR="00B2365B">
        <w:rPr>
          <w:rFonts w:ascii="Arial" w:hAnsi="Arial" w:cs="Arial"/>
          <w:b w:val="0"/>
          <w:bCs/>
        </w:rPr>
        <w:t>e reducen sus plazos totales de entrega</w:t>
      </w:r>
      <w:r w:rsidR="00A84A70">
        <w:rPr>
          <w:rFonts w:ascii="Arial" w:hAnsi="Arial" w:cs="Arial"/>
          <w:b w:val="0"/>
          <w:bCs/>
        </w:rPr>
        <w:t xml:space="preserve">; </w:t>
      </w:r>
      <w:r w:rsidR="00825C11">
        <w:rPr>
          <w:rFonts w:ascii="Arial" w:hAnsi="Arial" w:cs="Arial"/>
          <w:b w:val="0"/>
          <w:bCs/>
        </w:rPr>
        <w:t xml:space="preserve"> </w:t>
      </w:r>
      <w:r>
        <w:rPr>
          <w:rFonts w:ascii="Arial" w:hAnsi="Arial" w:cs="Arial"/>
          <w:b w:val="0"/>
          <w:bCs/>
        </w:rPr>
        <w:t xml:space="preserve"> </w:t>
      </w:r>
      <w:r w:rsidR="00BC67AD">
        <w:rPr>
          <w:rFonts w:ascii="Arial" w:hAnsi="Arial" w:cs="Arial"/>
          <w:b w:val="0"/>
          <w:bCs/>
        </w:rPr>
        <w:t xml:space="preserve">  </w:t>
      </w:r>
      <w:r w:rsidR="005E1B90">
        <w:rPr>
          <w:rFonts w:ascii="Arial" w:hAnsi="Arial" w:cs="Arial"/>
          <w:b w:val="0"/>
          <w:bCs/>
        </w:rPr>
        <w:t xml:space="preserve">  </w:t>
      </w:r>
    </w:p>
    <w:p w:rsidR="00A175B6" w:rsidRDefault="00687E64" w:rsidP="00813870">
      <w:pPr>
        <w:tabs>
          <w:tab w:val="left" w:pos="2835"/>
        </w:tabs>
        <w:spacing w:line="360" w:lineRule="auto"/>
        <w:jc w:val="both"/>
        <w:rPr>
          <w:rFonts w:ascii="Arial" w:hAnsi="Arial" w:cs="Arial"/>
          <w:b w:val="0"/>
          <w:bCs/>
        </w:rPr>
      </w:pPr>
      <w:r>
        <w:rPr>
          <w:rFonts w:ascii="Arial" w:hAnsi="Arial" w:cs="Arial"/>
          <w:b w:val="0"/>
          <w:bCs/>
        </w:rPr>
        <w:t xml:space="preserve">                            </w:t>
      </w:r>
      <w:r w:rsidR="0047777E">
        <w:rPr>
          <w:rFonts w:ascii="Arial" w:hAnsi="Arial" w:cs="Arial"/>
          <w:b w:val="0"/>
          <w:bCs/>
        </w:rPr>
        <w:t xml:space="preserve">    </w:t>
      </w:r>
      <w:r w:rsidR="0093512E">
        <w:rPr>
          <w:rFonts w:ascii="Arial" w:hAnsi="Arial" w:cs="Arial"/>
          <w:b w:val="0"/>
          <w:bCs/>
        </w:rPr>
        <w:tab/>
      </w:r>
      <w:r w:rsidR="0047777E">
        <w:rPr>
          <w:rFonts w:ascii="Arial" w:hAnsi="Arial" w:cs="Arial"/>
          <w:bCs/>
        </w:rPr>
        <w:t>10</w:t>
      </w:r>
      <w:r w:rsidRPr="00B34AD6">
        <w:rPr>
          <w:rFonts w:ascii="Arial" w:hAnsi="Arial" w:cs="Arial"/>
          <w:bCs/>
        </w:rPr>
        <w:t>)</w:t>
      </w:r>
      <w:r>
        <w:rPr>
          <w:rFonts w:ascii="Arial" w:hAnsi="Arial" w:cs="Arial"/>
          <w:b w:val="0"/>
          <w:bCs/>
        </w:rPr>
        <w:t xml:space="preserve"> que </w:t>
      </w:r>
      <w:r w:rsidR="00721404" w:rsidRPr="00721404">
        <w:rPr>
          <w:rFonts w:ascii="Arial" w:hAnsi="Arial" w:cs="Arial"/>
          <w:b w:val="0"/>
          <w:bCs/>
        </w:rPr>
        <w:t>la Comisión Asesora de Adjudicaciones</w:t>
      </w:r>
      <w:r w:rsidR="00721404">
        <w:rPr>
          <w:rFonts w:ascii="Arial" w:hAnsi="Arial" w:cs="Arial"/>
          <w:b w:val="0"/>
          <w:bCs/>
        </w:rPr>
        <w:t>, con fecha 09/05/17</w:t>
      </w:r>
      <w:r w:rsidR="00721404" w:rsidRPr="00721404">
        <w:rPr>
          <w:rFonts w:ascii="Arial" w:hAnsi="Arial" w:cs="Arial"/>
          <w:b w:val="0"/>
          <w:bCs/>
        </w:rPr>
        <w:t xml:space="preserve">, </w:t>
      </w:r>
      <w:r w:rsidR="002817B9">
        <w:rPr>
          <w:rFonts w:ascii="Arial" w:hAnsi="Arial" w:cs="Arial"/>
          <w:b w:val="0"/>
          <w:bCs/>
        </w:rPr>
        <w:t xml:space="preserve">analizando los descargos presentados por las empresas Sanimobel S.A. y Rotomoldeos, </w:t>
      </w:r>
      <w:r w:rsidR="00721404" w:rsidRPr="00721404">
        <w:rPr>
          <w:rFonts w:ascii="Arial" w:hAnsi="Arial" w:cs="Arial"/>
          <w:b w:val="0"/>
          <w:bCs/>
        </w:rPr>
        <w:t xml:space="preserve">emite </w:t>
      </w:r>
      <w:r w:rsidR="00721404">
        <w:rPr>
          <w:rFonts w:ascii="Arial" w:hAnsi="Arial" w:cs="Arial"/>
          <w:b w:val="0"/>
          <w:bCs/>
        </w:rPr>
        <w:t xml:space="preserve">nuevo </w:t>
      </w:r>
      <w:r w:rsidR="00721404" w:rsidRPr="00721404">
        <w:rPr>
          <w:rFonts w:ascii="Arial" w:hAnsi="Arial" w:cs="Arial"/>
          <w:b w:val="0"/>
          <w:bCs/>
        </w:rPr>
        <w:t>dictamen,</w:t>
      </w:r>
      <w:r w:rsidR="002817B9">
        <w:rPr>
          <w:rFonts w:ascii="Arial" w:hAnsi="Arial" w:cs="Arial"/>
          <w:b w:val="0"/>
          <w:bCs/>
        </w:rPr>
        <w:t xml:space="preserve"> </w:t>
      </w:r>
      <w:r w:rsidR="00EB344F">
        <w:rPr>
          <w:rFonts w:ascii="Arial" w:hAnsi="Arial" w:cs="Arial"/>
          <w:b w:val="0"/>
          <w:bCs/>
        </w:rPr>
        <w:t xml:space="preserve"> reconsiderando </w:t>
      </w:r>
      <w:r w:rsidR="00A355AE">
        <w:rPr>
          <w:rFonts w:ascii="Arial" w:hAnsi="Arial" w:cs="Arial"/>
          <w:b w:val="0"/>
          <w:bCs/>
        </w:rPr>
        <w:t xml:space="preserve">la sugerencia de adjudicación </w:t>
      </w:r>
      <w:r w:rsidR="00EB344F">
        <w:rPr>
          <w:rFonts w:ascii="Arial" w:hAnsi="Arial" w:cs="Arial"/>
          <w:b w:val="0"/>
          <w:bCs/>
        </w:rPr>
        <w:t>en referencia a</w:t>
      </w:r>
      <w:r w:rsidR="00A355AE">
        <w:rPr>
          <w:rFonts w:ascii="Arial" w:hAnsi="Arial" w:cs="Arial"/>
          <w:b w:val="0"/>
          <w:bCs/>
        </w:rPr>
        <w:t>l ítem 1</w:t>
      </w:r>
      <w:r w:rsidR="005139E8">
        <w:rPr>
          <w:rFonts w:ascii="Arial" w:hAnsi="Arial" w:cs="Arial"/>
          <w:b w:val="0"/>
          <w:bCs/>
        </w:rPr>
        <w:t xml:space="preserve"> y manteniendo la de los ítems 2 y 3. La primera se adjudica</w:t>
      </w:r>
      <w:r w:rsidR="00A355AE">
        <w:rPr>
          <w:rFonts w:ascii="Arial" w:hAnsi="Arial" w:cs="Arial"/>
          <w:b w:val="0"/>
          <w:bCs/>
        </w:rPr>
        <w:t xml:space="preserve"> a Rotomoldeos S.A. por un monto de </w:t>
      </w:r>
      <w:r w:rsidR="00BE011D">
        <w:rPr>
          <w:rFonts w:ascii="Arial" w:hAnsi="Arial" w:cs="Arial"/>
          <w:b w:val="0"/>
          <w:bCs/>
        </w:rPr>
        <w:t xml:space="preserve">     </w:t>
      </w:r>
      <w:r w:rsidR="00A355AE">
        <w:rPr>
          <w:rFonts w:ascii="Arial" w:hAnsi="Arial" w:cs="Arial"/>
          <w:b w:val="0"/>
          <w:bCs/>
        </w:rPr>
        <w:t>U$S 1:226.336</w:t>
      </w:r>
      <w:r w:rsidR="00C92816">
        <w:rPr>
          <w:rFonts w:ascii="Arial" w:hAnsi="Arial" w:cs="Arial"/>
          <w:b w:val="0"/>
          <w:bCs/>
        </w:rPr>
        <w:t xml:space="preserve"> DAP incluidos accesorios e impuestos incluidos</w:t>
      </w:r>
      <w:r w:rsidR="00A355AE">
        <w:rPr>
          <w:rFonts w:ascii="Arial" w:hAnsi="Arial" w:cs="Arial"/>
          <w:b w:val="0"/>
          <w:bCs/>
        </w:rPr>
        <w:t xml:space="preserve">, </w:t>
      </w:r>
      <w:r w:rsidR="005139E8">
        <w:rPr>
          <w:rFonts w:ascii="Arial" w:hAnsi="Arial" w:cs="Arial"/>
          <w:b w:val="0"/>
          <w:bCs/>
        </w:rPr>
        <w:t>“dado</w:t>
      </w:r>
      <w:r w:rsidR="00A355AE">
        <w:rPr>
          <w:rFonts w:ascii="Arial" w:hAnsi="Arial" w:cs="Arial"/>
          <w:b w:val="0"/>
          <w:bCs/>
        </w:rPr>
        <w:t xml:space="preserve"> la calidad del producto presentado es superior a otras y en precio es la más barata</w:t>
      </w:r>
      <w:r w:rsidR="005139E8">
        <w:rPr>
          <w:rFonts w:ascii="Arial" w:hAnsi="Arial" w:cs="Arial"/>
          <w:b w:val="0"/>
          <w:bCs/>
        </w:rPr>
        <w:t xml:space="preserve"> y en cuanto al plazo de entrega la empresa propone </w:t>
      </w:r>
      <w:r w:rsidR="00A355AE">
        <w:rPr>
          <w:rFonts w:ascii="Arial" w:hAnsi="Arial" w:cs="Arial"/>
          <w:b w:val="0"/>
          <w:bCs/>
        </w:rPr>
        <w:t xml:space="preserve">entregas parciales que acortan el plazo total de cumplimiento </w:t>
      </w:r>
      <w:r w:rsidR="005139E8">
        <w:rPr>
          <w:rFonts w:ascii="Arial" w:hAnsi="Arial" w:cs="Arial"/>
          <w:b w:val="0"/>
          <w:bCs/>
        </w:rPr>
        <w:t>(</w:t>
      </w:r>
      <w:r w:rsidR="00A355AE">
        <w:rPr>
          <w:rFonts w:ascii="Arial" w:hAnsi="Arial" w:cs="Arial"/>
          <w:b w:val="0"/>
          <w:bCs/>
        </w:rPr>
        <w:t>al igual que los demás oferentes</w:t>
      </w:r>
      <w:r w:rsidR="005139E8">
        <w:rPr>
          <w:rFonts w:ascii="Arial" w:hAnsi="Arial" w:cs="Arial"/>
          <w:b w:val="0"/>
          <w:bCs/>
        </w:rPr>
        <w:t>)”. En base a lo expresado dicha empresa</w:t>
      </w:r>
      <w:r w:rsidR="00A355AE">
        <w:rPr>
          <w:rFonts w:ascii="Arial" w:hAnsi="Arial" w:cs="Arial"/>
          <w:b w:val="0"/>
          <w:bCs/>
        </w:rPr>
        <w:t xml:space="preserve"> pasa a obtener un puntaje total de 85 puntos frente a 80 que obtiene </w:t>
      </w:r>
      <w:r w:rsidR="00EB344F">
        <w:rPr>
          <w:rFonts w:ascii="Arial" w:hAnsi="Arial" w:cs="Arial"/>
          <w:b w:val="0"/>
          <w:bCs/>
        </w:rPr>
        <w:t>e</w:t>
      </w:r>
      <w:r w:rsidR="00A355AE">
        <w:rPr>
          <w:rFonts w:ascii="Arial" w:hAnsi="Arial" w:cs="Arial"/>
          <w:b w:val="0"/>
          <w:bCs/>
        </w:rPr>
        <w:t xml:space="preserve">l segundo </w:t>
      </w:r>
      <w:r w:rsidR="000843FA">
        <w:rPr>
          <w:rFonts w:ascii="Arial" w:hAnsi="Arial" w:cs="Arial"/>
          <w:b w:val="0"/>
          <w:bCs/>
        </w:rPr>
        <w:t>mejor oferente, Pablo Rodríguez</w:t>
      </w:r>
      <w:r w:rsidR="005139E8">
        <w:rPr>
          <w:rFonts w:ascii="Arial" w:hAnsi="Arial" w:cs="Arial"/>
          <w:b w:val="0"/>
          <w:bCs/>
        </w:rPr>
        <w:t>. Asimismo se</w:t>
      </w:r>
      <w:r w:rsidR="000843FA">
        <w:rPr>
          <w:rFonts w:ascii="Arial" w:hAnsi="Arial" w:cs="Arial"/>
          <w:b w:val="0"/>
          <w:bCs/>
        </w:rPr>
        <w:t xml:space="preserve"> mant</w:t>
      </w:r>
      <w:r w:rsidR="005139E8">
        <w:rPr>
          <w:rFonts w:ascii="Arial" w:hAnsi="Arial" w:cs="Arial"/>
          <w:b w:val="0"/>
          <w:bCs/>
        </w:rPr>
        <w:t>iene</w:t>
      </w:r>
      <w:r w:rsidR="000843FA">
        <w:rPr>
          <w:rFonts w:ascii="Arial" w:hAnsi="Arial" w:cs="Arial"/>
          <w:b w:val="0"/>
          <w:bCs/>
        </w:rPr>
        <w:t xml:space="preserve"> la sugerencia para el ítem 2 a Pablo Rodríguez por </w:t>
      </w:r>
      <w:r w:rsidR="00BE011D">
        <w:rPr>
          <w:rFonts w:ascii="Arial" w:hAnsi="Arial" w:cs="Arial"/>
          <w:b w:val="0"/>
          <w:bCs/>
        </w:rPr>
        <w:t xml:space="preserve">   </w:t>
      </w:r>
      <w:r w:rsidR="000843FA">
        <w:rPr>
          <w:rFonts w:ascii="Arial" w:hAnsi="Arial" w:cs="Arial"/>
          <w:b w:val="0"/>
          <w:bCs/>
        </w:rPr>
        <w:t>U$S 1</w:t>
      </w:r>
      <w:r w:rsidR="00EB3438">
        <w:rPr>
          <w:rFonts w:ascii="Arial" w:hAnsi="Arial" w:cs="Arial"/>
          <w:b w:val="0"/>
          <w:bCs/>
        </w:rPr>
        <w:t>:</w:t>
      </w:r>
      <w:r w:rsidR="000843FA">
        <w:rPr>
          <w:rFonts w:ascii="Arial" w:hAnsi="Arial" w:cs="Arial"/>
          <w:b w:val="0"/>
          <w:bCs/>
        </w:rPr>
        <w:t>465.600 DAP Canelones y el ítem 3 a Rotomoldeos por U$S 9.710 DAP Canelones</w:t>
      </w:r>
      <w:r w:rsidR="005139E8">
        <w:rPr>
          <w:rFonts w:ascii="Arial" w:hAnsi="Arial" w:cs="Arial"/>
          <w:b w:val="0"/>
          <w:bCs/>
        </w:rPr>
        <w:t>. E</w:t>
      </w:r>
      <w:r w:rsidR="00555170">
        <w:rPr>
          <w:rFonts w:ascii="Arial" w:hAnsi="Arial" w:cs="Arial"/>
          <w:b w:val="0"/>
          <w:bCs/>
        </w:rPr>
        <w:t xml:space="preserve">l </w:t>
      </w:r>
      <w:r w:rsidR="00EB3438">
        <w:rPr>
          <w:rFonts w:ascii="Arial" w:hAnsi="Arial" w:cs="Arial"/>
          <w:b w:val="0"/>
          <w:bCs/>
        </w:rPr>
        <w:t>t</w:t>
      </w:r>
      <w:r w:rsidR="00555170">
        <w:rPr>
          <w:rFonts w:ascii="Arial" w:hAnsi="Arial" w:cs="Arial"/>
          <w:b w:val="0"/>
          <w:bCs/>
        </w:rPr>
        <w:t>otal</w:t>
      </w:r>
      <w:r w:rsidR="00EB3438">
        <w:rPr>
          <w:rFonts w:ascii="Arial" w:hAnsi="Arial" w:cs="Arial"/>
          <w:b w:val="0"/>
          <w:bCs/>
        </w:rPr>
        <w:t xml:space="preserve"> </w:t>
      </w:r>
      <w:r w:rsidR="00555170">
        <w:rPr>
          <w:rFonts w:ascii="Arial" w:hAnsi="Arial" w:cs="Arial"/>
          <w:b w:val="0"/>
          <w:bCs/>
        </w:rPr>
        <w:t xml:space="preserve">de </w:t>
      </w:r>
      <w:r w:rsidR="00EB344F">
        <w:rPr>
          <w:rFonts w:ascii="Arial" w:hAnsi="Arial" w:cs="Arial"/>
          <w:b w:val="0"/>
          <w:bCs/>
        </w:rPr>
        <w:t xml:space="preserve">lo adjudicado </w:t>
      </w:r>
      <w:r w:rsidR="005139E8">
        <w:rPr>
          <w:rFonts w:ascii="Arial" w:hAnsi="Arial" w:cs="Arial"/>
          <w:b w:val="0"/>
          <w:bCs/>
        </w:rPr>
        <w:t>asciende a</w:t>
      </w:r>
      <w:r w:rsidR="00EB344F">
        <w:rPr>
          <w:rFonts w:ascii="Arial" w:hAnsi="Arial" w:cs="Arial"/>
          <w:b w:val="0"/>
          <w:bCs/>
        </w:rPr>
        <w:t xml:space="preserve"> </w:t>
      </w:r>
      <w:r w:rsidR="00555170">
        <w:rPr>
          <w:rFonts w:ascii="Arial" w:hAnsi="Arial" w:cs="Arial"/>
          <w:b w:val="0"/>
          <w:bCs/>
        </w:rPr>
        <w:t>U$S 2:701.649</w:t>
      </w:r>
      <w:r w:rsidR="00A175B6">
        <w:rPr>
          <w:rFonts w:ascii="Arial" w:hAnsi="Arial" w:cs="Arial"/>
          <w:b w:val="0"/>
          <w:bCs/>
        </w:rPr>
        <w:t>;</w:t>
      </w:r>
    </w:p>
    <w:p w:rsidR="00687E64" w:rsidRPr="00721404" w:rsidRDefault="0093512E" w:rsidP="00813870">
      <w:pPr>
        <w:tabs>
          <w:tab w:val="left" w:pos="2835"/>
        </w:tabs>
        <w:spacing w:line="360" w:lineRule="auto"/>
        <w:ind w:firstLine="1985"/>
        <w:jc w:val="both"/>
        <w:rPr>
          <w:rFonts w:ascii="Arial" w:hAnsi="Arial" w:cs="Arial"/>
          <w:b w:val="0"/>
          <w:bCs/>
        </w:rPr>
      </w:pPr>
      <w:r>
        <w:rPr>
          <w:rFonts w:ascii="Arial" w:hAnsi="Arial" w:cs="Arial"/>
          <w:bCs/>
        </w:rPr>
        <w:tab/>
      </w:r>
      <w:r w:rsidR="00A175B6" w:rsidRPr="00BE53AE">
        <w:rPr>
          <w:rFonts w:ascii="Arial" w:hAnsi="Arial" w:cs="Arial"/>
          <w:bCs/>
        </w:rPr>
        <w:t>11)</w:t>
      </w:r>
      <w:r w:rsidR="00A175B6">
        <w:rPr>
          <w:rFonts w:ascii="Arial" w:hAnsi="Arial" w:cs="Arial"/>
          <w:b w:val="0"/>
          <w:bCs/>
        </w:rPr>
        <w:t xml:space="preserve"> que e</w:t>
      </w:r>
      <w:r w:rsidR="00A355AE">
        <w:rPr>
          <w:rFonts w:ascii="Arial" w:hAnsi="Arial" w:cs="Arial"/>
          <w:b w:val="0"/>
          <w:bCs/>
        </w:rPr>
        <w:t xml:space="preserve">n lo referente  a las observaciones de Sanimobel S.A., informa que: - los plazos de entrega de la firma </w:t>
      </w:r>
      <w:r w:rsidR="00EB344F">
        <w:rPr>
          <w:rFonts w:ascii="Arial" w:hAnsi="Arial" w:cs="Arial"/>
          <w:b w:val="0"/>
          <w:bCs/>
        </w:rPr>
        <w:t>P</w:t>
      </w:r>
      <w:r w:rsidR="00A355AE">
        <w:rPr>
          <w:rFonts w:ascii="Arial" w:hAnsi="Arial" w:cs="Arial"/>
          <w:b w:val="0"/>
          <w:bCs/>
        </w:rPr>
        <w:t xml:space="preserve">ablo Rodríguez son ajustados al Pliego, - los oferentes de los cuales se reclama su inscripción en el Registro Nacional de Empresas Extranjeras, no son tales de conformidad con lo establecido en el </w:t>
      </w:r>
      <w:r w:rsidR="00C92816">
        <w:rPr>
          <w:rFonts w:ascii="Arial" w:hAnsi="Arial" w:cs="Arial"/>
          <w:b w:val="0"/>
          <w:bCs/>
        </w:rPr>
        <w:t>Art</w:t>
      </w:r>
      <w:r w:rsidR="00BE011D">
        <w:rPr>
          <w:rFonts w:ascii="Arial" w:hAnsi="Arial" w:cs="Arial"/>
          <w:b w:val="0"/>
          <w:bCs/>
        </w:rPr>
        <w:t>ículo</w:t>
      </w:r>
      <w:r w:rsidR="00C92816">
        <w:rPr>
          <w:rFonts w:ascii="Arial" w:hAnsi="Arial" w:cs="Arial"/>
          <w:b w:val="0"/>
          <w:bCs/>
        </w:rPr>
        <w:t xml:space="preserve"> 1º de la Ley 16.497, - los </w:t>
      </w:r>
      <w:r w:rsidR="00C92816">
        <w:rPr>
          <w:rFonts w:ascii="Arial" w:hAnsi="Arial" w:cs="Arial"/>
          <w:b w:val="0"/>
          <w:bCs/>
        </w:rPr>
        <w:lastRenderedPageBreak/>
        <w:t xml:space="preserve">documentos aparentemente emitidos en el extranjero presentados por Pablo Rodríguez y que carecerían de eficacia jurídica en nuestro país, no fueron tenidos en cuenta a la hora de evaluar las propuestas, surgiendo del informe de la Dirección General de Gestión Ambiental, en el que se expresó que el puntaje asignado a la calidad de cada uno de los oferentes fue otorgado luego de la evaluación de las muestras suministradas;    </w:t>
      </w:r>
      <w:r w:rsidR="00A355AE">
        <w:rPr>
          <w:rFonts w:ascii="Arial" w:hAnsi="Arial" w:cs="Arial"/>
          <w:b w:val="0"/>
          <w:bCs/>
        </w:rPr>
        <w:t xml:space="preserve">  </w:t>
      </w:r>
      <w:r w:rsidR="00B34AD6">
        <w:rPr>
          <w:rFonts w:ascii="Arial" w:hAnsi="Arial" w:cs="Arial"/>
          <w:b w:val="0"/>
          <w:bCs/>
        </w:rPr>
        <w:t xml:space="preserve">  </w:t>
      </w:r>
    </w:p>
    <w:p w:rsidR="00D71541" w:rsidRDefault="0045600B" w:rsidP="00813870">
      <w:pPr>
        <w:tabs>
          <w:tab w:val="left" w:pos="2835"/>
        </w:tabs>
        <w:spacing w:line="360" w:lineRule="auto"/>
        <w:ind w:firstLine="708"/>
        <w:jc w:val="both"/>
        <w:rPr>
          <w:b w:val="0"/>
          <w:bCs/>
        </w:rPr>
      </w:pPr>
      <w:r>
        <w:rPr>
          <w:rFonts w:ascii="Arial" w:hAnsi="Arial" w:cs="Arial"/>
          <w:bCs/>
        </w:rPr>
        <w:t xml:space="preserve">       </w:t>
      </w:r>
      <w:r w:rsidR="00B34AD6">
        <w:rPr>
          <w:rFonts w:ascii="Arial" w:hAnsi="Arial" w:cs="Arial"/>
          <w:bCs/>
        </w:rPr>
        <w:t xml:space="preserve">             </w:t>
      </w:r>
      <w:r w:rsidR="0093512E">
        <w:rPr>
          <w:rFonts w:ascii="Arial" w:hAnsi="Arial" w:cs="Arial"/>
          <w:bCs/>
        </w:rPr>
        <w:tab/>
      </w:r>
      <w:r w:rsidR="0047777E">
        <w:rPr>
          <w:rFonts w:ascii="Arial" w:hAnsi="Arial" w:cs="Arial"/>
          <w:bCs/>
        </w:rPr>
        <w:t>1</w:t>
      </w:r>
      <w:r w:rsidR="00BE53AE">
        <w:rPr>
          <w:rFonts w:ascii="Arial" w:hAnsi="Arial" w:cs="Arial"/>
          <w:bCs/>
        </w:rPr>
        <w:t>2</w:t>
      </w:r>
      <w:r w:rsidR="00D71541">
        <w:rPr>
          <w:rFonts w:ascii="Arial" w:hAnsi="Arial" w:cs="Arial"/>
          <w:bCs/>
        </w:rPr>
        <w:t xml:space="preserve">) </w:t>
      </w:r>
      <w:r w:rsidR="00BC55FE">
        <w:rPr>
          <w:rFonts w:ascii="Arial" w:hAnsi="Arial" w:cs="Arial"/>
          <w:b w:val="0"/>
          <w:bCs/>
        </w:rPr>
        <w:t>que por Resolución Nº 17/03500 de fecha 19/05/</w:t>
      </w:r>
      <w:r w:rsidR="00D71541">
        <w:rPr>
          <w:rFonts w:ascii="Arial" w:hAnsi="Arial" w:cs="Arial"/>
          <w:b w:val="0"/>
          <w:bCs/>
        </w:rPr>
        <w:t>1</w:t>
      </w:r>
      <w:r w:rsidR="00BC55FE">
        <w:rPr>
          <w:rFonts w:ascii="Arial" w:hAnsi="Arial" w:cs="Arial"/>
          <w:b w:val="0"/>
          <w:bCs/>
        </w:rPr>
        <w:t>7, el Intendente de Canelones dispuso</w:t>
      </w:r>
      <w:r w:rsidR="00D71541">
        <w:rPr>
          <w:rFonts w:ascii="Arial" w:hAnsi="Arial" w:cs="Arial"/>
          <w:b w:val="0"/>
          <w:bCs/>
        </w:rPr>
        <w:t xml:space="preserve"> adjudicar la presente contratación a la firma </w:t>
      </w:r>
      <w:r w:rsidR="00E35B90">
        <w:rPr>
          <w:rFonts w:ascii="Arial" w:hAnsi="Arial" w:cs="Arial"/>
          <w:b w:val="0"/>
          <w:bCs/>
        </w:rPr>
        <w:t xml:space="preserve">unipersonal </w:t>
      </w:r>
      <w:r w:rsidR="00BC55FE">
        <w:rPr>
          <w:rFonts w:ascii="Arial" w:hAnsi="Arial" w:cs="Arial"/>
          <w:b w:val="0"/>
          <w:bCs/>
        </w:rPr>
        <w:t>Pablo Rodríguez Rosas</w:t>
      </w:r>
      <w:r w:rsidR="0099710B">
        <w:rPr>
          <w:rFonts w:ascii="Arial" w:hAnsi="Arial" w:cs="Arial"/>
          <w:b w:val="0"/>
          <w:bCs/>
        </w:rPr>
        <w:t xml:space="preserve"> el </w:t>
      </w:r>
      <w:r w:rsidR="009F7A21">
        <w:rPr>
          <w:rFonts w:ascii="Arial" w:hAnsi="Arial" w:cs="Arial"/>
          <w:b w:val="0"/>
          <w:bCs/>
        </w:rPr>
        <w:t>Item 2)</w:t>
      </w:r>
      <w:r w:rsidR="00BC55FE">
        <w:rPr>
          <w:rFonts w:ascii="Arial" w:hAnsi="Arial" w:cs="Arial"/>
          <w:b w:val="0"/>
          <w:bCs/>
        </w:rPr>
        <w:t xml:space="preserve"> y a Rotomoldeos – Nueva Era S.A</w:t>
      </w:r>
      <w:r w:rsidR="009F7A21">
        <w:rPr>
          <w:rFonts w:ascii="Arial" w:hAnsi="Arial" w:cs="Arial"/>
          <w:b w:val="0"/>
          <w:bCs/>
        </w:rPr>
        <w:t xml:space="preserve"> </w:t>
      </w:r>
      <w:r w:rsidR="0099710B">
        <w:rPr>
          <w:rFonts w:ascii="Arial" w:hAnsi="Arial" w:cs="Arial"/>
          <w:b w:val="0"/>
          <w:bCs/>
        </w:rPr>
        <w:t xml:space="preserve"> los </w:t>
      </w:r>
      <w:r w:rsidR="009F7A21">
        <w:rPr>
          <w:rFonts w:ascii="Arial" w:hAnsi="Arial" w:cs="Arial"/>
          <w:b w:val="0"/>
          <w:bCs/>
        </w:rPr>
        <w:t>Items 1</w:t>
      </w:r>
      <w:r w:rsidR="0099710B">
        <w:rPr>
          <w:rFonts w:ascii="Arial" w:hAnsi="Arial" w:cs="Arial"/>
          <w:b w:val="0"/>
          <w:bCs/>
        </w:rPr>
        <w:t>)</w:t>
      </w:r>
      <w:r w:rsidR="009F7A21">
        <w:rPr>
          <w:rFonts w:ascii="Arial" w:hAnsi="Arial" w:cs="Arial"/>
          <w:b w:val="0"/>
          <w:bCs/>
        </w:rPr>
        <w:t xml:space="preserve"> y 3)</w:t>
      </w:r>
      <w:r w:rsidR="0099710B">
        <w:rPr>
          <w:rFonts w:ascii="Arial" w:hAnsi="Arial" w:cs="Arial"/>
          <w:b w:val="0"/>
          <w:bCs/>
        </w:rPr>
        <w:t>,</w:t>
      </w:r>
      <w:r w:rsidR="00BC55FE">
        <w:rPr>
          <w:rFonts w:ascii="Arial" w:hAnsi="Arial" w:cs="Arial"/>
          <w:b w:val="0"/>
          <w:bCs/>
        </w:rPr>
        <w:t xml:space="preserve"> </w:t>
      </w:r>
      <w:r w:rsidR="0099710B">
        <w:rPr>
          <w:rFonts w:ascii="Arial" w:hAnsi="Arial" w:cs="Arial"/>
          <w:b w:val="0"/>
          <w:bCs/>
        </w:rPr>
        <w:t>de acuerdo a</w:t>
      </w:r>
      <w:r w:rsidR="00BC55FE">
        <w:rPr>
          <w:rFonts w:ascii="Arial" w:hAnsi="Arial" w:cs="Arial"/>
          <w:b w:val="0"/>
          <w:bCs/>
        </w:rPr>
        <w:t xml:space="preserve"> los informes de la Comisión Asesora</w:t>
      </w:r>
      <w:r w:rsidR="00E35B90">
        <w:rPr>
          <w:rFonts w:ascii="Arial" w:hAnsi="Arial" w:cs="Arial"/>
          <w:b w:val="0"/>
          <w:bCs/>
        </w:rPr>
        <w:t xml:space="preserve">. Se indica </w:t>
      </w:r>
      <w:r w:rsidR="00BC55FE">
        <w:rPr>
          <w:rFonts w:ascii="Arial" w:hAnsi="Arial" w:cs="Arial"/>
          <w:b w:val="0"/>
          <w:bCs/>
        </w:rPr>
        <w:t>que el financiamiento se realizará con fondos provenientes del Fideicomiso Financiero para Obras – Canelones III</w:t>
      </w:r>
      <w:r w:rsidR="00E35B90">
        <w:rPr>
          <w:rFonts w:ascii="Arial" w:hAnsi="Arial" w:cs="Arial"/>
          <w:b w:val="0"/>
          <w:bCs/>
        </w:rPr>
        <w:t>. L</w:t>
      </w:r>
      <w:r w:rsidR="00BC55FE">
        <w:rPr>
          <w:rFonts w:ascii="Arial" w:hAnsi="Arial" w:cs="Arial"/>
          <w:b w:val="0"/>
          <w:bCs/>
        </w:rPr>
        <w:t>a adjudicación se realiza al amparo de lo dispuesto por el Art</w:t>
      </w:r>
      <w:r w:rsidR="00BE011D">
        <w:rPr>
          <w:rFonts w:ascii="Arial" w:hAnsi="Arial" w:cs="Arial"/>
          <w:b w:val="0"/>
          <w:bCs/>
        </w:rPr>
        <w:t>ículo</w:t>
      </w:r>
      <w:r w:rsidR="00BC55FE">
        <w:rPr>
          <w:rFonts w:ascii="Arial" w:hAnsi="Arial" w:cs="Arial"/>
          <w:b w:val="0"/>
          <w:bCs/>
        </w:rPr>
        <w:t xml:space="preserve"> 19 del T.O.C.A.F. hasta que el Fideicomiso quede </w:t>
      </w:r>
      <w:r w:rsidR="00E35B90">
        <w:rPr>
          <w:rFonts w:ascii="Arial" w:hAnsi="Arial" w:cs="Arial"/>
          <w:b w:val="0"/>
          <w:bCs/>
        </w:rPr>
        <w:t>activo</w:t>
      </w:r>
      <w:r w:rsidR="00BC55FE">
        <w:rPr>
          <w:rFonts w:ascii="Arial" w:hAnsi="Arial" w:cs="Arial"/>
          <w:b w:val="0"/>
          <w:bCs/>
        </w:rPr>
        <w:t xml:space="preserve">; </w:t>
      </w:r>
    </w:p>
    <w:p w:rsidR="00D71541" w:rsidRDefault="0045600B" w:rsidP="00813870">
      <w:pPr>
        <w:pStyle w:val="Ttulo4"/>
        <w:tabs>
          <w:tab w:val="left" w:pos="2835"/>
        </w:tabs>
        <w:rPr>
          <w:u w:val="none"/>
        </w:rPr>
      </w:pPr>
      <w:r>
        <w:rPr>
          <w:b/>
          <w:bCs w:val="0"/>
          <w:u w:val="none"/>
        </w:rPr>
        <w:t xml:space="preserve">                   </w:t>
      </w:r>
      <w:r w:rsidR="00B34AD6">
        <w:rPr>
          <w:b/>
          <w:bCs w:val="0"/>
          <w:u w:val="none"/>
        </w:rPr>
        <w:t xml:space="preserve">            </w:t>
      </w:r>
      <w:r w:rsidR="0093512E">
        <w:rPr>
          <w:b/>
          <w:bCs w:val="0"/>
          <w:u w:val="none"/>
        </w:rPr>
        <w:tab/>
      </w:r>
      <w:r w:rsidR="0047777E">
        <w:rPr>
          <w:b/>
          <w:bCs w:val="0"/>
          <w:u w:val="none"/>
        </w:rPr>
        <w:t>1</w:t>
      </w:r>
      <w:r w:rsidR="0026752E">
        <w:rPr>
          <w:b/>
          <w:bCs w:val="0"/>
          <w:u w:val="none"/>
        </w:rPr>
        <w:t>3</w:t>
      </w:r>
      <w:r w:rsidR="00D71541">
        <w:rPr>
          <w:b/>
          <w:bCs w:val="0"/>
          <w:u w:val="none"/>
        </w:rPr>
        <w:t>)</w:t>
      </w:r>
      <w:r w:rsidR="00D71541">
        <w:rPr>
          <w:bCs w:val="0"/>
          <w:u w:val="none"/>
        </w:rPr>
        <w:t xml:space="preserve"> que</w:t>
      </w:r>
      <w:r w:rsidR="00B912D5">
        <w:rPr>
          <w:b/>
          <w:bCs w:val="0"/>
          <w:u w:val="none"/>
        </w:rPr>
        <w:t xml:space="preserve"> </w:t>
      </w:r>
      <w:r w:rsidR="00B912D5">
        <w:rPr>
          <w:bCs w:val="0"/>
          <w:u w:val="none"/>
        </w:rPr>
        <w:t>l</w:t>
      </w:r>
      <w:r w:rsidR="00D71541">
        <w:rPr>
          <w:u w:val="none"/>
        </w:rPr>
        <w:t>a División Control Presupu</w:t>
      </w:r>
      <w:r w:rsidR="00C2288F">
        <w:rPr>
          <w:u w:val="none"/>
        </w:rPr>
        <w:t xml:space="preserve">estal </w:t>
      </w:r>
      <w:r w:rsidR="00B912D5">
        <w:rPr>
          <w:u w:val="none"/>
        </w:rPr>
        <w:t>con fecha 29/05/</w:t>
      </w:r>
      <w:r w:rsidR="00D71541">
        <w:rPr>
          <w:u w:val="none"/>
        </w:rPr>
        <w:t xml:space="preserve">17 informa que se </w:t>
      </w:r>
      <w:r w:rsidR="00B912D5">
        <w:rPr>
          <w:u w:val="none"/>
        </w:rPr>
        <w:t xml:space="preserve">traslada la reserva PU 2016 6 en el sistema contable por $ 1, </w:t>
      </w:r>
      <w:r w:rsidR="005C614C">
        <w:rPr>
          <w:u w:val="none"/>
        </w:rPr>
        <w:t xml:space="preserve">a los efectos de continuar la compra y que la adjudicación en el sistema contable se realizaría una vez efectivizado el fideicomiso, obtenidos definitivamente los fondos proyectados y supeditada a la intervención de este Tribunal; </w:t>
      </w:r>
      <w:r w:rsidR="00D71541">
        <w:rPr>
          <w:u w:val="none"/>
        </w:rPr>
        <w:t xml:space="preserve"> </w:t>
      </w:r>
    </w:p>
    <w:p w:rsidR="00D46623" w:rsidRDefault="00D46623" w:rsidP="00813870">
      <w:pPr>
        <w:tabs>
          <w:tab w:val="left" w:pos="2835"/>
        </w:tabs>
        <w:spacing w:line="360" w:lineRule="auto"/>
        <w:jc w:val="both"/>
        <w:rPr>
          <w:rFonts w:ascii="Arial" w:hAnsi="Arial" w:cs="Arial"/>
          <w:b w:val="0"/>
          <w:lang w:val="es-ES_tradnl"/>
        </w:rPr>
      </w:pPr>
      <w:r>
        <w:rPr>
          <w:lang w:val="es-ES_tradnl"/>
        </w:rPr>
        <w:t xml:space="preserve">            </w:t>
      </w:r>
      <w:r w:rsidR="0093512E">
        <w:rPr>
          <w:lang w:val="es-ES_tradnl"/>
        </w:rPr>
        <w:tab/>
      </w:r>
      <w:r w:rsidR="0047777E">
        <w:rPr>
          <w:rFonts w:ascii="Arial" w:hAnsi="Arial" w:cs="Arial"/>
          <w:lang w:val="es-ES_tradnl"/>
        </w:rPr>
        <w:t>1</w:t>
      </w:r>
      <w:r w:rsidR="0026752E">
        <w:rPr>
          <w:rFonts w:ascii="Arial" w:hAnsi="Arial" w:cs="Arial"/>
          <w:lang w:val="es-ES_tradnl"/>
        </w:rPr>
        <w:t>4</w:t>
      </w:r>
      <w:r w:rsidR="0029776B">
        <w:rPr>
          <w:rFonts w:ascii="Arial" w:hAnsi="Arial" w:cs="Arial"/>
          <w:lang w:val="es-ES_tradnl"/>
        </w:rPr>
        <w:t xml:space="preserve">) </w:t>
      </w:r>
      <w:r w:rsidR="0029776B">
        <w:rPr>
          <w:rFonts w:ascii="Arial" w:hAnsi="Arial" w:cs="Arial"/>
          <w:b w:val="0"/>
          <w:lang w:val="es-ES_tradnl"/>
        </w:rPr>
        <w:t xml:space="preserve">que </w:t>
      </w:r>
      <w:r w:rsidR="00D519E1">
        <w:rPr>
          <w:rFonts w:ascii="Arial" w:hAnsi="Arial" w:cs="Arial"/>
          <w:b w:val="0"/>
          <w:lang w:val="es-ES_tradnl"/>
        </w:rPr>
        <w:t>la U</w:t>
      </w:r>
      <w:r>
        <w:rPr>
          <w:rFonts w:ascii="Arial" w:hAnsi="Arial" w:cs="Arial"/>
          <w:b w:val="0"/>
          <w:lang w:val="es-ES_tradnl"/>
        </w:rPr>
        <w:t>nidad de Licitaciones con fecha 06/06/17 informa que se adjudica en CGI Compras, y que  generó Órdenes de Compra, OA 2017 552 por un total de U$S 1:236.046 a la firma Rotomoldeos Nueva Era S.A. y OA 2017 554 por un total de U$S 1:465.600 a la firma Pablo Rodríguez Rosas;</w:t>
      </w:r>
    </w:p>
    <w:p w:rsidR="00D71541" w:rsidRDefault="00D46623" w:rsidP="00BE011D">
      <w:pPr>
        <w:tabs>
          <w:tab w:val="left" w:pos="2835"/>
        </w:tabs>
        <w:spacing w:line="360" w:lineRule="auto"/>
        <w:jc w:val="both"/>
        <w:rPr>
          <w:lang w:val="es-ES_tradnl"/>
        </w:rPr>
      </w:pPr>
      <w:r>
        <w:rPr>
          <w:rFonts w:ascii="Arial" w:hAnsi="Arial" w:cs="Arial"/>
          <w:b w:val="0"/>
          <w:lang w:val="es-ES_tradnl"/>
        </w:rPr>
        <w:t xml:space="preserve">                             </w:t>
      </w:r>
      <w:r w:rsidR="0047777E">
        <w:rPr>
          <w:rFonts w:ascii="Arial" w:hAnsi="Arial" w:cs="Arial"/>
          <w:b w:val="0"/>
          <w:lang w:val="es-ES_tradnl"/>
        </w:rPr>
        <w:t xml:space="preserve"> </w:t>
      </w:r>
      <w:r w:rsidR="0093512E">
        <w:rPr>
          <w:rFonts w:ascii="Arial" w:hAnsi="Arial" w:cs="Arial"/>
          <w:b w:val="0"/>
          <w:lang w:val="es-ES_tradnl"/>
        </w:rPr>
        <w:tab/>
      </w:r>
      <w:r w:rsidR="0047777E">
        <w:rPr>
          <w:rFonts w:ascii="Arial" w:hAnsi="Arial" w:cs="Arial"/>
          <w:lang w:val="es-ES_tradnl"/>
        </w:rPr>
        <w:t>1</w:t>
      </w:r>
      <w:r w:rsidR="0026752E">
        <w:rPr>
          <w:rFonts w:ascii="Arial" w:hAnsi="Arial" w:cs="Arial"/>
          <w:lang w:val="es-ES_tradnl"/>
        </w:rPr>
        <w:t>5</w:t>
      </w:r>
      <w:r w:rsidRPr="00D46623">
        <w:rPr>
          <w:rFonts w:ascii="Arial" w:hAnsi="Arial" w:cs="Arial"/>
          <w:lang w:val="es-ES_tradnl"/>
        </w:rPr>
        <w:t xml:space="preserve">) </w:t>
      </w:r>
      <w:r>
        <w:rPr>
          <w:rFonts w:ascii="Arial" w:hAnsi="Arial" w:cs="Arial"/>
          <w:b w:val="0"/>
          <w:lang w:val="es-ES_tradnl"/>
        </w:rPr>
        <w:t>que la Contadora Delegada</w:t>
      </w:r>
      <w:r w:rsidR="00AF0884">
        <w:rPr>
          <w:rFonts w:ascii="Arial" w:hAnsi="Arial" w:cs="Arial"/>
          <w:b w:val="0"/>
          <w:lang w:val="es-ES_tradnl"/>
        </w:rPr>
        <w:t>,</w:t>
      </w:r>
      <w:r>
        <w:rPr>
          <w:rFonts w:ascii="Arial" w:hAnsi="Arial" w:cs="Arial"/>
          <w:b w:val="0"/>
          <w:lang w:val="es-ES_tradnl"/>
        </w:rPr>
        <w:t xml:space="preserve"> con fecha 08/06/17</w:t>
      </w:r>
      <w:r w:rsidR="00AF0884">
        <w:rPr>
          <w:rFonts w:ascii="Arial" w:hAnsi="Arial" w:cs="Arial"/>
          <w:b w:val="0"/>
          <w:lang w:val="es-ES_tradnl"/>
        </w:rPr>
        <w:t>,</w:t>
      </w:r>
      <w:r>
        <w:rPr>
          <w:rFonts w:ascii="Arial" w:hAnsi="Arial" w:cs="Arial"/>
          <w:b w:val="0"/>
          <w:lang w:val="es-ES_tradnl"/>
        </w:rPr>
        <w:t xml:space="preserve"> informa que el gasto será financiado con el Fideicomiso Financiero para obras – Canelones III, el cual fue tratado por este Tribunal en el Exp. 2016-17-1</w:t>
      </w:r>
      <w:r w:rsidR="00BE011D">
        <w:rPr>
          <w:rFonts w:ascii="Arial" w:hAnsi="Arial" w:cs="Arial"/>
          <w:b w:val="0"/>
          <w:lang w:val="es-ES_tradnl"/>
        </w:rPr>
        <w:t xml:space="preserve">           </w:t>
      </w:r>
      <w:r>
        <w:rPr>
          <w:rFonts w:ascii="Arial" w:hAnsi="Arial" w:cs="Arial"/>
          <w:b w:val="0"/>
          <w:lang w:val="es-ES_tradnl"/>
        </w:rPr>
        <w:t xml:space="preserve">-0002455, Ent. 6382/16 </w:t>
      </w:r>
      <w:r w:rsidR="00BE53AE">
        <w:rPr>
          <w:rFonts w:ascii="Arial" w:hAnsi="Arial" w:cs="Arial"/>
          <w:b w:val="0"/>
          <w:lang w:val="es-ES_tradnl"/>
        </w:rPr>
        <w:t xml:space="preserve">en Sesión de 21.12.16, </w:t>
      </w:r>
      <w:r>
        <w:rPr>
          <w:rFonts w:ascii="Arial" w:hAnsi="Arial" w:cs="Arial"/>
          <w:b w:val="0"/>
          <w:lang w:val="es-ES_tradnl"/>
        </w:rPr>
        <w:t>en el que se</w:t>
      </w:r>
      <w:r w:rsidR="00EF2C6C">
        <w:rPr>
          <w:rFonts w:ascii="Arial" w:hAnsi="Arial" w:cs="Arial"/>
          <w:b w:val="0"/>
          <w:lang w:val="es-ES_tradnl"/>
        </w:rPr>
        <w:t xml:space="preserve"> cometió la </w:t>
      </w:r>
      <w:r w:rsidR="00EF2C6C">
        <w:rPr>
          <w:rFonts w:ascii="Arial" w:hAnsi="Arial" w:cs="Arial"/>
          <w:b w:val="0"/>
          <w:lang w:val="es-ES_tradnl"/>
        </w:rPr>
        <w:lastRenderedPageBreak/>
        <w:t>intervención al Con</w:t>
      </w:r>
      <w:r>
        <w:rPr>
          <w:rFonts w:ascii="Arial" w:hAnsi="Arial" w:cs="Arial"/>
          <w:b w:val="0"/>
          <w:lang w:val="es-ES_tradnl"/>
        </w:rPr>
        <w:t>t</w:t>
      </w:r>
      <w:r w:rsidR="00EF2C6C">
        <w:rPr>
          <w:rFonts w:ascii="Arial" w:hAnsi="Arial" w:cs="Arial"/>
          <w:b w:val="0"/>
          <w:lang w:val="es-ES_tradnl"/>
        </w:rPr>
        <w:t>a</w:t>
      </w:r>
      <w:r>
        <w:rPr>
          <w:rFonts w:ascii="Arial" w:hAnsi="Arial" w:cs="Arial"/>
          <w:b w:val="0"/>
          <w:lang w:val="es-ES_tradnl"/>
        </w:rPr>
        <w:t>dor</w:t>
      </w:r>
      <w:r w:rsidR="00BE53AE">
        <w:rPr>
          <w:rFonts w:ascii="Arial" w:hAnsi="Arial" w:cs="Arial"/>
          <w:b w:val="0"/>
          <w:lang w:val="es-ES_tradnl"/>
        </w:rPr>
        <w:t xml:space="preserve"> Delegado, previo control de disponibilidad presupuestal suficiente de los gastos emergentes del fideicomiso</w:t>
      </w:r>
      <w:r w:rsidR="00EF2C6C">
        <w:rPr>
          <w:rFonts w:ascii="Arial" w:hAnsi="Arial" w:cs="Arial"/>
          <w:b w:val="0"/>
          <w:lang w:val="es-ES_tradnl"/>
        </w:rPr>
        <w:t xml:space="preserve">;  </w:t>
      </w:r>
      <w:r>
        <w:rPr>
          <w:rFonts w:ascii="Arial" w:hAnsi="Arial" w:cs="Arial"/>
          <w:b w:val="0"/>
          <w:lang w:val="es-ES_tradnl"/>
        </w:rPr>
        <w:t xml:space="preserve">   </w:t>
      </w:r>
      <w:r w:rsidRPr="00D46623">
        <w:rPr>
          <w:rFonts w:ascii="Arial" w:hAnsi="Arial" w:cs="Arial"/>
          <w:lang w:val="es-ES_tradnl"/>
        </w:rPr>
        <w:t xml:space="preserve">  </w:t>
      </w:r>
      <w:r w:rsidR="0029776B" w:rsidRPr="00D46623">
        <w:rPr>
          <w:rFonts w:ascii="Arial" w:hAnsi="Arial" w:cs="Arial"/>
          <w:lang w:val="es-ES_tradnl"/>
        </w:rPr>
        <w:t xml:space="preserve"> </w:t>
      </w:r>
      <w:r w:rsidR="0029776B" w:rsidRPr="00D46623">
        <w:rPr>
          <w:lang w:val="es-ES_tradnl"/>
        </w:rPr>
        <w:t xml:space="preserve"> </w:t>
      </w:r>
    </w:p>
    <w:p w:rsidR="00CA6B09" w:rsidRDefault="0093512E" w:rsidP="00813870">
      <w:pPr>
        <w:tabs>
          <w:tab w:val="left" w:pos="851"/>
          <w:tab w:val="left" w:pos="3119"/>
        </w:tabs>
        <w:spacing w:line="360" w:lineRule="auto"/>
        <w:jc w:val="both"/>
        <w:rPr>
          <w:rFonts w:ascii="Arial" w:hAnsi="Arial" w:cs="Arial"/>
          <w:b w:val="0"/>
          <w:bCs/>
          <w:lang w:val="es-UY"/>
        </w:rPr>
      </w:pPr>
      <w:r>
        <w:rPr>
          <w:rFonts w:ascii="Arial" w:hAnsi="Arial" w:cs="Arial"/>
          <w:bCs/>
        </w:rPr>
        <w:tab/>
      </w:r>
      <w:r w:rsidR="00D71541" w:rsidRPr="00CA6B09">
        <w:rPr>
          <w:rFonts w:ascii="Arial" w:hAnsi="Arial" w:cs="Arial"/>
          <w:bCs/>
        </w:rPr>
        <w:t>CONSIDERANDO:</w:t>
      </w:r>
      <w:r w:rsidR="00CA6B09" w:rsidRPr="00CA6B09">
        <w:rPr>
          <w:rFonts w:ascii="Arial" w:hAnsi="Arial" w:cs="Arial"/>
          <w:b w:val="0"/>
          <w:bCs/>
        </w:rPr>
        <w:t xml:space="preserve"> </w:t>
      </w:r>
      <w:r>
        <w:rPr>
          <w:rFonts w:ascii="Arial" w:hAnsi="Arial" w:cs="Arial"/>
          <w:b w:val="0"/>
          <w:bCs/>
        </w:rPr>
        <w:tab/>
      </w:r>
      <w:r w:rsidR="00CA6B09" w:rsidRPr="0093512E">
        <w:rPr>
          <w:rFonts w:ascii="Arial" w:hAnsi="Arial" w:cs="Arial"/>
          <w:bCs/>
        </w:rPr>
        <w:t>1)</w:t>
      </w:r>
      <w:r w:rsidR="00CA6B09">
        <w:rPr>
          <w:rFonts w:ascii="Arial" w:hAnsi="Arial" w:cs="Arial"/>
          <w:b w:val="0"/>
          <w:bCs/>
        </w:rPr>
        <w:t xml:space="preserve"> </w:t>
      </w:r>
      <w:r w:rsidR="00CA6B09">
        <w:rPr>
          <w:rFonts w:ascii="Arial" w:hAnsi="Arial" w:cs="Arial"/>
          <w:b w:val="0"/>
          <w:bCs/>
          <w:lang w:val="es-UY"/>
        </w:rPr>
        <w:t xml:space="preserve">que en relación al </w:t>
      </w:r>
      <w:r w:rsidR="00D5772F">
        <w:rPr>
          <w:rFonts w:ascii="Arial" w:hAnsi="Arial" w:cs="Arial"/>
          <w:b w:val="0"/>
          <w:bCs/>
          <w:lang w:val="es-UY"/>
        </w:rPr>
        <w:t xml:space="preserve">recibo del </w:t>
      </w:r>
      <w:r w:rsidR="00CA6B09">
        <w:rPr>
          <w:rFonts w:ascii="Arial" w:hAnsi="Arial" w:cs="Arial"/>
          <w:b w:val="0"/>
          <w:bCs/>
          <w:lang w:val="es-UY"/>
        </w:rPr>
        <w:t xml:space="preserve">pago del pliego requerido por el </w:t>
      </w:r>
      <w:r w:rsidR="00BE011D">
        <w:rPr>
          <w:rFonts w:ascii="Arial" w:hAnsi="Arial" w:cs="Arial"/>
          <w:b w:val="0"/>
          <w:bCs/>
          <w:lang w:val="es-UY"/>
        </w:rPr>
        <w:t>A</w:t>
      </w:r>
      <w:r w:rsidR="00CA6B09">
        <w:rPr>
          <w:rFonts w:ascii="Arial" w:hAnsi="Arial" w:cs="Arial"/>
          <w:b w:val="0"/>
          <w:bCs/>
          <w:lang w:val="es-UY"/>
        </w:rPr>
        <w:t>rt</w:t>
      </w:r>
      <w:r w:rsidR="00BE011D">
        <w:rPr>
          <w:rFonts w:ascii="Arial" w:hAnsi="Arial" w:cs="Arial"/>
          <w:b w:val="0"/>
          <w:bCs/>
          <w:lang w:val="es-UY"/>
        </w:rPr>
        <w:t>ículo</w:t>
      </w:r>
      <w:r w:rsidR="00CA6B09">
        <w:rPr>
          <w:rFonts w:ascii="Arial" w:hAnsi="Arial" w:cs="Arial"/>
          <w:b w:val="0"/>
          <w:bCs/>
          <w:lang w:val="es-UY"/>
        </w:rPr>
        <w:t xml:space="preserve"> 10 </w:t>
      </w:r>
      <w:r w:rsidR="00D5772F">
        <w:rPr>
          <w:rFonts w:ascii="Arial" w:hAnsi="Arial" w:cs="Arial"/>
          <w:b w:val="0"/>
          <w:bCs/>
          <w:lang w:val="es-UY"/>
        </w:rPr>
        <w:t xml:space="preserve">a </w:t>
      </w:r>
      <w:r w:rsidR="00CA6B09">
        <w:rPr>
          <w:rFonts w:ascii="Arial" w:hAnsi="Arial" w:cs="Arial"/>
          <w:b w:val="0"/>
          <w:bCs/>
          <w:lang w:val="es-UY"/>
        </w:rPr>
        <w:t>presentar con la oferta, los Art</w:t>
      </w:r>
      <w:r w:rsidR="00BE011D">
        <w:rPr>
          <w:rFonts w:ascii="Arial" w:hAnsi="Arial" w:cs="Arial"/>
          <w:b w:val="0"/>
          <w:bCs/>
          <w:lang w:val="es-UY"/>
        </w:rPr>
        <w:t>ículo</w:t>
      </w:r>
      <w:r w:rsidR="00CA6B09">
        <w:rPr>
          <w:rFonts w:ascii="Arial" w:hAnsi="Arial" w:cs="Arial"/>
          <w:b w:val="0"/>
          <w:bCs/>
          <w:lang w:val="es-UY"/>
        </w:rPr>
        <w:t xml:space="preserve"> 23 y 25 de la Ley 19.355 </w:t>
      </w:r>
      <w:r w:rsidR="00D5772F">
        <w:rPr>
          <w:rFonts w:ascii="Arial" w:hAnsi="Arial" w:cs="Arial"/>
          <w:b w:val="0"/>
          <w:bCs/>
          <w:lang w:val="es-UY"/>
        </w:rPr>
        <w:t xml:space="preserve">(vigentes al momento del llamado) </w:t>
      </w:r>
      <w:r w:rsidR="00CA6B09">
        <w:rPr>
          <w:rFonts w:ascii="Arial" w:hAnsi="Arial" w:cs="Arial"/>
          <w:b w:val="0"/>
          <w:bCs/>
          <w:lang w:val="es-UY"/>
        </w:rPr>
        <w:t>han dado diferente y contradictoria redacción al penúltimo inciso del Art</w:t>
      </w:r>
      <w:r w:rsidR="00BE011D">
        <w:rPr>
          <w:rFonts w:ascii="Arial" w:hAnsi="Arial" w:cs="Arial"/>
          <w:b w:val="0"/>
          <w:bCs/>
          <w:lang w:val="es-UY"/>
        </w:rPr>
        <w:t>ículo</w:t>
      </w:r>
      <w:r w:rsidR="00CA6B09">
        <w:rPr>
          <w:rFonts w:ascii="Arial" w:hAnsi="Arial" w:cs="Arial"/>
          <w:b w:val="0"/>
          <w:bCs/>
          <w:lang w:val="es-UY"/>
        </w:rPr>
        <w:t xml:space="preserve"> 48 del T.O.C.A.F. (Art</w:t>
      </w:r>
      <w:r w:rsidR="00BE011D">
        <w:rPr>
          <w:rFonts w:ascii="Arial" w:hAnsi="Arial" w:cs="Arial"/>
          <w:b w:val="0"/>
          <w:bCs/>
          <w:lang w:val="es-UY"/>
        </w:rPr>
        <w:t>ículo</w:t>
      </w:r>
      <w:r w:rsidR="00CA6B09">
        <w:rPr>
          <w:rFonts w:ascii="Arial" w:hAnsi="Arial" w:cs="Arial"/>
          <w:b w:val="0"/>
          <w:bCs/>
          <w:lang w:val="es-UY"/>
        </w:rPr>
        <w:t xml:space="preserve"> 489 de la Ley 15.903 en redacción dada por el Art</w:t>
      </w:r>
      <w:r w:rsidR="00BE011D">
        <w:rPr>
          <w:rFonts w:ascii="Arial" w:hAnsi="Arial" w:cs="Arial"/>
          <w:b w:val="0"/>
          <w:bCs/>
          <w:lang w:val="es-UY"/>
        </w:rPr>
        <w:t>ículo</w:t>
      </w:r>
      <w:r w:rsidR="00CA6B09">
        <w:rPr>
          <w:rFonts w:ascii="Arial" w:hAnsi="Arial" w:cs="Arial"/>
          <w:b w:val="0"/>
          <w:bCs/>
          <w:lang w:val="es-UY"/>
        </w:rPr>
        <w:t xml:space="preserve"> 29 de la Ley 18.834), planteando un problema insoluble al intérprete;</w:t>
      </w:r>
    </w:p>
    <w:p w:rsidR="00CA6B09" w:rsidRDefault="00CA6B09" w:rsidP="00813870">
      <w:pPr>
        <w:tabs>
          <w:tab w:val="left" w:pos="3119"/>
        </w:tabs>
        <w:spacing w:line="360" w:lineRule="auto"/>
        <w:ind w:firstLine="708"/>
        <w:jc w:val="both"/>
        <w:rPr>
          <w:rFonts w:ascii="Arial" w:hAnsi="Arial" w:cs="Arial"/>
          <w:b w:val="0"/>
          <w:bCs/>
          <w:lang w:val="es-UY"/>
        </w:rPr>
      </w:pPr>
      <w:r>
        <w:rPr>
          <w:rFonts w:ascii="Arial" w:hAnsi="Arial" w:cs="Arial"/>
          <w:b w:val="0"/>
          <w:bCs/>
          <w:lang w:val="es-UY"/>
        </w:rPr>
        <w:t xml:space="preserve">                       </w:t>
      </w:r>
      <w:r w:rsidR="0093512E">
        <w:rPr>
          <w:rFonts w:ascii="Arial" w:hAnsi="Arial" w:cs="Arial"/>
          <w:b w:val="0"/>
          <w:bCs/>
          <w:lang w:val="es-UY"/>
        </w:rPr>
        <w:tab/>
      </w:r>
      <w:r>
        <w:rPr>
          <w:rFonts w:ascii="Arial" w:hAnsi="Arial" w:cs="Arial"/>
          <w:bCs/>
          <w:lang w:val="es-UY"/>
        </w:rPr>
        <w:t xml:space="preserve">2) </w:t>
      </w:r>
      <w:r>
        <w:rPr>
          <w:rFonts w:ascii="Arial" w:hAnsi="Arial" w:cs="Arial"/>
          <w:b w:val="0"/>
          <w:bCs/>
          <w:lang w:val="es-UY"/>
        </w:rPr>
        <w:t>que en el caso concreto, el requisito previsto en el Pliego de Condiciones que rigió la convocatoria (Resultando 2</w:t>
      </w:r>
      <w:r w:rsidR="00D5772F">
        <w:rPr>
          <w:rFonts w:ascii="Arial" w:hAnsi="Arial" w:cs="Arial"/>
          <w:b w:val="0"/>
          <w:bCs/>
          <w:lang w:val="es-UY"/>
        </w:rPr>
        <w:t>.1</w:t>
      </w:r>
      <w:r>
        <w:rPr>
          <w:rFonts w:ascii="Arial" w:hAnsi="Arial" w:cs="Arial"/>
          <w:b w:val="0"/>
          <w:bCs/>
          <w:lang w:val="es-UY"/>
        </w:rPr>
        <w:t>) resulta observable o no, seg</w:t>
      </w:r>
      <w:r w:rsidR="00BE011D">
        <w:rPr>
          <w:rFonts w:ascii="Arial" w:hAnsi="Arial" w:cs="Arial"/>
          <w:b w:val="0"/>
          <w:bCs/>
          <w:lang w:val="es-UY"/>
        </w:rPr>
        <w:t>ún cuál de las dos normas - Artículo</w:t>
      </w:r>
      <w:r>
        <w:rPr>
          <w:rFonts w:ascii="Arial" w:hAnsi="Arial" w:cs="Arial"/>
          <w:b w:val="0"/>
          <w:bCs/>
          <w:lang w:val="es-UY"/>
        </w:rPr>
        <w:t xml:space="preserve"> 23 o 25 de la Ley 19.355 - se aplique;   </w:t>
      </w:r>
    </w:p>
    <w:p w:rsidR="00CA6B09" w:rsidRDefault="00CA6B09" w:rsidP="00813870">
      <w:pPr>
        <w:tabs>
          <w:tab w:val="left" w:pos="3119"/>
        </w:tabs>
        <w:spacing w:line="360" w:lineRule="auto"/>
        <w:ind w:firstLine="708"/>
        <w:jc w:val="both"/>
        <w:rPr>
          <w:rFonts w:ascii="Arial" w:hAnsi="Arial" w:cs="Arial"/>
          <w:b w:val="0"/>
          <w:bCs/>
          <w:lang w:val="es-UY"/>
        </w:rPr>
      </w:pPr>
      <w:r>
        <w:rPr>
          <w:rFonts w:ascii="Arial" w:hAnsi="Arial" w:cs="Arial"/>
          <w:b w:val="0"/>
          <w:bCs/>
          <w:lang w:val="es-UY"/>
        </w:rPr>
        <w:t xml:space="preserve">      </w:t>
      </w:r>
      <w:r w:rsidR="00BE53AE">
        <w:rPr>
          <w:rFonts w:ascii="Arial" w:hAnsi="Arial" w:cs="Arial"/>
          <w:b w:val="0"/>
          <w:bCs/>
          <w:lang w:val="es-UY"/>
        </w:rPr>
        <w:t xml:space="preserve"> </w:t>
      </w:r>
      <w:r>
        <w:rPr>
          <w:rFonts w:ascii="Arial" w:hAnsi="Arial" w:cs="Arial"/>
          <w:b w:val="0"/>
          <w:bCs/>
          <w:lang w:val="es-UY"/>
        </w:rPr>
        <w:t xml:space="preserve">              </w:t>
      </w:r>
      <w:r w:rsidR="0093512E">
        <w:rPr>
          <w:rFonts w:ascii="Arial" w:hAnsi="Arial" w:cs="Arial"/>
          <w:b w:val="0"/>
          <w:bCs/>
          <w:lang w:val="es-UY"/>
        </w:rPr>
        <w:tab/>
      </w:r>
      <w:r w:rsidRPr="003418E4">
        <w:rPr>
          <w:rFonts w:ascii="Arial" w:hAnsi="Arial" w:cs="Arial"/>
          <w:bCs/>
          <w:lang w:val="es-UY"/>
        </w:rPr>
        <w:t>3</w:t>
      </w:r>
      <w:r>
        <w:rPr>
          <w:rFonts w:ascii="Arial" w:hAnsi="Arial" w:cs="Arial"/>
          <w:bCs/>
          <w:lang w:val="es-UY"/>
        </w:rPr>
        <w:t xml:space="preserve">) </w:t>
      </w:r>
      <w:r>
        <w:rPr>
          <w:rFonts w:ascii="Arial" w:hAnsi="Arial" w:cs="Arial"/>
          <w:b w:val="0"/>
          <w:bCs/>
          <w:lang w:val="es-UY"/>
        </w:rPr>
        <w:t>que en razón de lo expresado se estima procedente no formular ninguna observación al respecto;</w:t>
      </w:r>
    </w:p>
    <w:p w:rsidR="00CA6B09" w:rsidRPr="000753BE" w:rsidRDefault="00CA6B09" w:rsidP="00813870">
      <w:pPr>
        <w:pStyle w:val="Ttulo"/>
        <w:tabs>
          <w:tab w:val="left" w:pos="3119"/>
        </w:tabs>
        <w:jc w:val="both"/>
        <w:rPr>
          <w:bCs/>
          <w:u w:val="none"/>
        </w:rPr>
      </w:pPr>
      <w:r w:rsidRPr="0093512E">
        <w:rPr>
          <w:rFonts w:cs="Arial"/>
          <w:bCs/>
          <w:u w:val="none"/>
        </w:rPr>
        <w:t xml:space="preserve">                                </w:t>
      </w:r>
      <w:r w:rsidR="0093512E">
        <w:rPr>
          <w:rFonts w:cs="Arial"/>
          <w:bCs/>
          <w:u w:val="none"/>
        </w:rPr>
        <w:tab/>
      </w:r>
      <w:r w:rsidRPr="0093512E">
        <w:rPr>
          <w:rFonts w:cs="Arial"/>
          <w:bCs/>
          <w:u w:val="none"/>
        </w:rPr>
        <w:t>4</w:t>
      </w:r>
      <w:r w:rsidRPr="0093512E">
        <w:rPr>
          <w:rFonts w:cs="Arial"/>
          <w:u w:val="none"/>
        </w:rPr>
        <w:t>)</w:t>
      </w:r>
      <w:r w:rsidRPr="009200EF">
        <w:rPr>
          <w:rFonts w:cs="Arial"/>
          <w:u w:val="none"/>
        </w:rPr>
        <w:t xml:space="preserve"> </w:t>
      </w:r>
      <w:r>
        <w:rPr>
          <w:rFonts w:cs="Arial"/>
          <w:b w:val="0"/>
          <w:bCs/>
          <w:u w:val="none"/>
        </w:rPr>
        <w:t xml:space="preserve">que </w:t>
      </w:r>
      <w:r w:rsidR="00D5772F">
        <w:rPr>
          <w:rFonts w:cs="Arial"/>
          <w:b w:val="0"/>
          <w:bCs/>
          <w:u w:val="none"/>
        </w:rPr>
        <w:t>dos</w:t>
      </w:r>
      <w:r>
        <w:rPr>
          <w:rFonts w:cs="Arial"/>
          <w:b w:val="0"/>
          <w:bCs/>
          <w:u w:val="none"/>
        </w:rPr>
        <w:t xml:space="preserve"> de </w:t>
      </w:r>
      <w:r w:rsidRPr="009200EF">
        <w:rPr>
          <w:rFonts w:cs="Arial"/>
          <w:b w:val="0"/>
          <w:bCs/>
          <w:u w:val="none"/>
        </w:rPr>
        <w:t>los factores de evaluación</w:t>
      </w:r>
      <w:r w:rsidR="00153EAA">
        <w:rPr>
          <w:rFonts w:cs="Arial"/>
          <w:b w:val="0"/>
          <w:bCs/>
          <w:u w:val="none"/>
        </w:rPr>
        <w:t xml:space="preserve"> </w:t>
      </w:r>
      <w:r>
        <w:rPr>
          <w:rFonts w:cs="Arial"/>
          <w:b w:val="0"/>
          <w:bCs/>
          <w:u w:val="none"/>
        </w:rPr>
        <w:t xml:space="preserve">(Antecedentes y Calidad) </w:t>
      </w:r>
      <w:r w:rsidR="00D5772F">
        <w:rPr>
          <w:rFonts w:cs="Arial"/>
          <w:b w:val="0"/>
          <w:bCs/>
          <w:u w:val="none"/>
        </w:rPr>
        <w:t xml:space="preserve">y su ponderación máxima previstos por el </w:t>
      </w:r>
      <w:r w:rsidR="00BE011D">
        <w:rPr>
          <w:rFonts w:cs="Arial"/>
          <w:b w:val="0"/>
          <w:bCs/>
          <w:u w:val="none"/>
        </w:rPr>
        <w:t>A</w:t>
      </w:r>
      <w:r w:rsidR="00D5772F">
        <w:rPr>
          <w:rFonts w:cs="Arial"/>
          <w:b w:val="0"/>
          <w:bCs/>
          <w:u w:val="none"/>
        </w:rPr>
        <w:t>rt</w:t>
      </w:r>
      <w:r w:rsidR="00BE011D">
        <w:rPr>
          <w:rFonts w:cs="Arial"/>
          <w:b w:val="0"/>
          <w:bCs/>
          <w:u w:val="none"/>
        </w:rPr>
        <w:t>ículo</w:t>
      </w:r>
      <w:r w:rsidR="00D5772F">
        <w:rPr>
          <w:rFonts w:cs="Arial"/>
          <w:b w:val="0"/>
          <w:bCs/>
          <w:u w:val="none"/>
        </w:rPr>
        <w:t xml:space="preserve"> 12 del pliego, </w:t>
      </w:r>
      <w:r w:rsidR="00153EAA">
        <w:rPr>
          <w:b w:val="0"/>
          <w:bCs/>
          <w:u w:val="none"/>
        </w:rPr>
        <w:t>no establecen pautas objetivas para adjudicar el puntaje</w:t>
      </w:r>
      <w:r w:rsidRPr="009200EF">
        <w:rPr>
          <w:rFonts w:cs="Arial"/>
          <w:b w:val="0"/>
          <w:bCs/>
          <w:u w:val="none"/>
        </w:rPr>
        <w:t xml:space="preserve"> a cada oferta</w:t>
      </w:r>
      <w:r w:rsidR="00153EAA">
        <w:rPr>
          <w:rFonts w:cs="Arial"/>
          <w:b w:val="0"/>
          <w:bCs/>
          <w:u w:val="none"/>
        </w:rPr>
        <w:t>,</w:t>
      </w:r>
      <w:r w:rsidRPr="009200EF">
        <w:rPr>
          <w:rFonts w:cs="Arial"/>
          <w:b w:val="0"/>
          <w:bCs/>
          <w:u w:val="none"/>
        </w:rPr>
        <w:t xml:space="preserve"> </w:t>
      </w:r>
      <w:r w:rsidR="00D5772F">
        <w:rPr>
          <w:rFonts w:cs="Arial"/>
          <w:b w:val="0"/>
          <w:bCs/>
          <w:u w:val="none"/>
        </w:rPr>
        <w:t xml:space="preserve">apartándose del </w:t>
      </w:r>
      <w:r w:rsidR="00BE011D">
        <w:rPr>
          <w:rFonts w:cs="Arial"/>
          <w:b w:val="0"/>
          <w:bCs/>
          <w:u w:val="none"/>
        </w:rPr>
        <w:t>A</w:t>
      </w:r>
      <w:r w:rsidRPr="009200EF">
        <w:rPr>
          <w:rFonts w:cs="Arial"/>
          <w:b w:val="0"/>
          <w:bCs/>
          <w:u w:val="none"/>
        </w:rPr>
        <w:t>rtículo 48 literal C) del TOCAF;</w:t>
      </w:r>
      <w:r w:rsidRPr="009200EF">
        <w:rPr>
          <w:b w:val="0"/>
          <w:bCs/>
          <w:u w:val="none"/>
        </w:rPr>
        <w:t xml:space="preserve">   </w:t>
      </w:r>
      <w:r>
        <w:rPr>
          <w:b w:val="0"/>
          <w:bCs/>
          <w:u w:val="none"/>
        </w:rPr>
        <w:t xml:space="preserve">   </w:t>
      </w:r>
      <w:r w:rsidRPr="000753BE">
        <w:rPr>
          <w:bCs/>
          <w:u w:val="none"/>
        </w:rPr>
        <w:t xml:space="preserve"> </w:t>
      </w:r>
    </w:p>
    <w:p w:rsidR="002D16D0" w:rsidRDefault="00CA6B09" w:rsidP="00813870">
      <w:pPr>
        <w:pStyle w:val="Ttulo"/>
        <w:tabs>
          <w:tab w:val="left" w:pos="3119"/>
        </w:tabs>
        <w:ind w:firstLine="708"/>
        <w:jc w:val="both"/>
        <w:rPr>
          <w:b w:val="0"/>
          <w:bCs/>
          <w:u w:val="none"/>
        </w:rPr>
      </w:pPr>
      <w:r>
        <w:rPr>
          <w:bCs/>
          <w:u w:val="none"/>
        </w:rPr>
        <w:t xml:space="preserve">                    </w:t>
      </w:r>
      <w:r w:rsidR="0093512E">
        <w:rPr>
          <w:bCs/>
          <w:u w:val="none"/>
        </w:rPr>
        <w:tab/>
      </w:r>
      <w:r>
        <w:rPr>
          <w:bCs/>
          <w:u w:val="none"/>
        </w:rPr>
        <w:t>5</w:t>
      </w:r>
      <w:r w:rsidR="00A5095A" w:rsidRPr="00A5095A">
        <w:rPr>
          <w:bCs/>
          <w:u w:val="none"/>
        </w:rPr>
        <w:t>)</w:t>
      </w:r>
      <w:r w:rsidR="00A5095A">
        <w:rPr>
          <w:b w:val="0"/>
          <w:bCs/>
          <w:u w:val="none"/>
        </w:rPr>
        <w:t xml:space="preserve"> </w:t>
      </w:r>
      <w:r w:rsidR="005F7153">
        <w:rPr>
          <w:b w:val="0"/>
          <w:bCs/>
          <w:u w:val="none"/>
        </w:rPr>
        <w:t xml:space="preserve">que </w:t>
      </w:r>
      <w:r w:rsidR="00B21C4D">
        <w:rPr>
          <w:b w:val="0"/>
          <w:bCs/>
          <w:u w:val="none"/>
        </w:rPr>
        <w:t>si bien se hace mención a</w:t>
      </w:r>
      <w:r w:rsidR="00622F2A">
        <w:rPr>
          <w:b w:val="0"/>
          <w:bCs/>
          <w:u w:val="none"/>
        </w:rPr>
        <w:t xml:space="preserve"> una futura </w:t>
      </w:r>
      <w:r w:rsidR="00B21C4D">
        <w:rPr>
          <w:b w:val="0"/>
          <w:bCs/>
          <w:u w:val="none"/>
        </w:rPr>
        <w:t>fuente de financiamiento</w:t>
      </w:r>
      <w:r w:rsidR="00F05BA2">
        <w:rPr>
          <w:b w:val="0"/>
          <w:bCs/>
          <w:u w:val="none"/>
        </w:rPr>
        <w:t xml:space="preserve"> </w:t>
      </w:r>
      <w:r w:rsidR="0084090C">
        <w:rPr>
          <w:b w:val="0"/>
          <w:bCs/>
          <w:u w:val="none"/>
        </w:rPr>
        <w:t xml:space="preserve">cuya concreción condiciona la adjudicación </w:t>
      </w:r>
      <w:r w:rsidR="00622F2A">
        <w:rPr>
          <w:b w:val="0"/>
          <w:bCs/>
          <w:u w:val="none"/>
        </w:rPr>
        <w:t>(Fideicomi</w:t>
      </w:r>
      <w:r w:rsidR="002D16D0">
        <w:rPr>
          <w:b w:val="0"/>
          <w:bCs/>
          <w:u w:val="none"/>
        </w:rPr>
        <w:t>s</w:t>
      </w:r>
      <w:r w:rsidR="00622F2A">
        <w:rPr>
          <w:b w:val="0"/>
          <w:bCs/>
          <w:u w:val="none"/>
        </w:rPr>
        <w:t xml:space="preserve">o Financiero para Obras – Canelones III) ello </w:t>
      </w:r>
      <w:r w:rsidR="0084090C">
        <w:rPr>
          <w:b w:val="0"/>
          <w:bCs/>
          <w:u w:val="none"/>
        </w:rPr>
        <w:t xml:space="preserve">no exime del </w:t>
      </w:r>
      <w:r w:rsidR="00622F2A">
        <w:rPr>
          <w:b w:val="0"/>
          <w:bCs/>
          <w:u w:val="none"/>
        </w:rPr>
        <w:t xml:space="preserve">requisito de contar </w:t>
      </w:r>
      <w:r w:rsidR="002D16D0">
        <w:rPr>
          <w:b w:val="0"/>
          <w:bCs/>
          <w:u w:val="none"/>
        </w:rPr>
        <w:t>con disponibilidad presupuestal suficiente en el rubro correspondiente;</w:t>
      </w:r>
    </w:p>
    <w:p w:rsidR="00D71541" w:rsidRDefault="0093512E" w:rsidP="00813870">
      <w:pPr>
        <w:pStyle w:val="Ttulo"/>
        <w:tabs>
          <w:tab w:val="left" w:pos="851"/>
        </w:tabs>
        <w:jc w:val="both"/>
        <w:rPr>
          <w:rFonts w:cs="Arial"/>
          <w:b w:val="0"/>
          <w:bCs/>
          <w:u w:val="none"/>
        </w:rPr>
      </w:pPr>
      <w:r>
        <w:rPr>
          <w:u w:val="none"/>
        </w:rPr>
        <w:tab/>
      </w:r>
      <w:r w:rsidR="00D71541">
        <w:rPr>
          <w:u w:val="none"/>
        </w:rPr>
        <w:t xml:space="preserve">ATENTO: </w:t>
      </w:r>
      <w:r w:rsidR="00D71541">
        <w:rPr>
          <w:b w:val="0"/>
          <w:bCs/>
          <w:u w:val="none"/>
        </w:rPr>
        <w:t>a lo precedentemente expuesto y a lo establecido en el Artículo 211 literal B) d</w:t>
      </w:r>
      <w:r w:rsidR="00D71541" w:rsidRPr="0084090C">
        <w:rPr>
          <w:b w:val="0"/>
          <w:bCs/>
          <w:i/>
          <w:u w:val="none"/>
        </w:rPr>
        <w:t>e</w:t>
      </w:r>
      <w:r w:rsidR="00D71541">
        <w:rPr>
          <w:b w:val="0"/>
          <w:bCs/>
          <w:u w:val="none"/>
        </w:rPr>
        <w:t xml:space="preserve"> la Constitución de la República;</w:t>
      </w:r>
    </w:p>
    <w:p w:rsidR="00D71541" w:rsidRPr="0093512E" w:rsidRDefault="00D71541" w:rsidP="00BE011D">
      <w:pPr>
        <w:pStyle w:val="Ttulo2"/>
        <w:spacing w:line="360" w:lineRule="auto"/>
        <w:rPr>
          <w:lang w:val="es-UY"/>
        </w:rPr>
      </w:pPr>
      <w:r>
        <w:rPr>
          <w:lang w:val="es-UY"/>
        </w:rPr>
        <w:lastRenderedPageBreak/>
        <w:t>EL TRIBUNAL ACUERDA</w:t>
      </w:r>
    </w:p>
    <w:p w:rsidR="00F05BA2" w:rsidRDefault="006531AD" w:rsidP="00813870">
      <w:pPr>
        <w:pStyle w:val="Ttulo4"/>
        <w:numPr>
          <w:ilvl w:val="0"/>
          <w:numId w:val="29"/>
        </w:numPr>
        <w:tabs>
          <w:tab w:val="left" w:pos="284"/>
        </w:tabs>
        <w:ind w:left="0" w:firstLine="0"/>
        <w:rPr>
          <w:u w:val="none"/>
        </w:rPr>
      </w:pPr>
      <w:r>
        <w:rPr>
          <w:u w:val="none"/>
        </w:rPr>
        <w:t>Observar el gasto</w:t>
      </w:r>
      <w:r w:rsidR="003418E4">
        <w:rPr>
          <w:u w:val="none"/>
        </w:rPr>
        <w:t xml:space="preserve"> por lo expresado en el Considerando 4)</w:t>
      </w:r>
      <w:r w:rsidR="00F05BA2">
        <w:rPr>
          <w:u w:val="none"/>
        </w:rPr>
        <w:t xml:space="preserve">; </w:t>
      </w:r>
    </w:p>
    <w:p w:rsidR="00D71541" w:rsidRDefault="0084090C" w:rsidP="00813870">
      <w:pPr>
        <w:pStyle w:val="Ttulo4"/>
        <w:numPr>
          <w:ilvl w:val="0"/>
          <w:numId w:val="29"/>
        </w:numPr>
        <w:tabs>
          <w:tab w:val="left" w:pos="284"/>
        </w:tabs>
        <w:ind w:left="0" w:firstLine="0"/>
        <w:rPr>
          <w:u w:val="none"/>
        </w:rPr>
      </w:pPr>
      <w:r>
        <w:rPr>
          <w:u w:val="none"/>
        </w:rPr>
        <w:t>Téngase presente lo expresado en el Considerando 5</w:t>
      </w:r>
      <w:r w:rsidR="00813870">
        <w:rPr>
          <w:u w:val="none"/>
        </w:rPr>
        <w:t>)</w:t>
      </w:r>
      <w:r>
        <w:rPr>
          <w:u w:val="none"/>
        </w:rPr>
        <w:t>;</w:t>
      </w:r>
    </w:p>
    <w:p w:rsidR="0093512E" w:rsidRDefault="00D71541" w:rsidP="00813870">
      <w:pPr>
        <w:pStyle w:val="Ttulo4"/>
        <w:numPr>
          <w:ilvl w:val="0"/>
          <w:numId w:val="29"/>
        </w:numPr>
        <w:tabs>
          <w:tab w:val="left" w:pos="0"/>
          <w:tab w:val="left" w:pos="284"/>
        </w:tabs>
        <w:ind w:left="0" w:firstLine="0"/>
        <w:rPr>
          <w:bCs w:val="0"/>
          <w:u w:val="none"/>
        </w:rPr>
      </w:pPr>
      <w:r>
        <w:rPr>
          <w:bCs w:val="0"/>
          <w:u w:val="none"/>
        </w:rPr>
        <w:t>Devolver las actuaciones.</w:t>
      </w:r>
    </w:p>
    <w:p w:rsidR="00813870" w:rsidRPr="00813870" w:rsidRDefault="00813870" w:rsidP="00813870">
      <w:pPr>
        <w:spacing w:line="360" w:lineRule="auto"/>
        <w:jc w:val="both"/>
        <w:rPr>
          <w:lang w:val="es-ES_tradnl"/>
        </w:rPr>
      </w:pPr>
    </w:p>
    <w:p w:rsidR="00D71541" w:rsidRDefault="0093512E" w:rsidP="00813870">
      <w:pPr>
        <w:pStyle w:val="Ttulo4"/>
        <w:tabs>
          <w:tab w:val="left" w:pos="0"/>
        </w:tabs>
        <w:rPr>
          <w:b/>
          <w:bCs w:val="0"/>
        </w:rPr>
      </w:pPr>
      <w:r>
        <w:rPr>
          <w:bCs w:val="0"/>
          <w:u w:val="none"/>
        </w:rPr>
        <w:t>lm</w:t>
      </w:r>
      <w:r w:rsidR="00D71541">
        <w:rPr>
          <w:bCs w:val="0"/>
          <w:u w:val="none"/>
        </w:rPr>
        <w:t xml:space="preserve"> </w:t>
      </w:r>
      <w:bookmarkStart w:id="0" w:name="_GoBack"/>
      <w:bookmarkEnd w:id="0"/>
    </w:p>
    <w:p w:rsidR="00D71541" w:rsidRDefault="00D71541" w:rsidP="00813870">
      <w:pPr>
        <w:spacing w:line="360" w:lineRule="auto"/>
        <w:jc w:val="both"/>
        <w:rPr>
          <w:rFonts w:ascii="Arial" w:hAnsi="Arial" w:cs="Arial"/>
          <w:b w:val="0"/>
          <w:bCs/>
          <w:lang w:val="es-ES_tradnl"/>
        </w:rPr>
      </w:pPr>
    </w:p>
    <w:p w:rsidR="00D71541" w:rsidRDefault="00D71541">
      <w:pPr>
        <w:spacing w:line="360" w:lineRule="auto"/>
        <w:jc w:val="both"/>
        <w:rPr>
          <w:rFonts w:ascii="Arial" w:hAnsi="Arial" w:cs="Arial"/>
          <w:b w:val="0"/>
          <w:bCs/>
          <w:lang w:val="es-ES_tradnl"/>
        </w:rPr>
      </w:pPr>
    </w:p>
    <w:sectPr w:rsidR="00D71541" w:rsidSect="00813870">
      <w:footerReference w:type="default" r:id="rId9"/>
      <w:pgSz w:w="11906" w:h="16838" w:code="9"/>
      <w:pgMar w:top="3402" w:right="1701" w:bottom="1134" w:left="1701" w:header="720" w:footer="720" w:gutter="0"/>
      <w:paperSrc w:first="4" w:other="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870" w:rsidRDefault="00813870" w:rsidP="00813870">
      <w:r>
        <w:separator/>
      </w:r>
    </w:p>
  </w:endnote>
  <w:endnote w:type="continuationSeparator" w:id="0">
    <w:p w:rsidR="00813870" w:rsidRDefault="00813870" w:rsidP="00813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thicPS">
    <w:panose1 w:val="00000000000000000000"/>
    <w:charset w:val="00"/>
    <w:family w:val="moder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935033"/>
      <w:docPartObj>
        <w:docPartGallery w:val="Page Numbers (Bottom of Page)"/>
        <w:docPartUnique/>
      </w:docPartObj>
    </w:sdtPr>
    <w:sdtContent>
      <w:p w:rsidR="00813870" w:rsidRDefault="00813870">
        <w:pPr>
          <w:pStyle w:val="Piedepgina"/>
          <w:jc w:val="center"/>
        </w:pPr>
        <w:r>
          <w:fldChar w:fldCharType="begin"/>
        </w:r>
        <w:r>
          <w:instrText>PAGE   \* MERGEFORMAT</w:instrText>
        </w:r>
        <w:r>
          <w:fldChar w:fldCharType="separate"/>
        </w:r>
        <w:r w:rsidR="00BE011D">
          <w:rPr>
            <w:noProof/>
          </w:rPr>
          <w:t>7</w:t>
        </w:r>
        <w:r>
          <w:fldChar w:fldCharType="end"/>
        </w:r>
      </w:p>
    </w:sdtContent>
  </w:sdt>
  <w:p w:rsidR="00813870" w:rsidRDefault="0081387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870" w:rsidRDefault="00813870" w:rsidP="00813870">
      <w:r>
        <w:separator/>
      </w:r>
    </w:p>
  </w:footnote>
  <w:footnote w:type="continuationSeparator" w:id="0">
    <w:p w:rsidR="00813870" w:rsidRDefault="00813870" w:rsidP="008138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A5EDE"/>
    <w:multiLevelType w:val="hybridMultilevel"/>
    <w:tmpl w:val="78025BB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7284576"/>
    <w:multiLevelType w:val="hybridMultilevel"/>
    <w:tmpl w:val="F572CA96"/>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1517405B"/>
    <w:multiLevelType w:val="hybridMultilevel"/>
    <w:tmpl w:val="4A7CDC86"/>
    <w:lvl w:ilvl="0" w:tplc="AED2305A">
      <w:start w:val="8"/>
      <w:numFmt w:val="upperRoman"/>
      <w:lvlText w:val="%1."/>
      <w:lvlJc w:val="left"/>
      <w:pPr>
        <w:tabs>
          <w:tab w:val="num" w:pos="1416"/>
        </w:tabs>
        <w:ind w:left="1416" w:hanging="990"/>
      </w:pPr>
      <w:rPr>
        <w:rFonts w:hint="default"/>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3">
    <w:nsid w:val="17C64EAA"/>
    <w:multiLevelType w:val="hybridMultilevel"/>
    <w:tmpl w:val="E64A4F58"/>
    <w:lvl w:ilvl="0" w:tplc="3D02DA00">
      <w:start w:val="1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F3D259F"/>
    <w:multiLevelType w:val="hybridMultilevel"/>
    <w:tmpl w:val="0BC8710A"/>
    <w:lvl w:ilvl="0" w:tplc="0C0A0001">
      <w:start w:val="1"/>
      <w:numFmt w:val="bullet"/>
      <w:lvlText w:val=""/>
      <w:lvlJc w:val="left"/>
      <w:pPr>
        <w:tabs>
          <w:tab w:val="num" w:pos="780"/>
        </w:tabs>
        <w:ind w:left="780" w:hanging="360"/>
      </w:pPr>
      <w:rPr>
        <w:rFonts w:ascii="Symbol" w:hAnsi="Symbol" w:hint="default"/>
      </w:rPr>
    </w:lvl>
    <w:lvl w:ilvl="1" w:tplc="0C0A0003" w:tentative="1">
      <w:start w:val="1"/>
      <w:numFmt w:val="bullet"/>
      <w:lvlText w:val="o"/>
      <w:lvlJc w:val="left"/>
      <w:pPr>
        <w:tabs>
          <w:tab w:val="num" w:pos="1500"/>
        </w:tabs>
        <w:ind w:left="1500" w:hanging="360"/>
      </w:pPr>
      <w:rPr>
        <w:rFonts w:ascii="Courier New" w:hAnsi="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5">
    <w:nsid w:val="2063328A"/>
    <w:multiLevelType w:val="hybridMultilevel"/>
    <w:tmpl w:val="D27EE614"/>
    <w:lvl w:ilvl="0" w:tplc="0C0A0001">
      <w:start w:val="1"/>
      <w:numFmt w:val="bullet"/>
      <w:lvlText w:val=""/>
      <w:lvlJc w:val="left"/>
      <w:pPr>
        <w:tabs>
          <w:tab w:val="num" w:pos="780"/>
        </w:tabs>
        <w:ind w:left="78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0E94DB4"/>
    <w:multiLevelType w:val="hybridMultilevel"/>
    <w:tmpl w:val="78025BB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3FA6EEB"/>
    <w:multiLevelType w:val="hybridMultilevel"/>
    <w:tmpl w:val="BFA6D1B6"/>
    <w:lvl w:ilvl="0" w:tplc="FC142EB8">
      <w:numFmt w:val="bullet"/>
      <w:lvlText w:val="-"/>
      <w:lvlJc w:val="left"/>
      <w:pPr>
        <w:tabs>
          <w:tab w:val="num" w:pos="1563"/>
        </w:tabs>
        <w:ind w:left="1563" w:hanging="855"/>
      </w:pPr>
      <w:rPr>
        <w:rFonts w:ascii="Times New Roman" w:eastAsia="Times New Roman" w:hAnsi="Times New Roman" w:cs="Times New Roman" w:hint="default"/>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nsid w:val="25BA15C3"/>
    <w:multiLevelType w:val="hybridMultilevel"/>
    <w:tmpl w:val="1198680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2F9C1EAF"/>
    <w:multiLevelType w:val="hybridMultilevel"/>
    <w:tmpl w:val="D27EE614"/>
    <w:lvl w:ilvl="0" w:tplc="C4BCE344">
      <w:numFmt w:val="bullet"/>
      <w:lvlText w:val="-"/>
      <w:lvlJc w:val="left"/>
      <w:pPr>
        <w:tabs>
          <w:tab w:val="num" w:pos="1578"/>
        </w:tabs>
        <w:ind w:left="1578" w:hanging="87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3369112B"/>
    <w:multiLevelType w:val="hybridMultilevel"/>
    <w:tmpl w:val="41DCE4DA"/>
    <w:lvl w:ilvl="0" w:tplc="BDE8097C">
      <w:start w:val="8"/>
      <w:numFmt w:val="upperRoman"/>
      <w:lvlText w:val="%1."/>
      <w:lvlJc w:val="left"/>
      <w:pPr>
        <w:tabs>
          <w:tab w:val="num" w:pos="1428"/>
        </w:tabs>
        <w:ind w:left="1428" w:hanging="720"/>
      </w:pPr>
      <w:rPr>
        <w:rFonts w:hint="default"/>
        <w:b/>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1">
    <w:nsid w:val="344E5CAC"/>
    <w:multiLevelType w:val="hybridMultilevel"/>
    <w:tmpl w:val="33E2C458"/>
    <w:lvl w:ilvl="0" w:tplc="11960A3E">
      <w:start w:val="1"/>
      <w:numFmt w:val="decimal"/>
      <w:lvlText w:val="%1)"/>
      <w:lvlJc w:val="left"/>
      <w:pPr>
        <w:ind w:left="502" w:hanging="360"/>
      </w:pPr>
      <w:rPr>
        <w:rFonts w:hint="default"/>
        <w:b/>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2">
    <w:nsid w:val="3A133A09"/>
    <w:multiLevelType w:val="hybridMultilevel"/>
    <w:tmpl w:val="10CCD0DE"/>
    <w:lvl w:ilvl="0" w:tplc="CFD6BCB6">
      <w:start w:val="5"/>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26E43C0"/>
    <w:multiLevelType w:val="hybridMultilevel"/>
    <w:tmpl w:val="793450BE"/>
    <w:lvl w:ilvl="0" w:tplc="21B0A4FE">
      <w:start w:val="1"/>
      <w:numFmt w:val="upperRoman"/>
      <w:pStyle w:val="Ttulo8"/>
      <w:lvlText w:val="%1."/>
      <w:lvlJc w:val="left"/>
      <w:pPr>
        <w:tabs>
          <w:tab w:val="num" w:pos="1080"/>
        </w:tabs>
        <w:ind w:left="1080" w:hanging="7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80829DF"/>
    <w:multiLevelType w:val="hybridMultilevel"/>
    <w:tmpl w:val="78025BB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892482D"/>
    <w:multiLevelType w:val="hybridMultilevel"/>
    <w:tmpl w:val="5A40D7A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54CD0BA3"/>
    <w:multiLevelType w:val="hybridMultilevel"/>
    <w:tmpl w:val="2FAC58B6"/>
    <w:lvl w:ilvl="0" w:tplc="C4BCE344">
      <w:numFmt w:val="bullet"/>
      <w:lvlText w:val="-"/>
      <w:lvlJc w:val="left"/>
      <w:pPr>
        <w:tabs>
          <w:tab w:val="num" w:pos="1578"/>
        </w:tabs>
        <w:ind w:left="1578" w:hanging="870"/>
      </w:pPr>
      <w:rPr>
        <w:rFonts w:ascii="Times New Roman" w:eastAsia="Times New Roman" w:hAnsi="Times New Roman" w:cs="Times New Roman" w:hint="default"/>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7">
    <w:nsid w:val="5BCF680E"/>
    <w:multiLevelType w:val="multilevel"/>
    <w:tmpl w:val="6AD4E026"/>
    <w:lvl w:ilvl="0">
      <w:start w:val="1"/>
      <w:numFmt w:val="decimal"/>
      <w:lvlText w:val="%1)"/>
      <w:lvlJc w:val="left"/>
      <w:pPr>
        <w:tabs>
          <w:tab w:val="num" w:pos="1068"/>
        </w:tabs>
        <w:ind w:left="1068" w:hanging="360"/>
      </w:pPr>
      <w:rPr>
        <w:rFonts w:hint="default"/>
        <w:b/>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8">
    <w:nsid w:val="618906A6"/>
    <w:multiLevelType w:val="hybridMultilevel"/>
    <w:tmpl w:val="C62640BC"/>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5C16B4B"/>
    <w:multiLevelType w:val="hybridMultilevel"/>
    <w:tmpl w:val="D95C4090"/>
    <w:lvl w:ilvl="0" w:tplc="C4BCE344">
      <w:numFmt w:val="bullet"/>
      <w:lvlText w:val="-"/>
      <w:lvlJc w:val="left"/>
      <w:pPr>
        <w:tabs>
          <w:tab w:val="num" w:pos="870"/>
        </w:tabs>
        <w:ind w:left="870" w:hanging="870"/>
      </w:pPr>
      <w:rPr>
        <w:rFonts w:ascii="Times New Roman" w:eastAsia="Times New Roman" w:hAnsi="Times New Roman" w:cs="Times New Roman" w:hint="default"/>
      </w:rPr>
    </w:lvl>
    <w:lvl w:ilvl="1" w:tplc="0C0A0003" w:tentative="1">
      <w:start w:val="1"/>
      <w:numFmt w:val="bullet"/>
      <w:lvlText w:val="o"/>
      <w:lvlJc w:val="left"/>
      <w:pPr>
        <w:tabs>
          <w:tab w:val="num" w:pos="732"/>
        </w:tabs>
        <w:ind w:left="732" w:hanging="360"/>
      </w:pPr>
      <w:rPr>
        <w:rFonts w:ascii="Courier New" w:hAnsi="Courier New" w:hint="default"/>
      </w:rPr>
    </w:lvl>
    <w:lvl w:ilvl="2" w:tplc="0C0A0005" w:tentative="1">
      <w:start w:val="1"/>
      <w:numFmt w:val="bullet"/>
      <w:lvlText w:val=""/>
      <w:lvlJc w:val="left"/>
      <w:pPr>
        <w:tabs>
          <w:tab w:val="num" w:pos="1452"/>
        </w:tabs>
        <w:ind w:left="1452" w:hanging="360"/>
      </w:pPr>
      <w:rPr>
        <w:rFonts w:ascii="Wingdings" w:hAnsi="Wingdings" w:hint="default"/>
      </w:rPr>
    </w:lvl>
    <w:lvl w:ilvl="3" w:tplc="0C0A0001" w:tentative="1">
      <w:start w:val="1"/>
      <w:numFmt w:val="bullet"/>
      <w:lvlText w:val=""/>
      <w:lvlJc w:val="left"/>
      <w:pPr>
        <w:tabs>
          <w:tab w:val="num" w:pos="2172"/>
        </w:tabs>
        <w:ind w:left="2172" w:hanging="360"/>
      </w:pPr>
      <w:rPr>
        <w:rFonts w:ascii="Symbol" w:hAnsi="Symbol" w:hint="default"/>
      </w:rPr>
    </w:lvl>
    <w:lvl w:ilvl="4" w:tplc="0C0A0003" w:tentative="1">
      <w:start w:val="1"/>
      <w:numFmt w:val="bullet"/>
      <w:lvlText w:val="o"/>
      <w:lvlJc w:val="left"/>
      <w:pPr>
        <w:tabs>
          <w:tab w:val="num" w:pos="2892"/>
        </w:tabs>
        <w:ind w:left="2892" w:hanging="360"/>
      </w:pPr>
      <w:rPr>
        <w:rFonts w:ascii="Courier New" w:hAnsi="Courier New" w:hint="default"/>
      </w:rPr>
    </w:lvl>
    <w:lvl w:ilvl="5" w:tplc="0C0A0005" w:tentative="1">
      <w:start w:val="1"/>
      <w:numFmt w:val="bullet"/>
      <w:lvlText w:val=""/>
      <w:lvlJc w:val="left"/>
      <w:pPr>
        <w:tabs>
          <w:tab w:val="num" w:pos="3612"/>
        </w:tabs>
        <w:ind w:left="3612" w:hanging="360"/>
      </w:pPr>
      <w:rPr>
        <w:rFonts w:ascii="Wingdings" w:hAnsi="Wingdings" w:hint="default"/>
      </w:rPr>
    </w:lvl>
    <w:lvl w:ilvl="6" w:tplc="0C0A0001" w:tentative="1">
      <w:start w:val="1"/>
      <w:numFmt w:val="bullet"/>
      <w:lvlText w:val=""/>
      <w:lvlJc w:val="left"/>
      <w:pPr>
        <w:tabs>
          <w:tab w:val="num" w:pos="4332"/>
        </w:tabs>
        <w:ind w:left="4332" w:hanging="360"/>
      </w:pPr>
      <w:rPr>
        <w:rFonts w:ascii="Symbol" w:hAnsi="Symbol" w:hint="default"/>
      </w:rPr>
    </w:lvl>
    <w:lvl w:ilvl="7" w:tplc="0C0A0003" w:tentative="1">
      <w:start w:val="1"/>
      <w:numFmt w:val="bullet"/>
      <w:lvlText w:val="o"/>
      <w:lvlJc w:val="left"/>
      <w:pPr>
        <w:tabs>
          <w:tab w:val="num" w:pos="5052"/>
        </w:tabs>
        <w:ind w:left="5052" w:hanging="360"/>
      </w:pPr>
      <w:rPr>
        <w:rFonts w:ascii="Courier New" w:hAnsi="Courier New" w:hint="default"/>
      </w:rPr>
    </w:lvl>
    <w:lvl w:ilvl="8" w:tplc="0C0A0005" w:tentative="1">
      <w:start w:val="1"/>
      <w:numFmt w:val="bullet"/>
      <w:lvlText w:val=""/>
      <w:lvlJc w:val="left"/>
      <w:pPr>
        <w:tabs>
          <w:tab w:val="num" w:pos="5772"/>
        </w:tabs>
        <w:ind w:left="5772" w:hanging="360"/>
      </w:pPr>
      <w:rPr>
        <w:rFonts w:ascii="Wingdings" w:hAnsi="Wingdings" w:hint="default"/>
      </w:rPr>
    </w:lvl>
  </w:abstractNum>
  <w:abstractNum w:abstractNumId="20">
    <w:nsid w:val="66AF2246"/>
    <w:multiLevelType w:val="hybridMultilevel"/>
    <w:tmpl w:val="E0F807A6"/>
    <w:lvl w:ilvl="0" w:tplc="BCC668F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680C56DF"/>
    <w:multiLevelType w:val="singleLevel"/>
    <w:tmpl w:val="70E2E97C"/>
    <w:lvl w:ilvl="0">
      <w:start w:val="1"/>
      <w:numFmt w:val="decimal"/>
      <w:lvlText w:val="%1)"/>
      <w:lvlJc w:val="left"/>
      <w:pPr>
        <w:tabs>
          <w:tab w:val="num" w:pos="360"/>
        </w:tabs>
        <w:ind w:left="360" w:hanging="360"/>
      </w:pPr>
      <w:rPr>
        <w:rFonts w:hint="default"/>
      </w:rPr>
    </w:lvl>
  </w:abstractNum>
  <w:abstractNum w:abstractNumId="22">
    <w:nsid w:val="6F0F6148"/>
    <w:multiLevelType w:val="hybridMultilevel"/>
    <w:tmpl w:val="A4CEDAD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76C36E09"/>
    <w:multiLevelType w:val="hybridMultilevel"/>
    <w:tmpl w:val="EA7ADE36"/>
    <w:lvl w:ilvl="0" w:tplc="0B482488">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77A30C8D"/>
    <w:multiLevelType w:val="hybridMultilevel"/>
    <w:tmpl w:val="5442ED9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7AC53D75"/>
    <w:multiLevelType w:val="hybridMultilevel"/>
    <w:tmpl w:val="F4502AEE"/>
    <w:lvl w:ilvl="0" w:tplc="0C0A000D">
      <w:start w:val="1"/>
      <w:numFmt w:val="bullet"/>
      <w:lvlText w:val=""/>
      <w:lvlJc w:val="left"/>
      <w:pPr>
        <w:tabs>
          <w:tab w:val="num" w:pos="720"/>
        </w:tabs>
        <w:ind w:left="720" w:hanging="360"/>
      </w:pPr>
      <w:rPr>
        <w:rFonts w:ascii="Wingdings" w:hAnsi="Wingdings" w:hint="default"/>
      </w:rPr>
    </w:lvl>
    <w:lvl w:ilvl="1" w:tplc="0C0A000F">
      <w:start w:val="1"/>
      <w:numFmt w:val="decimal"/>
      <w:lvlText w:val="%2."/>
      <w:lvlJc w:val="left"/>
      <w:pPr>
        <w:tabs>
          <w:tab w:val="num" w:pos="1440"/>
        </w:tabs>
        <w:ind w:left="1440" w:hanging="360"/>
      </w:p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nsid w:val="7B292EB6"/>
    <w:multiLevelType w:val="hybridMultilevel"/>
    <w:tmpl w:val="4BDC86F0"/>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1"/>
  </w:num>
  <w:num w:numId="2">
    <w:abstractNumId w:val="25"/>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
  </w:num>
  <w:num w:numId="6">
    <w:abstractNumId w:val="16"/>
  </w:num>
  <w:num w:numId="7">
    <w:abstractNumId w:val="19"/>
  </w:num>
  <w:num w:numId="8">
    <w:abstractNumId w:val="9"/>
  </w:num>
  <w:num w:numId="9">
    <w:abstractNumId w:val="5"/>
  </w:num>
  <w:num w:numId="10">
    <w:abstractNumId w:val="15"/>
  </w:num>
  <w:num w:numId="11">
    <w:abstractNumId w:val="22"/>
  </w:num>
  <w:num w:numId="12">
    <w:abstractNumId w:val="24"/>
  </w:num>
  <w:num w:numId="13">
    <w:abstractNumId w:val="26"/>
  </w:num>
  <w:num w:numId="14">
    <w:abstractNumId w:val="8"/>
  </w:num>
  <w:num w:numId="15">
    <w:abstractNumId w:val="18"/>
  </w:num>
  <w:num w:numId="16">
    <w:abstractNumId w:val="20"/>
  </w:num>
  <w:num w:numId="17">
    <w:abstractNumId w:val="23"/>
  </w:num>
  <w:num w:numId="18">
    <w:abstractNumId w:val="12"/>
  </w:num>
  <w:num w:numId="19">
    <w:abstractNumId w:val="13"/>
  </w:num>
  <w:num w:numId="20">
    <w:abstractNumId w:val="10"/>
  </w:num>
  <w:num w:numId="21">
    <w:abstractNumId w:val="2"/>
  </w:num>
  <w:num w:numId="22">
    <w:abstractNumId w:val="1"/>
  </w:num>
  <w:num w:numId="23">
    <w:abstractNumId w:val="13"/>
    <w:lvlOverride w:ilvl="0">
      <w:startOverride w:val="9"/>
    </w:lvlOverride>
  </w:num>
  <w:num w:numId="24">
    <w:abstractNumId w:val="0"/>
  </w:num>
  <w:num w:numId="25">
    <w:abstractNumId w:val="13"/>
    <w:lvlOverride w:ilvl="0">
      <w:startOverride w:val="1"/>
    </w:lvlOverride>
  </w:num>
  <w:num w:numId="26">
    <w:abstractNumId w:val="6"/>
  </w:num>
  <w:num w:numId="27">
    <w:abstractNumId w:val="14"/>
  </w:num>
  <w:num w:numId="28">
    <w:abstractNumId w:val="3"/>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2B5"/>
    <w:rsid w:val="00030659"/>
    <w:rsid w:val="0003304C"/>
    <w:rsid w:val="00033E4E"/>
    <w:rsid w:val="000367DC"/>
    <w:rsid w:val="00041AEF"/>
    <w:rsid w:val="000753BE"/>
    <w:rsid w:val="000807A2"/>
    <w:rsid w:val="000843FA"/>
    <w:rsid w:val="000C3515"/>
    <w:rsid w:val="000C7CD4"/>
    <w:rsid w:val="00103D72"/>
    <w:rsid w:val="00145386"/>
    <w:rsid w:val="00153EAA"/>
    <w:rsid w:val="001E1660"/>
    <w:rsid w:val="00215506"/>
    <w:rsid w:val="002172C8"/>
    <w:rsid w:val="00221D15"/>
    <w:rsid w:val="0022674B"/>
    <w:rsid w:val="00247AC2"/>
    <w:rsid w:val="002538FF"/>
    <w:rsid w:val="00255E8E"/>
    <w:rsid w:val="0026752E"/>
    <w:rsid w:val="00276654"/>
    <w:rsid w:val="002817B9"/>
    <w:rsid w:val="0028749F"/>
    <w:rsid w:val="0029776B"/>
    <w:rsid w:val="002A53D6"/>
    <w:rsid w:val="002C08B6"/>
    <w:rsid w:val="002D16D0"/>
    <w:rsid w:val="002F6C66"/>
    <w:rsid w:val="003418E4"/>
    <w:rsid w:val="00357C56"/>
    <w:rsid w:val="00370AE9"/>
    <w:rsid w:val="00380750"/>
    <w:rsid w:val="00381082"/>
    <w:rsid w:val="003A3DBE"/>
    <w:rsid w:val="003A4D98"/>
    <w:rsid w:val="003B55FD"/>
    <w:rsid w:val="003B7EDC"/>
    <w:rsid w:val="00424813"/>
    <w:rsid w:val="004252C4"/>
    <w:rsid w:val="0045600B"/>
    <w:rsid w:val="004756BD"/>
    <w:rsid w:val="0047777E"/>
    <w:rsid w:val="004852D6"/>
    <w:rsid w:val="0049383C"/>
    <w:rsid w:val="004C7612"/>
    <w:rsid w:val="004C7AE3"/>
    <w:rsid w:val="004F5404"/>
    <w:rsid w:val="005009AF"/>
    <w:rsid w:val="00511625"/>
    <w:rsid w:val="005139E8"/>
    <w:rsid w:val="00531AC9"/>
    <w:rsid w:val="00555170"/>
    <w:rsid w:val="00572381"/>
    <w:rsid w:val="00586633"/>
    <w:rsid w:val="0058773D"/>
    <w:rsid w:val="005B102A"/>
    <w:rsid w:val="005C614C"/>
    <w:rsid w:val="005C67C0"/>
    <w:rsid w:val="005E1B90"/>
    <w:rsid w:val="005F7153"/>
    <w:rsid w:val="00613162"/>
    <w:rsid w:val="00622F2A"/>
    <w:rsid w:val="00641177"/>
    <w:rsid w:val="006412FE"/>
    <w:rsid w:val="006531AD"/>
    <w:rsid w:val="006760ED"/>
    <w:rsid w:val="00687E64"/>
    <w:rsid w:val="006B5E06"/>
    <w:rsid w:val="00721404"/>
    <w:rsid w:val="00722B0A"/>
    <w:rsid w:val="00736BEB"/>
    <w:rsid w:val="007B7B7A"/>
    <w:rsid w:val="007C203F"/>
    <w:rsid w:val="007F7E40"/>
    <w:rsid w:val="00800116"/>
    <w:rsid w:val="008057A5"/>
    <w:rsid w:val="00810780"/>
    <w:rsid w:val="0081088B"/>
    <w:rsid w:val="00813870"/>
    <w:rsid w:val="00825C11"/>
    <w:rsid w:val="0082793F"/>
    <w:rsid w:val="0083138D"/>
    <w:rsid w:val="0084090C"/>
    <w:rsid w:val="00846D56"/>
    <w:rsid w:val="00851000"/>
    <w:rsid w:val="00857B93"/>
    <w:rsid w:val="00862C9E"/>
    <w:rsid w:val="00867FD9"/>
    <w:rsid w:val="008A5111"/>
    <w:rsid w:val="008C1792"/>
    <w:rsid w:val="00912552"/>
    <w:rsid w:val="009200EF"/>
    <w:rsid w:val="0093512E"/>
    <w:rsid w:val="009573E0"/>
    <w:rsid w:val="0096199C"/>
    <w:rsid w:val="00977744"/>
    <w:rsid w:val="00996B9D"/>
    <w:rsid w:val="0099710B"/>
    <w:rsid w:val="009B5592"/>
    <w:rsid w:val="009D016A"/>
    <w:rsid w:val="009E1E03"/>
    <w:rsid w:val="009F77FA"/>
    <w:rsid w:val="009F7A21"/>
    <w:rsid w:val="00A175B6"/>
    <w:rsid w:val="00A21B1E"/>
    <w:rsid w:val="00A22E53"/>
    <w:rsid w:val="00A355AE"/>
    <w:rsid w:val="00A35DBC"/>
    <w:rsid w:val="00A5095A"/>
    <w:rsid w:val="00A84A70"/>
    <w:rsid w:val="00AD739F"/>
    <w:rsid w:val="00AF0884"/>
    <w:rsid w:val="00AF3FAC"/>
    <w:rsid w:val="00B21C4D"/>
    <w:rsid w:val="00B2365B"/>
    <w:rsid w:val="00B30A67"/>
    <w:rsid w:val="00B34AD6"/>
    <w:rsid w:val="00B472B5"/>
    <w:rsid w:val="00B558A7"/>
    <w:rsid w:val="00B67822"/>
    <w:rsid w:val="00B80643"/>
    <w:rsid w:val="00B912D5"/>
    <w:rsid w:val="00B95DBE"/>
    <w:rsid w:val="00BA56D3"/>
    <w:rsid w:val="00BC4A31"/>
    <w:rsid w:val="00BC55FE"/>
    <w:rsid w:val="00BC67AD"/>
    <w:rsid w:val="00BE011D"/>
    <w:rsid w:val="00BE53AE"/>
    <w:rsid w:val="00BF13F3"/>
    <w:rsid w:val="00C2288F"/>
    <w:rsid w:val="00C41FA8"/>
    <w:rsid w:val="00C53D04"/>
    <w:rsid w:val="00C6499B"/>
    <w:rsid w:val="00C67E33"/>
    <w:rsid w:val="00C74518"/>
    <w:rsid w:val="00C8657C"/>
    <w:rsid w:val="00C92816"/>
    <w:rsid w:val="00CA6B09"/>
    <w:rsid w:val="00D120C7"/>
    <w:rsid w:val="00D46623"/>
    <w:rsid w:val="00D519E1"/>
    <w:rsid w:val="00D5772F"/>
    <w:rsid w:val="00D6358B"/>
    <w:rsid w:val="00D71541"/>
    <w:rsid w:val="00D81917"/>
    <w:rsid w:val="00D87F22"/>
    <w:rsid w:val="00DC293A"/>
    <w:rsid w:val="00DF290B"/>
    <w:rsid w:val="00DF651D"/>
    <w:rsid w:val="00E35B90"/>
    <w:rsid w:val="00E4192B"/>
    <w:rsid w:val="00E74804"/>
    <w:rsid w:val="00E835D5"/>
    <w:rsid w:val="00E8655F"/>
    <w:rsid w:val="00EB3438"/>
    <w:rsid w:val="00EB344F"/>
    <w:rsid w:val="00EC2DEE"/>
    <w:rsid w:val="00EF2C6C"/>
    <w:rsid w:val="00F05BA2"/>
    <w:rsid w:val="00F13343"/>
    <w:rsid w:val="00F13D47"/>
    <w:rsid w:val="00F16B8B"/>
    <w:rsid w:val="00F305F2"/>
    <w:rsid w:val="00F856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GothicPS" w:hAnsi="GothicPS"/>
      <w:b/>
      <w:color w:val="000000"/>
      <w:sz w:val="24"/>
    </w:rPr>
  </w:style>
  <w:style w:type="paragraph" w:styleId="Ttulo1">
    <w:name w:val="heading 1"/>
    <w:basedOn w:val="Normal"/>
    <w:next w:val="Normal"/>
    <w:qFormat/>
    <w:pPr>
      <w:keepNext/>
      <w:outlineLvl w:val="0"/>
    </w:pPr>
    <w:rPr>
      <w:rFonts w:ascii="Bookman Old Style" w:hAnsi="Bookman Old Style"/>
      <w:lang w:val="es-ES_tradnl"/>
    </w:rPr>
  </w:style>
  <w:style w:type="paragraph" w:styleId="Ttulo2">
    <w:name w:val="heading 2"/>
    <w:basedOn w:val="Normal"/>
    <w:next w:val="Normal"/>
    <w:qFormat/>
    <w:pPr>
      <w:keepNext/>
      <w:jc w:val="center"/>
      <w:outlineLvl w:val="1"/>
    </w:pPr>
    <w:rPr>
      <w:rFonts w:ascii="Arial" w:hAnsi="Arial" w:cs="Arial"/>
      <w:lang w:val="es-ES_tradnl"/>
    </w:rPr>
  </w:style>
  <w:style w:type="paragraph" w:styleId="Ttulo3">
    <w:name w:val="heading 3"/>
    <w:basedOn w:val="Normal"/>
    <w:next w:val="Normal"/>
    <w:qFormat/>
    <w:pPr>
      <w:keepNext/>
      <w:spacing w:line="360" w:lineRule="auto"/>
      <w:outlineLvl w:val="2"/>
    </w:pPr>
    <w:rPr>
      <w:rFonts w:ascii="Arial" w:hAnsi="Arial"/>
      <w:bCs/>
      <w:color w:val="auto"/>
      <w:szCs w:val="24"/>
      <w:lang w:val="es-ES_tradnl"/>
    </w:rPr>
  </w:style>
  <w:style w:type="paragraph" w:styleId="Ttulo4">
    <w:name w:val="heading 4"/>
    <w:basedOn w:val="Normal"/>
    <w:next w:val="Normal"/>
    <w:qFormat/>
    <w:pPr>
      <w:keepNext/>
      <w:spacing w:line="360" w:lineRule="auto"/>
      <w:jc w:val="both"/>
      <w:outlineLvl w:val="3"/>
    </w:pPr>
    <w:rPr>
      <w:rFonts w:ascii="Arial" w:hAnsi="Arial" w:cs="Arial"/>
      <w:b w:val="0"/>
      <w:bCs/>
      <w:u w:val="single"/>
      <w:lang w:val="es-ES_tradnl"/>
    </w:rPr>
  </w:style>
  <w:style w:type="paragraph" w:styleId="Ttulo5">
    <w:name w:val="heading 5"/>
    <w:basedOn w:val="Normal"/>
    <w:next w:val="Normal"/>
    <w:qFormat/>
    <w:pPr>
      <w:keepNext/>
      <w:spacing w:line="360" w:lineRule="auto"/>
      <w:ind w:firstLine="708"/>
      <w:jc w:val="center"/>
      <w:outlineLvl w:val="4"/>
    </w:pPr>
    <w:rPr>
      <w:rFonts w:ascii="Arial" w:hAnsi="Arial" w:cs="Arial"/>
      <w:b w:val="0"/>
      <w:bCs/>
      <w:u w:val="single"/>
      <w:lang w:val="es-ES_tradnl"/>
    </w:rPr>
  </w:style>
  <w:style w:type="paragraph" w:styleId="Ttulo6">
    <w:name w:val="heading 6"/>
    <w:basedOn w:val="Normal"/>
    <w:next w:val="Normal"/>
    <w:qFormat/>
    <w:pPr>
      <w:keepNext/>
      <w:spacing w:line="360" w:lineRule="auto"/>
      <w:ind w:firstLine="708"/>
      <w:jc w:val="both"/>
      <w:outlineLvl w:val="5"/>
    </w:pPr>
    <w:rPr>
      <w:rFonts w:ascii="Arial" w:hAnsi="Arial" w:cs="Arial"/>
      <w:b w:val="0"/>
      <w:bCs/>
      <w:u w:val="single"/>
    </w:rPr>
  </w:style>
  <w:style w:type="paragraph" w:styleId="Ttulo7">
    <w:name w:val="heading 7"/>
    <w:basedOn w:val="Normal"/>
    <w:next w:val="Normal"/>
    <w:qFormat/>
    <w:pPr>
      <w:keepNext/>
      <w:spacing w:line="360" w:lineRule="auto"/>
      <w:ind w:left="1418" w:hanging="992"/>
      <w:jc w:val="both"/>
      <w:outlineLvl w:val="6"/>
    </w:pPr>
    <w:rPr>
      <w:rFonts w:ascii="Arial" w:hAnsi="Arial" w:cs="Arial"/>
      <w:lang w:val="es-ES_tradnl"/>
    </w:rPr>
  </w:style>
  <w:style w:type="paragraph" w:styleId="Ttulo8">
    <w:name w:val="heading 8"/>
    <w:basedOn w:val="Normal"/>
    <w:next w:val="Normal"/>
    <w:qFormat/>
    <w:pPr>
      <w:keepNext/>
      <w:numPr>
        <w:numId w:val="19"/>
      </w:numPr>
      <w:spacing w:line="360" w:lineRule="auto"/>
      <w:jc w:val="both"/>
      <w:outlineLvl w:val="7"/>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elladoNotar-FtoPrrafo">
    <w:name w:val="Sellado Notar.-Fto.Párrafo."/>
    <w:pPr>
      <w:spacing w:line="546" w:lineRule="exact"/>
      <w:jc w:val="both"/>
    </w:pPr>
    <w:rPr>
      <w:rFonts w:ascii="GothicPS" w:hAnsi="GothicPS"/>
      <w:sz w:val="24"/>
      <w:lang w:val="es-ES_tradnl"/>
    </w:rPr>
  </w:style>
  <w:style w:type="paragraph" w:customStyle="1" w:styleId="Florete-FtoPrrafo">
    <w:name w:val="Florete-Fto.Párrafo."/>
    <w:pPr>
      <w:spacing w:line="520" w:lineRule="exact"/>
      <w:jc w:val="both"/>
    </w:pPr>
    <w:rPr>
      <w:rFonts w:ascii="GothicPS" w:hAnsi="GothicPS"/>
      <w:sz w:val="24"/>
      <w:lang w:val="es-ES_tradnl"/>
    </w:rPr>
  </w:style>
  <w:style w:type="character" w:styleId="Hipervnculo">
    <w:name w:val="Hyperlink"/>
    <w:semiHidden/>
    <w:rPr>
      <w:color w:val="0000FF"/>
      <w:u w:val="single"/>
    </w:rPr>
  </w:style>
  <w:style w:type="paragraph" w:styleId="Textoindependiente">
    <w:name w:val="Body Text"/>
    <w:basedOn w:val="Normal"/>
    <w:semiHidden/>
    <w:pPr>
      <w:spacing w:line="360" w:lineRule="auto"/>
      <w:jc w:val="both"/>
    </w:pPr>
    <w:rPr>
      <w:rFonts w:ascii="Arial" w:hAnsi="Arial" w:cs="Arial"/>
      <w:b w:val="0"/>
      <w:bCs/>
      <w:u w:val="single"/>
      <w:lang w:val="es-ES_tradnl"/>
    </w:rPr>
  </w:style>
  <w:style w:type="character" w:styleId="Hipervnculovisitado">
    <w:name w:val="FollowedHyperlink"/>
    <w:semiHidden/>
    <w:rPr>
      <w:color w:val="800080"/>
      <w:u w:val="single"/>
    </w:rPr>
  </w:style>
  <w:style w:type="paragraph" w:styleId="Textoindependiente2">
    <w:name w:val="Body Text 2"/>
    <w:basedOn w:val="Normal"/>
    <w:semiHidden/>
    <w:pPr>
      <w:spacing w:line="360" w:lineRule="auto"/>
      <w:jc w:val="both"/>
    </w:pPr>
    <w:rPr>
      <w:rFonts w:ascii="Arial" w:hAnsi="Arial" w:cs="Arial"/>
      <w:b w:val="0"/>
      <w:bCs/>
      <w:lang w:val="es-ES_tradnl"/>
    </w:rPr>
  </w:style>
  <w:style w:type="paragraph" w:styleId="Sangradetextonormal">
    <w:name w:val="Body Text Indent"/>
    <w:basedOn w:val="Normal"/>
    <w:semiHidden/>
    <w:pPr>
      <w:spacing w:line="360" w:lineRule="auto"/>
      <w:ind w:firstLine="708"/>
      <w:jc w:val="both"/>
    </w:pPr>
    <w:rPr>
      <w:rFonts w:ascii="Arial" w:hAnsi="Arial" w:cs="Arial"/>
      <w:b w:val="0"/>
      <w:bCs/>
    </w:rPr>
  </w:style>
  <w:style w:type="paragraph" w:styleId="Textoindependiente3">
    <w:name w:val="Body Text 3"/>
    <w:basedOn w:val="Normal"/>
    <w:semiHidden/>
    <w:pPr>
      <w:spacing w:line="360" w:lineRule="auto"/>
      <w:jc w:val="both"/>
    </w:pPr>
    <w:rPr>
      <w:rFonts w:ascii="Arial" w:hAnsi="Arial" w:cs="Arial"/>
      <w:lang w:val="es-ES_tradnl"/>
    </w:rPr>
  </w:style>
  <w:style w:type="paragraph" w:styleId="Sangra2detindependiente">
    <w:name w:val="Body Text Indent 2"/>
    <w:basedOn w:val="Normal"/>
    <w:semiHidden/>
    <w:pPr>
      <w:spacing w:line="360" w:lineRule="auto"/>
      <w:ind w:firstLine="708"/>
      <w:jc w:val="both"/>
    </w:pPr>
    <w:rPr>
      <w:rFonts w:ascii="Arial" w:hAnsi="Arial" w:cs="Arial"/>
      <w:lang w:val="es-ES_tradnl"/>
    </w:rPr>
  </w:style>
  <w:style w:type="paragraph" w:styleId="Ttulo">
    <w:name w:val="Title"/>
    <w:basedOn w:val="Normal"/>
    <w:qFormat/>
    <w:pPr>
      <w:spacing w:line="360" w:lineRule="auto"/>
      <w:jc w:val="center"/>
    </w:pPr>
    <w:rPr>
      <w:rFonts w:ascii="Arial" w:hAnsi="Arial"/>
      <w:color w:val="auto"/>
      <w:szCs w:val="24"/>
      <w:u w:val="single"/>
      <w:lang w:val="es-UY"/>
    </w:rPr>
  </w:style>
  <w:style w:type="paragraph" w:styleId="Subttulo">
    <w:name w:val="Subtitle"/>
    <w:basedOn w:val="Normal"/>
    <w:qFormat/>
    <w:pPr>
      <w:spacing w:line="360" w:lineRule="auto"/>
      <w:jc w:val="center"/>
    </w:pPr>
    <w:rPr>
      <w:rFonts w:ascii="Arial" w:hAnsi="Arial" w:cs="Arial"/>
    </w:rPr>
  </w:style>
  <w:style w:type="paragraph" w:styleId="Prrafodelista">
    <w:name w:val="List Paragraph"/>
    <w:basedOn w:val="Normal"/>
    <w:qFormat/>
    <w:pPr>
      <w:ind w:left="708"/>
    </w:pPr>
  </w:style>
  <w:style w:type="character" w:customStyle="1" w:styleId="TtuloCar">
    <w:name w:val="Título Car"/>
    <w:rPr>
      <w:rFonts w:ascii="Arial" w:hAnsi="Arial"/>
      <w:b/>
      <w:sz w:val="24"/>
      <w:szCs w:val="24"/>
      <w:u w:val="single"/>
      <w:lang w:val="es-UY"/>
    </w:rPr>
  </w:style>
  <w:style w:type="paragraph" w:styleId="Textodeglobo">
    <w:name w:val="Balloon Text"/>
    <w:basedOn w:val="Normal"/>
    <w:link w:val="TextodegloboCar"/>
    <w:uiPriority w:val="99"/>
    <w:semiHidden/>
    <w:unhideWhenUsed/>
    <w:rsid w:val="00153EAA"/>
    <w:rPr>
      <w:rFonts w:ascii="Tahoma" w:hAnsi="Tahoma" w:cs="Tahoma"/>
      <w:sz w:val="16"/>
      <w:szCs w:val="16"/>
    </w:rPr>
  </w:style>
  <w:style w:type="character" w:customStyle="1" w:styleId="TextodegloboCar">
    <w:name w:val="Texto de globo Car"/>
    <w:basedOn w:val="Fuentedeprrafopredeter"/>
    <w:link w:val="Textodeglobo"/>
    <w:uiPriority w:val="99"/>
    <w:semiHidden/>
    <w:rsid w:val="00153EAA"/>
    <w:rPr>
      <w:rFonts w:ascii="Tahoma" w:hAnsi="Tahoma" w:cs="Tahoma"/>
      <w:b/>
      <w:color w:val="000000"/>
      <w:sz w:val="16"/>
      <w:szCs w:val="16"/>
    </w:rPr>
  </w:style>
  <w:style w:type="paragraph" w:styleId="Encabezado">
    <w:name w:val="header"/>
    <w:basedOn w:val="Normal"/>
    <w:link w:val="EncabezadoCar"/>
    <w:uiPriority w:val="99"/>
    <w:unhideWhenUsed/>
    <w:rsid w:val="00813870"/>
    <w:pPr>
      <w:tabs>
        <w:tab w:val="center" w:pos="4252"/>
        <w:tab w:val="right" w:pos="8504"/>
      </w:tabs>
    </w:pPr>
  </w:style>
  <w:style w:type="character" w:customStyle="1" w:styleId="EncabezadoCar">
    <w:name w:val="Encabezado Car"/>
    <w:basedOn w:val="Fuentedeprrafopredeter"/>
    <w:link w:val="Encabezado"/>
    <w:uiPriority w:val="99"/>
    <w:rsid w:val="00813870"/>
    <w:rPr>
      <w:rFonts w:ascii="GothicPS" w:hAnsi="GothicPS"/>
      <w:b/>
      <w:color w:val="000000"/>
      <w:sz w:val="24"/>
    </w:rPr>
  </w:style>
  <w:style w:type="paragraph" w:styleId="Piedepgina">
    <w:name w:val="footer"/>
    <w:basedOn w:val="Normal"/>
    <w:link w:val="PiedepginaCar"/>
    <w:uiPriority w:val="99"/>
    <w:unhideWhenUsed/>
    <w:rsid w:val="00813870"/>
    <w:pPr>
      <w:tabs>
        <w:tab w:val="center" w:pos="4252"/>
        <w:tab w:val="right" w:pos="8504"/>
      </w:tabs>
    </w:pPr>
  </w:style>
  <w:style w:type="character" w:customStyle="1" w:styleId="PiedepginaCar">
    <w:name w:val="Pie de página Car"/>
    <w:basedOn w:val="Fuentedeprrafopredeter"/>
    <w:link w:val="Piedepgina"/>
    <w:uiPriority w:val="99"/>
    <w:rsid w:val="00813870"/>
    <w:rPr>
      <w:rFonts w:ascii="GothicPS" w:hAnsi="GothicPS"/>
      <w:b/>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GothicPS" w:hAnsi="GothicPS"/>
      <w:b/>
      <w:color w:val="000000"/>
      <w:sz w:val="24"/>
    </w:rPr>
  </w:style>
  <w:style w:type="paragraph" w:styleId="Ttulo1">
    <w:name w:val="heading 1"/>
    <w:basedOn w:val="Normal"/>
    <w:next w:val="Normal"/>
    <w:qFormat/>
    <w:pPr>
      <w:keepNext/>
      <w:outlineLvl w:val="0"/>
    </w:pPr>
    <w:rPr>
      <w:rFonts w:ascii="Bookman Old Style" w:hAnsi="Bookman Old Style"/>
      <w:lang w:val="es-ES_tradnl"/>
    </w:rPr>
  </w:style>
  <w:style w:type="paragraph" w:styleId="Ttulo2">
    <w:name w:val="heading 2"/>
    <w:basedOn w:val="Normal"/>
    <w:next w:val="Normal"/>
    <w:qFormat/>
    <w:pPr>
      <w:keepNext/>
      <w:jc w:val="center"/>
      <w:outlineLvl w:val="1"/>
    </w:pPr>
    <w:rPr>
      <w:rFonts w:ascii="Arial" w:hAnsi="Arial" w:cs="Arial"/>
      <w:lang w:val="es-ES_tradnl"/>
    </w:rPr>
  </w:style>
  <w:style w:type="paragraph" w:styleId="Ttulo3">
    <w:name w:val="heading 3"/>
    <w:basedOn w:val="Normal"/>
    <w:next w:val="Normal"/>
    <w:qFormat/>
    <w:pPr>
      <w:keepNext/>
      <w:spacing w:line="360" w:lineRule="auto"/>
      <w:outlineLvl w:val="2"/>
    </w:pPr>
    <w:rPr>
      <w:rFonts w:ascii="Arial" w:hAnsi="Arial"/>
      <w:bCs/>
      <w:color w:val="auto"/>
      <w:szCs w:val="24"/>
      <w:lang w:val="es-ES_tradnl"/>
    </w:rPr>
  </w:style>
  <w:style w:type="paragraph" w:styleId="Ttulo4">
    <w:name w:val="heading 4"/>
    <w:basedOn w:val="Normal"/>
    <w:next w:val="Normal"/>
    <w:qFormat/>
    <w:pPr>
      <w:keepNext/>
      <w:spacing w:line="360" w:lineRule="auto"/>
      <w:jc w:val="both"/>
      <w:outlineLvl w:val="3"/>
    </w:pPr>
    <w:rPr>
      <w:rFonts w:ascii="Arial" w:hAnsi="Arial" w:cs="Arial"/>
      <w:b w:val="0"/>
      <w:bCs/>
      <w:u w:val="single"/>
      <w:lang w:val="es-ES_tradnl"/>
    </w:rPr>
  </w:style>
  <w:style w:type="paragraph" w:styleId="Ttulo5">
    <w:name w:val="heading 5"/>
    <w:basedOn w:val="Normal"/>
    <w:next w:val="Normal"/>
    <w:qFormat/>
    <w:pPr>
      <w:keepNext/>
      <w:spacing w:line="360" w:lineRule="auto"/>
      <w:ind w:firstLine="708"/>
      <w:jc w:val="center"/>
      <w:outlineLvl w:val="4"/>
    </w:pPr>
    <w:rPr>
      <w:rFonts w:ascii="Arial" w:hAnsi="Arial" w:cs="Arial"/>
      <w:b w:val="0"/>
      <w:bCs/>
      <w:u w:val="single"/>
      <w:lang w:val="es-ES_tradnl"/>
    </w:rPr>
  </w:style>
  <w:style w:type="paragraph" w:styleId="Ttulo6">
    <w:name w:val="heading 6"/>
    <w:basedOn w:val="Normal"/>
    <w:next w:val="Normal"/>
    <w:qFormat/>
    <w:pPr>
      <w:keepNext/>
      <w:spacing w:line="360" w:lineRule="auto"/>
      <w:ind w:firstLine="708"/>
      <w:jc w:val="both"/>
      <w:outlineLvl w:val="5"/>
    </w:pPr>
    <w:rPr>
      <w:rFonts w:ascii="Arial" w:hAnsi="Arial" w:cs="Arial"/>
      <w:b w:val="0"/>
      <w:bCs/>
      <w:u w:val="single"/>
    </w:rPr>
  </w:style>
  <w:style w:type="paragraph" w:styleId="Ttulo7">
    <w:name w:val="heading 7"/>
    <w:basedOn w:val="Normal"/>
    <w:next w:val="Normal"/>
    <w:qFormat/>
    <w:pPr>
      <w:keepNext/>
      <w:spacing w:line="360" w:lineRule="auto"/>
      <w:ind w:left="1418" w:hanging="992"/>
      <w:jc w:val="both"/>
      <w:outlineLvl w:val="6"/>
    </w:pPr>
    <w:rPr>
      <w:rFonts w:ascii="Arial" w:hAnsi="Arial" w:cs="Arial"/>
      <w:lang w:val="es-ES_tradnl"/>
    </w:rPr>
  </w:style>
  <w:style w:type="paragraph" w:styleId="Ttulo8">
    <w:name w:val="heading 8"/>
    <w:basedOn w:val="Normal"/>
    <w:next w:val="Normal"/>
    <w:qFormat/>
    <w:pPr>
      <w:keepNext/>
      <w:numPr>
        <w:numId w:val="19"/>
      </w:numPr>
      <w:spacing w:line="360" w:lineRule="auto"/>
      <w:jc w:val="both"/>
      <w:outlineLvl w:val="7"/>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elladoNotar-FtoPrrafo">
    <w:name w:val="Sellado Notar.-Fto.Párrafo."/>
    <w:pPr>
      <w:spacing w:line="546" w:lineRule="exact"/>
      <w:jc w:val="both"/>
    </w:pPr>
    <w:rPr>
      <w:rFonts w:ascii="GothicPS" w:hAnsi="GothicPS"/>
      <w:sz w:val="24"/>
      <w:lang w:val="es-ES_tradnl"/>
    </w:rPr>
  </w:style>
  <w:style w:type="paragraph" w:customStyle="1" w:styleId="Florete-FtoPrrafo">
    <w:name w:val="Florete-Fto.Párrafo."/>
    <w:pPr>
      <w:spacing w:line="520" w:lineRule="exact"/>
      <w:jc w:val="both"/>
    </w:pPr>
    <w:rPr>
      <w:rFonts w:ascii="GothicPS" w:hAnsi="GothicPS"/>
      <w:sz w:val="24"/>
      <w:lang w:val="es-ES_tradnl"/>
    </w:rPr>
  </w:style>
  <w:style w:type="character" w:styleId="Hipervnculo">
    <w:name w:val="Hyperlink"/>
    <w:semiHidden/>
    <w:rPr>
      <w:color w:val="0000FF"/>
      <w:u w:val="single"/>
    </w:rPr>
  </w:style>
  <w:style w:type="paragraph" w:styleId="Textoindependiente">
    <w:name w:val="Body Text"/>
    <w:basedOn w:val="Normal"/>
    <w:semiHidden/>
    <w:pPr>
      <w:spacing w:line="360" w:lineRule="auto"/>
      <w:jc w:val="both"/>
    </w:pPr>
    <w:rPr>
      <w:rFonts w:ascii="Arial" w:hAnsi="Arial" w:cs="Arial"/>
      <w:b w:val="0"/>
      <w:bCs/>
      <w:u w:val="single"/>
      <w:lang w:val="es-ES_tradnl"/>
    </w:rPr>
  </w:style>
  <w:style w:type="character" w:styleId="Hipervnculovisitado">
    <w:name w:val="FollowedHyperlink"/>
    <w:semiHidden/>
    <w:rPr>
      <w:color w:val="800080"/>
      <w:u w:val="single"/>
    </w:rPr>
  </w:style>
  <w:style w:type="paragraph" w:styleId="Textoindependiente2">
    <w:name w:val="Body Text 2"/>
    <w:basedOn w:val="Normal"/>
    <w:semiHidden/>
    <w:pPr>
      <w:spacing w:line="360" w:lineRule="auto"/>
      <w:jc w:val="both"/>
    </w:pPr>
    <w:rPr>
      <w:rFonts w:ascii="Arial" w:hAnsi="Arial" w:cs="Arial"/>
      <w:b w:val="0"/>
      <w:bCs/>
      <w:lang w:val="es-ES_tradnl"/>
    </w:rPr>
  </w:style>
  <w:style w:type="paragraph" w:styleId="Sangradetextonormal">
    <w:name w:val="Body Text Indent"/>
    <w:basedOn w:val="Normal"/>
    <w:semiHidden/>
    <w:pPr>
      <w:spacing w:line="360" w:lineRule="auto"/>
      <w:ind w:firstLine="708"/>
      <w:jc w:val="both"/>
    </w:pPr>
    <w:rPr>
      <w:rFonts w:ascii="Arial" w:hAnsi="Arial" w:cs="Arial"/>
      <w:b w:val="0"/>
      <w:bCs/>
    </w:rPr>
  </w:style>
  <w:style w:type="paragraph" w:styleId="Textoindependiente3">
    <w:name w:val="Body Text 3"/>
    <w:basedOn w:val="Normal"/>
    <w:semiHidden/>
    <w:pPr>
      <w:spacing w:line="360" w:lineRule="auto"/>
      <w:jc w:val="both"/>
    </w:pPr>
    <w:rPr>
      <w:rFonts w:ascii="Arial" w:hAnsi="Arial" w:cs="Arial"/>
      <w:lang w:val="es-ES_tradnl"/>
    </w:rPr>
  </w:style>
  <w:style w:type="paragraph" w:styleId="Sangra2detindependiente">
    <w:name w:val="Body Text Indent 2"/>
    <w:basedOn w:val="Normal"/>
    <w:semiHidden/>
    <w:pPr>
      <w:spacing w:line="360" w:lineRule="auto"/>
      <w:ind w:firstLine="708"/>
      <w:jc w:val="both"/>
    </w:pPr>
    <w:rPr>
      <w:rFonts w:ascii="Arial" w:hAnsi="Arial" w:cs="Arial"/>
      <w:lang w:val="es-ES_tradnl"/>
    </w:rPr>
  </w:style>
  <w:style w:type="paragraph" w:styleId="Ttulo">
    <w:name w:val="Title"/>
    <w:basedOn w:val="Normal"/>
    <w:qFormat/>
    <w:pPr>
      <w:spacing w:line="360" w:lineRule="auto"/>
      <w:jc w:val="center"/>
    </w:pPr>
    <w:rPr>
      <w:rFonts w:ascii="Arial" w:hAnsi="Arial"/>
      <w:color w:val="auto"/>
      <w:szCs w:val="24"/>
      <w:u w:val="single"/>
      <w:lang w:val="es-UY"/>
    </w:rPr>
  </w:style>
  <w:style w:type="paragraph" w:styleId="Subttulo">
    <w:name w:val="Subtitle"/>
    <w:basedOn w:val="Normal"/>
    <w:qFormat/>
    <w:pPr>
      <w:spacing w:line="360" w:lineRule="auto"/>
      <w:jc w:val="center"/>
    </w:pPr>
    <w:rPr>
      <w:rFonts w:ascii="Arial" w:hAnsi="Arial" w:cs="Arial"/>
    </w:rPr>
  </w:style>
  <w:style w:type="paragraph" w:styleId="Prrafodelista">
    <w:name w:val="List Paragraph"/>
    <w:basedOn w:val="Normal"/>
    <w:qFormat/>
    <w:pPr>
      <w:ind w:left="708"/>
    </w:pPr>
  </w:style>
  <w:style w:type="character" w:customStyle="1" w:styleId="TtuloCar">
    <w:name w:val="Título Car"/>
    <w:rPr>
      <w:rFonts w:ascii="Arial" w:hAnsi="Arial"/>
      <w:b/>
      <w:sz w:val="24"/>
      <w:szCs w:val="24"/>
      <w:u w:val="single"/>
      <w:lang w:val="es-UY"/>
    </w:rPr>
  </w:style>
  <w:style w:type="paragraph" w:styleId="Textodeglobo">
    <w:name w:val="Balloon Text"/>
    <w:basedOn w:val="Normal"/>
    <w:link w:val="TextodegloboCar"/>
    <w:uiPriority w:val="99"/>
    <w:semiHidden/>
    <w:unhideWhenUsed/>
    <w:rsid w:val="00153EAA"/>
    <w:rPr>
      <w:rFonts w:ascii="Tahoma" w:hAnsi="Tahoma" w:cs="Tahoma"/>
      <w:sz w:val="16"/>
      <w:szCs w:val="16"/>
    </w:rPr>
  </w:style>
  <w:style w:type="character" w:customStyle="1" w:styleId="TextodegloboCar">
    <w:name w:val="Texto de globo Car"/>
    <w:basedOn w:val="Fuentedeprrafopredeter"/>
    <w:link w:val="Textodeglobo"/>
    <w:uiPriority w:val="99"/>
    <w:semiHidden/>
    <w:rsid w:val="00153EAA"/>
    <w:rPr>
      <w:rFonts w:ascii="Tahoma" w:hAnsi="Tahoma" w:cs="Tahoma"/>
      <w:b/>
      <w:color w:val="000000"/>
      <w:sz w:val="16"/>
      <w:szCs w:val="16"/>
    </w:rPr>
  </w:style>
  <w:style w:type="paragraph" w:styleId="Encabezado">
    <w:name w:val="header"/>
    <w:basedOn w:val="Normal"/>
    <w:link w:val="EncabezadoCar"/>
    <w:uiPriority w:val="99"/>
    <w:unhideWhenUsed/>
    <w:rsid w:val="00813870"/>
    <w:pPr>
      <w:tabs>
        <w:tab w:val="center" w:pos="4252"/>
        <w:tab w:val="right" w:pos="8504"/>
      </w:tabs>
    </w:pPr>
  </w:style>
  <w:style w:type="character" w:customStyle="1" w:styleId="EncabezadoCar">
    <w:name w:val="Encabezado Car"/>
    <w:basedOn w:val="Fuentedeprrafopredeter"/>
    <w:link w:val="Encabezado"/>
    <w:uiPriority w:val="99"/>
    <w:rsid w:val="00813870"/>
    <w:rPr>
      <w:rFonts w:ascii="GothicPS" w:hAnsi="GothicPS"/>
      <w:b/>
      <w:color w:val="000000"/>
      <w:sz w:val="24"/>
    </w:rPr>
  </w:style>
  <w:style w:type="paragraph" w:styleId="Piedepgina">
    <w:name w:val="footer"/>
    <w:basedOn w:val="Normal"/>
    <w:link w:val="PiedepginaCar"/>
    <w:uiPriority w:val="99"/>
    <w:unhideWhenUsed/>
    <w:rsid w:val="00813870"/>
    <w:pPr>
      <w:tabs>
        <w:tab w:val="center" w:pos="4252"/>
        <w:tab w:val="right" w:pos="8504"/>
      </w:tabs>
    </w:pPr>
  </w:style>
  <w:style w:type="character" w:customStyle="1" w:styleId="PiedepginaCar">
    <w:name w:val="Pie de página Car"/>
    <w:basedOn w:val="Fuentedeprrafopredeter"/>
    <w:link w:val="Piedepgina"/>
    <w:uiPriority w:val="99"/>
    <w:rsid w:val="00813870"/>
    <w:rPr>
      <w:rFonts w:ascii="GothicPS" w:hAnsi="GothicPS"/>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9A94C-0164-4BB0-8323-C59F6FC84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1792</Words>
  <Characters>9763</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Montevideo,          de              de 2000</vt:lpstr>
    </vt:vector>
  </TitlesOfParts>
  <Company/>
  <LinksUpToDate>false</LinksUpToDate>
  <CharactersWithSpaces>11532</CharactersWithSpaces>
  <SharedDoc>false</SharedDoc>
  <HLinks>
    <vt:vector size="6" baseType="variant">
      <vt:variant>
        <vt:i4>852080</vt:i4>
      </vt:variant>
      <vt:variant>
        <vt:i4>0</vt:i4>
      </vt:variant>
      <vt:variant>
        <vt:i4>0</vt:i4>
      </vt:variant>
      <vt:variant>
        <vt:i4>5</vt:i4>
      </vt:variant>
      <vt:variant>
        <vt:lpwstr>\\Tcrnw03\vol1\USUARIOS\JUR-GDEP\Mis documentos\LICITACIONES\Canelones\2017-17-1-0003835-LP-Can-6-2016-AA.doc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Montevideo,          de              de 2000</dc:title>
  <dc:creator>.</dc:creator>
  <cp:lastModifiedBy>Tribunal1</cp:lastModifiedBy>
  <cp:revision>2</cp:revision>
  <cp:lastPrinted>2017-07-05T20:42:00Z</cp:lastPrinted>
  <dcterms:created xsi:type="dcterms:W3CDTF">2017-07-17T14:54:00Z</dcterms:created>
  <dcterms:modified xsi:type="dcterms:W3CDTF">2017-07-17T14:54:00Z</dcterms:modified>
</cp:coreProperties>
</file>