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B4" w:rsidRPr="00786EEB" w:rsidRDefault="00316AB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2262/17</w:t>
      </w:r>
    </w:p>
    <w:p w:rsidR="00316AB4" w:rsidRDefault="00316AB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16AB4" w:rsidRPr="00762B34" w:rsidRDefault="00316AB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16AB4" w:rsidRPr="00762B34" w:rsidRDefault="00316AB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16AB4" w:rsidRPr="00762B34" w:rsidRDefault="00316AB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16AB4" w:rsidRPr="00762B34" w:rsidRDefault="00316AB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16AB4" w:rsidRPr="00762B34" w:rsidRDefault="00316AB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12 DE JULIO </w:t>
      </w:r>
      <w:r>
        <w:rPr>
          <w:rFonts w:ascii="Helvetica" w:hAnsi="Helvetica"/>
          <w:b/>
          <w:lang w:val="es-ES_tradnl"/>
        </w:rPr>
        <w:t>DE 2017</w:t>
      </w:r>
    </w:p>
    <w:p w:rsidR="00316AB4" w:rsidRPr="00762B34" w:rsidRDefault="00316AB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16AB4" w:rsidRPr="00EE05DC" w:rsidRDefault="00316AB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762B34">
        <w:rPr>
          <w:rFonts w:ascii="Arial" w:hAnsi="Arial" w:cs="Arial"/>
          <w:b/>
          <w:lang w:val="en-US"/>
        </w:rPr>
        <w:t>(E. E. Nº</w:t>
      </w:r>
      <w:r>
        <w:rPr>
          <w:rFonts w:ascii="Arial" w:hAnsi="Arial" w:cs="Arial"/>
          <w:b/>
          <w:lang w:val="en-US"/>
        </w:rPr>
        <w:t xml:space="preserve"> 2013-17-1</w:t>
      </w:r>
      <w:bookmarkStart w:id="0" w:name="_GoBack"/>
      <w:bookmarkEnd w:id="0"/>
      <w:r>
        <w:rPr>
          <w:rFonts w:ascii="Arial" w:hAnsi="Arial" w:cs="Arial"/>
          <w:b/>
          <w:lang w:val="en-US"/>
        </w:rPr>
        <w:t>-0006384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</w:t>
      </w:r>
      <w:r w:rsidRPr="00EE05DC">
        <w:rPr>
          <w:rFonts w:ascii="Arial" w:hAnsi="Arial" w:cs="Arial"/>
          <w:b/>
          <w:lang w:val="es-UY"/>
        </w:rPr>
        <w:t xml:space="preserve"> N° 3367/17)</w:t>
      </w:r>
    </w:p>
    <w:p w:rsidR="00316AB4" w:rsidRPr="00EE05DC" w:rsidRDefault="00316A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16AB4" w:rsidRPr="00EE05DC" w:rsidRDefault="00316AB4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D435AC" w:rsidRDefault="00687527" w:rsidP="00316AB4">
      <w:pPr>
        <w:spacing w:line="360" w:lineRule="auto"/>
        <w:ind w:right="-1" w:firstLine="708"/>
        <w:jc w:val="both"/>
        <w:rPr>
          <w:rFonts w:ascii="Arial" w:hAnsi="Arial" w:cs="Arial"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t>VISTO:</w:t>
      </w:r>
      <w:r>
        <w:rPr>
          <w:rFonts w:ascii="Arial" w:hAnsi="Arial" w:cs="Arial"/>
          <w:szCs w:val="20"/>
          <w:lang w:val="es-MX"/>
        </w:rPr>
        <w:t xml:space="preserve"> las actuaciones remitidas por</w:t>
      </w:r>
      <w:r w:rsidR="00D435AC">
        <w:rPr>
          <w:rFonts w:ascii="Arial" w:hAnsi="Arial" w:cs="Arial"/>
          <w:szCs w:val="20"/>
          <w:lang w:val="es-MX"/>
        </w:rPr>
        <w:t xml:space="preserve"> </w:t>
      </w:r>
      <w:r>
        <w:rPr>
          <w:rFonts w:ascii="Arial" w:hAnsi="Arial" w:cs="Arial"/>
          <w:szCs w:val="20"/>
          <w:lang w:val="es-MX"/>
        </w:rPr>
        <w:t>la Intendencia de Montevideo</w:t>
      </w:r>
      <w:r w:rsidR="00D435AC">
        <w:rPr>
          <w:rFonts w:ascii="Arial" w:hAnsi="Arial" w:cs="Arial"/>
          <w:szCs w:val="20"/>
          <w:lang w:val="es-MX"/>
        </w:rPr>
        <w:t>,</w:t>
      </w:r>
      <w:r>
        <w:rPr>
          <w:rFonts w:ascii="Arial" w:hAnsi="Arial" w:cs="Arial"/>
          <w:szCs w:val="20"/>
          <w:lang w:val="es-MX"/>
        </w:rPr>
        <w:t xml:space="preserve"> relacionadas con </w:t>
      </w:r>
      <w:r w:rsidR="00D435AC">
        <w:rPr>
          <w:rFonts w:ascii="Arial" w:hAnsi="Arial" w:cs="Arial"/>
          <w:szCs w:val="20"/>
          <w:lang w:val="es-MX"/>
        </w:rPr>
        <w:t xml:space="preserve">la </w:t>
      </w:r>
      <w:r w:rsidR="00246F71">
        <w:rPr>
          <w:rFonts w:ascii="Arial" w:hAnsi="Arial" w:cs="Arial"/>
          <w:szCs w:val="20"/>
          <w:lang w:val="es-MX"/>
        </w:rPr>
        <w:t xml:space="preserve">prórroga </w:t>
      </w:r>
      <w:r w:rsidR="00D435AC">
        <w:rPr>
          <w:rFonts w:ascii="Arial" w:hAnsi="Arial" w:cs="Arial"/>
          <w:szCs w:val="20"/>
          <w:lang w:val="es-MX"/>
        </w:rPr>
        <w:t xml:space="preserve">del convenio de donación modal suscrito entre </w:t>
      </w:r>
      <w:r w:rsidR="00246F71">
        <w:rPr>
          <w:rFonts w:ascii="Arial" w:hAnsi="Arial" w:cs="Arial"/>
          <w:szCs w:val="20"/>
          <w:lang w:val="es-MX"/>
        </w:rPr>
        <w:t xml:space="preserve">la misma </w:t>
      </w:r>
      <w:r w:rsidR="00D435AC">
        <w:rPr>
          <w:rFonts w:ascii="Arial" w:hAnsi="Arial" w:cs="Arial"/>
          <w:szCs w:val="20"/>
          <w:lang w:val="es-MX"/>
        </w:rPr>
        <w:t>y la Sociedad San Francisco de Sales-Padres Salesianos (Movimiento Tacurú), para realizar</w:t>
      </w:r>
      <w:r>
        <w:rPr>
          <w:rFonts w:ascii="Arial" w:hAnsi="Arial" w:cs="Arial"/>
          <w:szCs w:val="20"/>
          <w:lang w:val="es-MX"/>
        </w:rPr>
        <w:t xml:space="preserve"> tareas de barrido y levante de </w:t>
      </w:r>
      <w:r w:rsidR="00D435AC">
        <w:rPr>
          <w:rFonts w:ascii="Arial" w:hAnsi="Arial" w:cs="Arial"/>
          <w:szCs w:val="20"/>
          <w:lang w:val="es-MX"/>
        </w:rPr>
        <w:t>ferias y periferias de Montevideo;</w:t>
      </w:r>
    </w:p>
    <w:p w:rsidR="00316AB4" w:rsidRDefault="00687527" w:rsidP="00316AB4">
      <w:pPr>
        <w:spacing w:line="360" w:lineRule="auto"/>
        <w:ind w:right="-1" w:firstLine="709"/>
        <w:jc w:val="both"/>
        <w:rPr>
          <w:rFonts w:ascii="Arial" w:hAnsi="Arial"/>
        </w:rPr>
      </w:pPr>
      <w:r>
        <w:rPr>
          <w:rFonts w:ascii="Arial" w:hAnsi="Arial"/>
          <w:b/>
          <w:spacing w:val="-3"/>
          <w:lang w:val="es-ES_tradnl"/>
        </w:rPr>
        <w:t xml:space="preserve">RESULTANDO: </w:t>
      </w:r>
      <w:r>
        <w:rPr>
          <w:rFonts w:ascii="Arial" w:hAnsi="Arial"/>
          <w:b/>
          <w:bCs/>
          <w:spacing w:val="-3"/>
          <w:lang w:val="es-ES_tradnl"/>
        </w:rPr>
        <w:t>1)</w:t>
      </w:r>
      <w:r w:rsidR="00272871">
        <w:rPr>
          <w:rFonts w:ascii="Arial" w:hAnsi="Arial"/>
          <w:b/>
          <w:bCs/>
          <w:spacing w:val="-3"/>
          <w:lang w:val="es-ES_tradnl"/>
        </w:rPr>
        <w:t xml:space="preserve"> </w:t>
      </w:r>
      <w:r w:rsidR="0027039F" w:rsidRPr="0027039F">
        <w:rPr>
          <w:rFonts w:ascii="Arial" w:hAnsi="Arial"/>
          <w:lang w:val="es-ES_tradnl"/>
        </w:rPr>
        <w:t xml:space="preserve">que </w:t>
      </w:r>
      <w:r w:rsidR="00316AB4">
        <w:rPr>
          <w:rFonts w:ascii="Arial" w:hAnsi="Arial"/>
          <w:lang w:val="es-ES_tradnl"/>
        </w:rPr>
        <w:t xml:space="preserve">  </w:t>
      </w:r>
      <w:r w:rsidR="0027039F">
        <w:rPr>
          <w:rFonts w:ascii="Arial" w:hAnsi="Arial"/>
          <w:lang w:val="es-ES_tradnl"/>
        </w:rPr>
        <w:t xml:space="preserve">el </w:t>
      </w:r>
      <w:r w:rsidR="00316AB4">
        <w:rPr>
          <w:rFonts w:ascii="Arial" w:hAnsi="Arial"/>
          <w:lang w:val="es-ES_tradnl"/>
        </w:rPr>
        <w:t xml:space="preserve">  </w:t>
      </w:r>
      <w:r w:rsidR="0027039F">
        <w:rPr>
          <w:rFonts w:ascii="Arial" w:hAnsi="Arial"/>
          <w:lang w:val="es-ES_tradnl"/>
        </w:rPr>
        <w:t xml:space="preserve">Ejecutivo </w:t>
      </w:r>
      <w:r w:rsidR="00316AB4">
        <w:rPr>
          <w:rFonts w:ascii="Arial" w:hAnsi="Arial"/>
          <w:lang w:val="es-ES_tradnl"/>
        </w:rPr>
        <w:t xml:space="preserve"> </w:t>
      </w:r>
      <w:r w:rsidR="0027039F">
        <w:rPr>
          <w:rFonts w:ascii="Arial" w:hAnsi="Arial"/>
          <w:lang w:val="es-ES_tradnl"/>
        </w:rPr>
        <w:t xml:space="preserve">Departamental, </w:t>
      </w:r>
      <w:r w:rsidR="00316AB4">
        <w:rPr>
          <w:rFonts w:ascii="Arial" w:hAnsi="Arial"/>
          <w:lang w:val="es-ES_tradnl"/>
        </w:rPr>
        <w:t xml:space="preserve">  </w:t>
      </w:r>
      <w:r w:rsidR="0027039F" w:rsidRPr="0027039F">
        <w:rPr>
          <w:rFonts w:ascii="Arial" w:hAnsi="Arial"/>
          <w:lang w:val="es-ES_tradnl"/>
        </w:rPr>
        <w:t>mediante</w:t>
      </w:r>
      <w:r w:rsidR="0027039F">
        <w:rPr>
          <w:rFonts w:ascii="Arial" w:hAnsi="Arial"/>
        </w:rPr>
        <w:t xml:space="preserve"> </w:t>
      </w:r>
      <w:r w:rsidR="00316AB4">
        <w:rPr>
          <w:rFonts w:ascii="Arial" w:hAnsi="Arial"/>
        </w:rPr>
        <w:t xml:space="preserve">  </w:t>
      </w:r>
      <w:r w:rsidR="0027039F">
        <w:rPr>
          <w:rFonts w:ascii="Arial" w:hAnsi="Arial"/>
        </w:rPr>
        <w:t xml:space="preserve">Resolución </w:t>
      </w:r>
    </w:p>
    <w:p w:rsidR="0027039F" w:rsidRDefault="0027039F" w:rsidP="00316AB4">
      <w:pPr>
        <w:spacing w:line="360" w:lineRule="auto"/>
        <w:ind w:right="-1"/>
        <w:jc w:val="both"/>
        <w:rPr>
          <w:rFonts w:ascii="Arial" w:hAnsi="Arial"/>
          <w:lang w:val="es-ES_tradnl"/>
        </w:rPr>
      </w:pPr>
      <w:r>
        <w:rPr>
          <w:rFonts w:ascii="Arial" w:hAnsi="Arial"/>
        </w:rPr>
        <w:t>Nº 1512</w:t>
      </w:r>
      <w:r w:rsidRPr="0027039F">
        <w:rPr>
          <w:rFonts w:ascii="Arial" w:hAnsi="Arial"/>
        </w:rPr>
        <w:t>/1</w:t>
      </w:r>
      <w:r>
        <w:rPr>
          <w:rFonts w:ascii="Arial" w:hAnsi="Arial"/>
        </w:rPr>
        <w:t>6</w:t>
      </w:r>
      <w:r w:rsidRPr="0027039F">
        <w:rPr>
          <w:rFonts w:ascii="Arial" w:hAnsi="Arial"/>
        </w:rPr>
        <w:t xml:space="preserve"> de fecha </w:t>
      </w:r>
      <w:r>
        <w:rPr>
          <w:rFonts w:ascii="Arial" w:hAnsi="Arial"/>
        </w:rPr>
        <w:t>1</w:t>
      </w:r>
      <w:r w:rsidRPr="0027039F">
        <w:rPr>
          <w:rFonts w:ascii="Arial" w:hAnsi="Arial"/>
        </w:rPr>
        <w:t>3</w:t>
      </w:r>
      <w:r w:rsidR="00272871">
        <w:rPr>
          <w:rFonts w:ascii="Arial" w:hAnsi="Arial"/>
        </w:rPr>
        <w:t>.</w:t>
      </w:r>
      <w:r w:rsidRPr="0027039F">
        <w:rPr>
          <w:rFonts w:ascii="Arial" w:hAnsi="Arial"/>
        </w:rPr>
        <w:t>0</w:t>
      </w:r>
      <w:r>
        <w:rPr>
          <w:rFonts w:ascii="Arial" w:hAnsi="Arial"/>
        </w:rPr>
        <w:t>4</w:t>
      </w:r>
      <w:r w:rsidR="00272871">
        <w:rPr>
          <w:rFonts w:ascii="Arial" w:hAnsi="Arial"/>
        </w:rPr>
        <w:t>.</w:t>
      </w:r>
      <w:r w:rsidRPr="0027039F">
        <w:rPr>
          <w:rFonts w:ascii="Arial" w:hAnsi="Arial"/>
        </w:rPr>
        <w:t>1</w:t>
      </w:r>
      <w:r>
        <w:rPr>
          <w:rFonts w:ascii="Arial" w:hAnsi="Arial"/>
        </w:rPr>
        <w:t>6</w:t>
      </w:r>
      <w:r w:rsidRPr="0027039F">
        <w:rPr>
          <w:rFonts w:ascii="Arial" w:hAnsi="Arial"/>
        </w:rPr>
        <w:t>,</w:t>
      </w:r>
      <w:r w:rsidR="00272871">
        <w:rPr>
          <w:rFonts w:ascii="Arial" w:hAnsi="Arial"/>
        </w:rPr>
        <w:t xml:space="preserve"> a</w:t>
      </w:r>
      <w:r>
        <w:rPr>
          <w:rFonts w:ascii="Arial" w:hAnsi="Arial"/>
        </w:rPr>
        <w:t xml:space="preserve">probó el proyecto de contrato de donación modal a suscribirse entre </w:t>
      </w:r>
      <w:r w:rsidRPr="0027039F">
        <w:rPr>
          <w:rFonts w:ascii="Arial" w:hAnsi="Arial"/>
          <w:lang w:val="es-ES_tradnl"/>
        </w:rPr>
        <w:t xml:space="preserve">la Intendencia y la Sociedad de San Francisco de Sales-Padres Salesianos, </w:t>
      </w:r>
      <w:r>
        <w:rPr>
          <w:rFonts w:ascii="Arial" w:hAnsi="Arial"/>
          <w:lang w:val="es-ES_tradnl"/>
        </w:rPr>
        <w:t>mediante el cual:</w:t>
      </w:r>
    </w:p>
    <w:p w:rsidR="00316AB4" w:rsidRDefault="00272871" w:rsidP="0027039F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b/>
          <w:lang w:val="es-ES_tradnl"/>
        </w:rPr>
        <w:t>1</w:t>
      </w:r>
      <w:r w:rsidR="0027039F" w:rsidRPr="00287A71">
        <w:rPr>
          <w:rFonts w:ascii="Arial" w:hAnsi="Arial"/>
          <w:b/>
          <w:lang w:val="es-ES_tradnl"/>
        </w:rPr>
        <w:t>.1)</w:t>
      </w:r>
      <w:r w:rsidR="0027039F">
        <w:rPr>
          <w:rFonts w:ascii="Arial" w:hAnsi="Arial"/>
          <w:lang w:val="es-ES_tradnl"/>
        </w:rPr>
        <w:t xml:space="preserve"> la Intendencia transfiere a su </w:t>
      </w:r>
      <w:proofErr w:type="spellStart"/>
      <w:r w:rsidR="0027039F">
        <w:rPr>
          <w:rFonts w:ascii="Arial" w:hAnsi="Arial"/>
          <w:lang w:val="es-ES_tradnl"/>
        </w:rPr>
        <w:t>cocontratante</w:t>
      </w:r>
      <w:proofErr w:type="spellEnd"/>
      <w:r w:rsidR="0027039F">
        <w:rPr>
          <w:rFonts w:ascii="Arial" w:hAnsi="Arial"/>
          <w:lang w:val="es-ES_tradnl"/>
        </w:rPr>
        <w:t xml:space="preserve">, en calidad de donación, la suma de </w:t>
      </w:r>
      <w:r w:rsidR="0027039F" w:rsidRPr="0027039F">
        <w:rPr>
          <w:rFonts w:ascii="Arial" w:hAnsi="Arial"/>
          <w:lang w:val="es-ES_tradnl"/>
        </w:rPr>
        <w:t xml:space="preserve">$ </w:t>
      </w:r>
      <w:r w:rsidR="00287A71">
        <w:rPr>
          <w:rFonts w:ascii="Arial" w:hAnsi="Arial"/>
          <w:lang w:val="es-ES_tradnl"/>
        </w:rPr>
        <w:t>6</w:t>
      </w:r>
      <w:r w:rsidR="0027039F" w:rsidRPr="0027039F">
        <w:rPr>
          <w:rFonts w:ascii="Arial" w:hAnsi="Arial"/>
          <w:lang w:val="es-ES_tradnl"/>
        </w:rPr>
        <w:t>:</w:t>
      </w:r>
      <w:r w:rsidR="00287A71">
        <w:rPr>
          <w:rFonts w:ascii="Arial" w:hAnsi="Arial"/>
          <w:lang w:val="es-ES_tradnl"/>
        </w:rPr>
        <w:t>356</w:t>
      </w:r>
      <w:r w:rsidR="0027039F" w:rsidRPr="0027039F">
        <w:rPr>
          <w:rFonts w:ascii="Arial" w:hAnsi="Arial"/>
          <w:lang w:val="es-ES_tradnl"/>
        </w:rPr>
        <w:t>.</w:t>
      </w:r>
      <w:r w:rsidR="00287A71">
        <w:rPr>
          <w:rFonts w:ascii="Arial" w:hAnsi="Arial"/>
          <w:lang w:val="es-ES_tradnl"/>
        </w:rPr>
        <w:t>9</w:t>
      </w:r>
      <w:r w:rsidR="0027039F" w:rsidRPr="0027039F">
        <w:rPr>
          <w:rFonts w:ascii="Arial" w:hAnsi="Arial"/>
          <w:lang w:val="es-ES_tradnl"/>
        </w:rPr>
        <w:t>17</w:t>
      </w:r>
      <w:proofErr w:type="gramStart"/>
      <w:r w:rsidR="0027039F" w:rsidRPr="0027039F">
        <w:rPr>
          <w:rFonts w:ascii="Arial" w:hAnsi="Arial"/>
          <w:lang w:val="es-ES_tradnl"/>
        </w:rPr>
        <w:t>,oo</w:t>
      </w:r>
      <w:proofErr w:type="gramEnd"/>
      <w:r w:rsidR="0027039F" w:rsidRPr="0027039F">
        <w:rPr>
          <w:rFonts w:ascii="Arial" w:hAnsi="Arial"/>
          <w:lang w:val="es-ES_tradnl"/>
        </w:rPr>
        <w:t>,</w:t>
      </w:r>
      <w:r w:rsidR="00287A71">
        <w:rPr>
          <w:rFonts w:ascii="Arial" w:hAnsi="Arial"/>
          <w:lang w:val="es-ES_tradnl"/>
        </w:rPr>
        <w:t xml:space="preserve"> instrumentándose la misma en 6 pagos iguales de $ 963.169,29, el primero a efectuarse a los 30 días de ser firmada la donación modal, y las restantes una vez presentada la rendición ante la Unidad de Contratos y Convenios, dependiente de la División Limpieza, previéndose una suma para imprevistos equivalente </w:t>
      </w:r>
      <w:r w:rsidR="00316AB4">
        <w:rPr>
          <w:rFonts w:ascii="Arial" w:hAnsi="Arial"/>
          <w:lang w:val="es-ES_tradnl"/>
        </w:rPr>
        <w:t xml:space="preserve">  </w:t>
      </w:r>
      <w:r w:rsidR="00287A71">
        <w:rPr>
          <w:rFonts w:ascii="Arial" w:hAnsi="Arial"/>
          <w:lang w:val="es-ES_tradnl"/>
        </w:rPr>
        <w:t xml:space="preserve">al </w:t>
      </w:r>
      <w:r w:rsidR="00316AB4">
        <w:rPr>
          <w:rFonts w:ascii="Arial" w:hAnsi="Arial"/>
          <w:lang w:val="es-ES_tradnl"/>
        </w:rPr>
        <w:t xml:space="preserve"> </w:t>
      </w:r>
      <w:r w:rsidR="00287A71">
        <w:rPr>
          <w:rFonts w:ascii="Arial" w:hAnsi="Arial"/>
          <w:lang w:val="es-ES_tradnl"/>
        </w:rPr>
        <w:t xml:space="preserve">10% </w:t>
      </w:r>
      <w:r w:rsidR="00316AB4">
        <w:rPr>
          <w:rFonts w:ascii="Arial" w:hAnsi="Arial"/>
          <w:lang w:val="es-ES_tradnl"/>
        </w:rPr>
        <w:t xml:space="preserve">  </w:t>
      </w:r>
      <w:r w:rsidR="00287A71">
        <w:rPr>
          <w:rFonts w:ascii="Arial" w:hAnsi="Arial"/>
          <w:lang w:val="es-ES_tradnl"/>
        </w:rPr>
        <w:t xml:space="preserve">del </w:t>
      </w:r>
      <w:r w:rsidR="00316AB4">
        <w:rPr>
          <w:rFonts w:ascii="Arial" w:hAnsi="Arial"/>
          <w:lang w:val="es-ES_tradnl"/>
        </w:rPr>
        <w:t xml:space="preserve">  </w:t>
      </w:r>
      <w:r w:rsidR="00287A71">
        <w:rPr>
          <w:rFonts w:ascii="Arial" w:hAnsi="Arial"/>
          <w:lang w:val="es-ES_tradnl"/>
        </w:rPr>
        <w:t xml:space="preserve">monto </w:t>
      </w:r>
      <w:r w:rsidR="00316AB4">
        <w:rPr>
          <w:rFonts w:ascii="Arial" w:hAnsi="Arial"/>
          <w:lang w:val="es-ES_tradnl"/>
        </w:rPr>
        <w:t xml:space="preserve">  </w:t>
      </w:r>
      <w:r w:rsidR="00287A71">
        <w:rPr>
          <w:rFonts w:ascii="Arial" w:hAnsi="Arial"/>
          <w:lang w:val="es-ES_tradnl"/>
        </w:rPr>
        <w:t>total</w:t>
      </w:r>
      <w:r w:rsidR="00316AB4">
        <w:rPr>
          <w:rFonts w:ascii="Arial" w:hAnsi="Arial"/>
          <w:lang w:val="es-ES_tradnl"/>
        </w:rPr>
        <w:t xml:space="preserve"> </w:t>
      </w:r>
      <w:r w:rsidR="00287A71">
        <w:rPr>
          <w:rFonts w:ascii="Arial" w:hAnsi="Arial"/>
          <w:lang w:val="es-ES_tradnl"/>
        </w:rPr>
        <w:t xml:space="preserve"> relacionado, que </w:t>
      </w:r>
      <w:r w:rsidR="00316AB4">
        <w:rPr>
          <w:rFonts w:ascii="Arial" w:hAnsi="Arial"/>
          <w:lang w:val="es-ES_tradnl"/>
        </w:rPr>
        <w:t xml:space="preserve">  </w:t>
      </w:r>
      <w:r w:rsidR="00287A71">
        <w:rPr>
          <w:rFonts w:ascii="Arial" w:hAnsi="Arial"/>
          <w:lang w:val="es-ES_tradnl"/>
        </w:rPr>
        <w:t xml:space="preserve">asciende </w:t>
      </w:r>
      <w:r w:rsidR="00316AB4">
        <w:rPr>
          <w:rFonts w:ascii="Arial" w:hAnsi="Arial"/>
          <w:lang w:val="es-ES_tradnl"/>
        </w:rPr>
        <w:t xml:space="preserve"> </w:t>
      </w:r>
      <w:r w:rsidR="00287A71">
        <w:rPr>
          <w:rFonts w:ascii="Arial" w:hAnsi="Arial"/>
          <w:lang w:val="es-ES_tradnl"/>
        </w:rPr>
        <w:t xml:space="preserve">a </w:t>
      </w:r>
      <w:r w:rsidR="00316AB4">
        <w:rPr>
          <w:rFonts w:ascii="Arial" w:hAnsi="Arial"/>
          <w:lang w:val="es-ES_tradnl"/>
        </w:rPr>
        <w:t xml:space="preserve">  </w:t>
      </w:r>
      <w:r w:rsidR="00287A71">
        <w:rPr>
          <w:rFonts w:ascii="Arial" w:hAnsi="Arial"/>
          <w:lang w:val="es-ES_tradnl"/>
        </w:rPr>
        <w:t xml:space="preserve">la </w:t>
      </w:r>
      <w:r w:rsidR="00316AB4">
        <w:rPr>
          <w:rFonts w:ascii="Arial" w:hAnsi="Arial"/>
          <w:lang w:val="es-ES_tradnl"/>
        </w:rPr>
        <w:t xml:space="preserve"> </w:t>
      </w:r>
      <w:r w:rsidR="00287A71">
        <w:rPr>
          <w:rFonts w:ascii="Arial" w:hAnsi="Arial"/>
          <w:lang w:val="es-ES_tradnl"/>
        </w:rPr>
        <w:t xml:space="preserve">suma de </w:t>
      </w:r>
    </w:p>
    <w:p w:rsidR="00287A71" w:rsidRDefault="00287A71" w:rsidP="0027039F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$ 577.901,39, que sólo podrá ser afectada a pedido expreso de la Intendencia; por su parte, los ajustes de los </w:t>
      </w:r>
      <w:proofErr w:type="spellStart"/>
      <w:r>
        <w:rPr>
          <w:rFonts w:ascii="Arial" w:hAnsi="Arial"/>
          <w:lang w:val="es-ES_tradnl"/>
        </w:rPr>
        <w:t>ítmens</w:t>
      </w:r>
      <w:proofErr w:type="spellEnd"/>
      <w:r>
        <w:rPr>
          <w:rFonts w:ascii="Arial" w:hAnsi="Arial"/>
          <w:lang w:val="es-ES_tradnl"/>
        </w:rPr>
        <w:t xml:space="preserve"> del objeto, se realizará semestralmente según la variación del I.P.C., con excepción de los montos mensuales correspondientes a 2 Educadores y al Coordinador, lo que asciende a la suma de $ 96:857,39, que se ajustarán según el Grupo 16 Sub-Grupo 07 del Consejo de Salarios;</w:t>
      </w:r>
    </w:p>
    <w:p w:rsidR="005A3A0B" w:rsidRDefault="00272871" w:rsidP="0027039F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b/>
          <w:lang w:val="es-ES_tradnl"/>
        </w:rPr>
        <w:lastRenderedPageBreak/>
        <w:t>1.</w:t>
      </w:r>
      <w:r w:rsidR="00287A71" w:rsidRPr="00287A71">
        <w:rPr>
          <w:rFonts w:ascii="Arial" w:hAnsi="Arial"/>
          <w:b/>
          <w:lang w:val="es-ES_tradnl"/>
        </w:rPr>
        <w:t>2)</w:t>
      </w:r>
      <w:r w:rsidR="00287A71">
        <w:rPr>
          <w:rFonts w:ascii="Arial" w:hAnsi="Arial"/>
          <w:lang w:val="es-ES_tradnl"/>
        </w:rPr>
        <w:t xml:space="preserve">  por su parte, la Asociación se obliga al </w:t>
      </w:r>
      <w:r w:rsidR="0027039F" w:rsidRPr="0027039F">
        <w:rPr>
          <w:rFonts w:ascii="Arial" w:hAnsi="Arial"/>
          <w:lang w:val="es-ES_tradnl"/>
        </w:rPr>
        <w:t xml:space="preserve">desarrollo de las tareas de barrido y levante de </w:t>
      </w:r>
      <w:r w:rsidR="00287A71">
        <w:rPr>
          <w:rFonts w:ascii="Arial" w:hAnsi="Arial"/>
          <w:lang w:val="es-ES_tradnl"/>
        </w:rPr>
        <w:t>las ferias domiciliarias</w:t>
      </w:r>
      <w:r w:rsidR="0027039F" w:rsidRPr="0027039F">
        <w:rPr>
          <w:rFonts w:ascii="Arial" w:hAnsi="Arial"/>
          <w:lang w:val="es-ES_tradnl"/>
        </w:rPr>
        <w:t>, seleccionando e incorporando a las tareas socio-educativo-laborales de la citada zona a 20 edu</w:t>
      </w:r>
      <w:r w:rsidR="00287A71">
        <w:rPr>
          <w:rFonts w:ascii="Arial" w:hAnsi="Arial"/>
          <w:lang w:val="es-ES_tradnl"/>
        </w:rPr>
        <w:t>candos</w:t>
      </w:r>
      <w:r w:rsidR="005A3A0B">
        <w:rPr>
          <w:rFonts w:ascii="Arial" w:hAnsi="Arial"/>
          <w:lang w:val="es-ES_tradnl"/>
        </w:rPr>
        <w:t xml:space="preserve"> </w:t>
      </w:r>
      <w:r w:rsidR="00287A71">
        <w:rPr>
          <w:rFonts w:ascii="Arial" w:hAnsi="Arial"/>
          <w:lang w:val="es-ES_tradnl"/>
        </w:rPr>
        <w:t>(con una carga horaria de</w:t>
      </w:r>
      <w:r w:rsidR="005A3A0B">
        <w:rPr>
          <w:rFonts w:ascii="Arial" w:hAnsi="Arial"/>
          <w:lang w:val="es-ES_tradnl"/>
        </w:rPr>
        <w:t xml:space="preserve"> 6 horas de labor, de martes a domingo)</w:t>
      </w:r>
      <w:r w:rsidR="00287A71">
        <w:rPr>
          <w:rFonts w:ascii="Arial" w:hAnsi="Arial"/>
          <w:lang w:val="es-ES_tradnl"/>
        </w:rPr>
        <w:t>, bajo la supervisión de 2</w:t>
      </w:r>
      <w:r w:rsidR="0027039F" w:rsidRPr="0027039F">
        <w:rPr>
          <w:rFonts w:ascii="Arial" w:hAnsi="Arial"/>
          <w:lang w:val="es-ES_tradnl"/>
        </w:rPr>
        <w:t xml:space="preserve"> coordinadores</w:t>
      </w:r>
      <w:r w:rsidR="005A3A0B">
        <w:rPr>
          <w:rFonts w:ascii="Arial" w:hAnsi="Arial"/>
          <w:lang w:val="es-ES_tradnl"/>
        </w:rPr>
        <w:t>;</w:t>
      </w:r>
      <w:r w:rsidR="00302000">
        <w:rPr>
          <w:rFonts w:ascii="Arial" w:hAnsi="Arial"/>
          <w:lang w:val="es-ES_tradnl"/>
        </w:rPr>
        <w:t xml:space="preserve"> organizar y supervisar las tareas a través de un Coordinador de Servicios, que será designado por la Institución y tendrá a su cargo la vigilancia del cumplimiento del proceso operativo, así como el cumplimiento de la propuesta pedagógica junto con el Equipo Técnico (formado por 2 Educadores de la Institución</w:t>
      </w:r>
      <w:r>
        <w:rPr>
          <w:rFonts w:ascii="Arial" w:hAnsi="Arial"/>
          <w:lang w:val="es-ES_tradnl"/>
        </w:rPr>
        <w:t>)</w:t>
      </w:r>
      <w:r w:rsidR="00302000">
        <w:rPr>
          <w:rFonts w:ascii="Arial" w:hAnsi="Arial"/>
          <w:lang w:val="es-ES_tradnl"/>
        </w:rPr>
        <w:t>; asimismo deberá llevar registros contables y presentar rendiciones de cuentas respecto de</w:t>
      </w:r>
      <w:r>
        <w:rPr>
          <w:rFonts w:ascii="Arial" w:hAnsi="Arial"/>
          <w:lang w:val="es-ES_tradnl"/>
        </w:rPr>
        <w:t xml:space="preserve"> la partida anterior percibida;</w:t>
      </w:r>
    </w:p>
    <w:p w:rsidR="00BD4413" w:rsidRDefault="00272871" w:rsidP="0027039F">
      <w:pPr>
        <w:spacing w:line="360" w:lineRule="auto"/>
        <w:jc w:val="both"/>
        <w:rPr>
          <w:rFonts w:ascii="Arial" w:hAnsi="Arial"/>
          <w:lang w:val="es-ES_tradnl"/>
        </w:rPr>
      </w:pPr>
      <w:r w:rsidRPr="00272871">
        <w:rPr>
          <w:rFonts w:ascii="Arial" w:hAnsi="Arial"/>
          <w:b/>
          <w:lang w:val="es-ES_tradnl"/>
        </w:rPr>
        <w:t>1.3)</w:t>
      </w:r>
      <w:r>
        <w:rPr>
          <w:rFonts w:ascii="Arial" w:hAnsi="Arial"/>
          <w:b/>
          <w:lang w:val="es-ES_tradnl"/>
        </w:rPr>
        <w:t xml:space="preserve"> </w:t>
      </w:r>
      <w:r>
        <w:rPr>
          <w:rFonts w:ascii="Arial" w:hAnsi="Arial"/>
          <w:lang w:val="es-ES_tradnl"/>
        </w:rPr>
        <w:t>que el artículo cuarto establece que el plazo de la contratación será desde el 9 de Enero del 2016 y por el término de 6 meses, pudiendo ser renovado por única vez por un plazo equivalente si la División Limpieza lo considera conveniente</w:t>
      </w:r>
      <w:r w:rsidR="00BD4413">
        <w:rPr>
          <w:rFonts w:ascii="Arial" w:hAnsi="Arial"/>
          <w:lang w:val="es-ES_tradnl"/>
        </w:rPr>
        <w:t>;</w:t>
      </w:r>
    </w:p>
    <w:p w:rsidR="00434DF7" w:rsidRDefault="00BD4413" w:rsidP="00316AB4">
      <w:pPr>
        <w:tabs>
          <w:tab w:val="left" w:pos="2127"/>
        </w:tabs>
        <w:spacing w:line="360" w:lineRule="auto"/>
        <w:ind w:firstLine="2552"/>
        <w:jc w:val="both"/>
        <w:rPr>
          <w:rFonts w:ascii="Arial" w:hAnsi="Arial"/>
          <w:lang w:val="es-ES_tradnl"/>
        </w:rPr>
      </w:pPr>
      <w:r>
        <w:rPr>
          <w:rFonts w:ascii="Arial" w:hAnsi="Arial"/>
          <w:b/>
          <w:lang w:val="es-ES_tradnl"/>
        </w:rPr>
        <w:t xml:space="preserve">2) </w:t>
      </w:r>
      <w:r w:rsidR="009267F0">
        <w:rPr>
          <w:rFonts w:ascii="Arial" w:hAnsi="Arial"/>
          <w:lang w:val="es-ES_tradnl"/>
        </w:rPr>
        <w:t xml:space="preserve">que habiéndose imputado preventivamente la erogación resultante de la contratación, con fecha </w:t>
      </w:r>
      <w:r>
        <w:rPr>
          <w:rFonts w:ascii="Arial" w:hAnsi="Arial"/>
          <w:lang w:val="es-ES_tradnl"/>
        </w:rPr>
        <w:t>0</w:t>
      </w:r>
      <w:r w:rsidR="009267F0">
        <w:rPr>
          <w:rFonts w:ascii="Arial" w:hAnsi="Arial"/>
          <w:lang w:val="es-ES_tradnl"/>
        </w:rPr>
        <w:t>3</w:t>
      </w:r>
      <w:r>
        <w:rPr>
          <w:rFonts w:ascii="Arial" w:hAnsi="Arial"/>
          <w:lang w:val="es-ES_tradnl"/>
        </w:rPr>
        <w:t>.</w:t>
      </w:r>
      <w:r w:rsidR="009267F0">
        <w:rPr>
          <w:rFonts w:ascii="Arial" w:hAnsi="Arial"/>
          <w:lang w:val="es-ES_tradnl"/>
        </w:rPr>
        <w:t>05</w:t>
      </w:r>
      <w:r>
        <w:rPr>
          <w:rFonts w:ascii="Arial" w:hAnsi="Arial"/>
          <w:lang w:val="es-ES_tradnl"/>
        </w:rPr>
        <w:t>.</w:t>
      </w:r>
      <w:r w:rsidR="00434DF7">
        <w:rPr>
          <w:rFonts w:ascii="Arial" w:hAnsi="Arial"/>
          <w:lang w:val="es-ES_tradnl"/>
        </w:rPr>
        <w:t>16 la Contadora Delegada observó</w:t>
      </w:r>
      <w:r w:rsidR="009267F0">
        <w:rPr>
          <w:rFonts w:ascii="Arial" w:hAnsi="Arial"/>
          <w:lang w:val="es-ES_tradnl"/>
        </w:rPr>
        <w:t xml:space="preserve"> el gasto por contravención de los Art</w:t>
      </w:r>
      <w:r w:rsidR="00316AB4">
        <w:rPr>
          <w:rFonts w:ascii="Arial" w:hAnsi="Arial"/>
          <w:lang w:val="es-ES_tradnl"/>
        </w:rPr>
        <w:t>ículo</w:t>
      </w:r>
      <w:r w:rsidR="009267F0">
        <w:rPr>
          <w:rFonts w:ascii="Arial" w:hAnsi="Arial"/>
          <w:lang w:val="es-ES_tradnl"/>
        </w:rPr>
        <w:t xml:space="preserve"> 211 Inc</w:t>
      </w:r>
      <w:r w:rsidR="00316AB4">
        <w:rPr>
          <w:rFonts w:ascii="Arial" w:hAnsi="Arial"/>
          <w:lang w:val="es-ES_tradnl"/>
        </w:rPr>
        <w:t>iso</w:t>
      </w:r>
      <w:r w:rsidR="009267F0">
        <w:rPr>
          <w:rFonts w:ascii="Arial" w:hAnsi="Arial"/>
          <w:lang w:val="es-ES_tradnl"/>
        </w:rPr>
        <w:t xml:space="preserve"> B</w:t>
      </w:r>
      <w:r w:rsidR="00316AB4">
        <w:rPr>
          <w:rFonts w:ascii="Arial" w:hAnsi="Arial"/>
          <w:lang w:val="es-ES_tradnl"/>
        </w:rPr>
        <w:t>)</w:t>
      </w:r>
      <w:r w:rsidR="009267F0">
        <w:rPr>
          <w:rFonts w:ascii="Arial" w:hAnsi="Arial"/>
          <w:lang w:val="es-ES_tradnl"/>
        </w:rPr>
        <w:t xml:space="preserve"> de la Constitución de la República, ya que las actuaciones contaban con principio de contratació</w:t>
      </w:r>
      <w:r w:rsidR="00B835E0">
        <w:rPr>
          <w:rFonts w:ascii="Arial" w:hAnsi="Arial"/>
          <w:lang w:val="es-ES_tradnl"/>
        </w:rPr>
        <w:t>n, y del Art</w:t>
      </w:r>
      <w:r w:rsidR="00316AB4">
        <w:rPr>
          <w:rFonts w:ascii="Arial" w:hAnsi="Arial"/>
          <w:lang w:val="es-ES_tradnl"/>
        </w:rPr>
        <w:t>ículo</w:t>
      </w:r>
      <w:r w:rsidR="00B835E0">
        <w:rPr>
          <w:rFonts w:ascii="Arial" w:hAnsi="Arial"/>
          <w:lang w:val="es-ES_tradnl"/>
        </w:rPr>
        <w:t xml:space="preserve"> 33 T.O.C.A.F., al no realizarse la convocatoria a un proce</w:t>
      </w:r>
      <w:r w:rsidR="00434DF7">
        <w:rPr>
          <w:rFonts w:ascii="Arial" w:hAnsi="Arial"/>
          <w:lang w:val="es-ES_tradnl"/>
        </w:rPr>
        <w:t>dimiento de índole competitiva;</w:t>
      </w:r>
    </w:p>
    <w:p w:rsidR="00316AB4" w:rsidRDefault="00434DF7" w:rsidP="00316AB4">
      <w:pPr>
        <w:tabs>
          <w:tab w:val="left" w:pos="2127"/>
        </w:tabs>
        <w:spacing w:line="360" w:lineRule="auto"/>
        <w:ind w:firstLine="2552"/>
        <w:jc w:val="both"/>
        <w:rPr>
          <w:rFonts w:ascii="Arial" w:hAnsi="Arial"/>
          <w:spacing w:val="-3"/>
          <w:lang w:val="es-ES_tradnl"/>
        </w:rPr>
      </w:pPr>
      <w:r w:rsidRPr="00434DF7">
        <w:rPr>
          <w:rFonts w:ascii="Arial" w:hAnsi="Arial"/>
          <w:b/>
          <w:lang w:val="es-ES_tradnl"/>
        </w:rPr>
        <w:t>3)</w:t>
      </w:r>
      <w:r>
        <w:rPr>
          <w:rFonts w:ascii="Arial" w:hAnsi="Arial"/>
          <w:lang w:val="es-ES_tradnl"/>
        </w:rPr>
        <w:t xml:space="preserve"> que la administración actuante </w:t>
      </w:r>
      <w:r w:rsidR="002C4524">
        <w:rPr>
          <w:rFonts w:ascii="Arial" w:hAnsi="Arial"/>
        </w:rPr>
        <w:t>reiteró el gasto a favor de</w:t>
      </w:r>
      <w:r w:rsidR="002C4524" w:rsidRPr="002C4524">
        <w:rPr>
          <w:rFonts w:ascii="Arial" w:hAnsi="Arial"/>
          <w:spacing w:val="-3"/>
          <w:lang w:val="es-ES_tradnl"/>
        </w:rPr>
        <w:t xml:space="preserve"> </w:t>
      </w:r>
      <w:r w:rsidR="002C4524" w:rsidRPr="00196015">
        <w:rPr>
          <w:rFonts w:ascii="Arial" w:hAnsi="Arial"/>
          <w:spacing w:val="-3"/>
          <w:lang w:val="es-ES_tradnl"/>
        </w:rPr>
        <w:t xml:space="preserve">la </w:t>
      </w:r>
      <w:r w:rsidR="00316AB4">
        <w:rPr>
          <w:rFonts w:ascii="Arial" w:hAnsi="Arial"/>
          <w:spacing w:val="-3"/>
          <w:lang w:val="es-ES_tradnl"/>
        </w:rPr>
        <w:t xml:space="preserve">  </w:t>
      </w:r>
      <w:r w:rsidR="002C4524" w:rsidRPr="00196015">
        <w:rPr>
          <w:rFonts w:ascii="Arial" w:hAnsi="Arial"/>
          <w:spacing w:val="-3"/>
          <w:lang w:val="es-ES_tradnl"/>
        </w:rPr>
        <w:t xml:space="preserve">Sociedad </w:t>
      </w:r>
      <w:r w:rsidR="00316AB4">
        <w:rPr>
          <w:rFonts w:ascii="Arial" w:hAnsi="Arial"/>
          <w:spacing w:val="-3"/>
          <w:lang w:val="es-ES_tradnl"/>
        </w:rPr>
        <w:t xml:space="preserve">  </w:t>
      </w:r>
      <w:r w:rsidR="002C4524" w:rsidRPr="00196015">
        <w:rPr>
          <w:rFonts w:ascii="Arial" w:hAnsi="Arial"/>
          <w:spacing w:val="-3"/>
          <w:lang w:val="es-ES_tradnl"/>
        </w:rPr>
        <w:t xml:space="preserve">de </w:t>
      </w:r>
      <w:r w:rsidR="00316AB4">
        <w:rPr>
          <w:rFonts w:ascii="Arial" w:hAnsi="Arial"/>
          <w:spacing w:val="-3"/>
          <w:lang w:val="es-ES_tradnl"/>
        </w:rPr>
        <w:t xml:space="preserve">  </w:t>
      </w:r>
      <w:r w:rsidR="002C4524" w:rsidRPr="00196015">
        <w:rPr>
          <w:rFonts w:ascii="Arial" w:hAnsi="Arial"/>
          <w:spacing w:val="-3"/>
          <w:lang w:val="es-ES_tradnl"/>
        </w:rPr>
        <w:t xml:space="preserve">San </w:t>
      </w:r>
      <w:r w:rsidR="00316AB4">
        <w:rPr>
          <w:rFonts w:ascii="Arial" w:hAnsi="Arial"/>
          <w:spacing w:val="-3"/>
          <w:lang w:val="es-ES_tradnl"/>
        </w:rPr>
        <w:t xml:space="preserve"> </w:t>
      </w:r>
      <w:r w:rsidR="002C4524" w:rsidRPr="00196015">
        <w:rPr>
          <w:rFonts w:ascii="Arial" w:hAnsi="Arial"/>
          <w:spacing w:val="-3"/>
          <w:lang w:val="es-ES_tradnl"/>
        </w:rPr>
        <w:t xml:space="preserve">Francisco </w:t>
      </w:r>
      <w:r w:rsidR="00316AB4">
        <w:rPr>
          <w:rFonts w:ascii="Arial" w:hAnsi="Arial"/>
          <w:spacing w:val="-3"/>
          <w:lang w:val="es-ES_tradnl"/>
        </w:rPr>
        <w:t xml:space="preserve"> </w:t>
      </w:r>
      <w:r w:rsidR="002C4524" w:rsidRPr="00196015">
        <w:rPr>
          <w:rFonts w:ascii="Arial" w:hAnsi="Arial"/>
          <w:spacing w:val="-3"/>
          <w:lang w:val="es-ES_tradnl"/>
        </w:rPr>
        <w:t>de Sales-Padres Salesianos</w:t>
      </w:r>
      <w:r>
        <w:rPr>
          <w:rFonts w:ascii="Arial" w:hAnsi="Arial"/>
          <w:spacing w:val="-3"/>
          <w:lang w:val="es-ES_tradnl"/>
        </w:rPr>
        <w:t xml:space="preserve"> mediante Resolución </w:t>
      </w:r>
    </w:p>
    <w:p w:rsidR="002C4524" w:rsidRDefault="00434DF7" w:rsidP="00316AB4">
      <w:pPr>
        <w:tabs>
          <w:tab w:val="left" w:pos="2127"/>
        </w:tabs>
        <w:spacing w:line="360" w:lineRule="auto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>Nº 2035/16</w:t>
      </w:r>
      <w:r w:rsidR="008B656D">
        <w:rPr>
          <w:rFonts w:ascii="Arial" w:hAnsi="Arial"/>
          <w:spacing w:val="-3"/>
          <w:lang w:val="es-ES_tradnl"/>
        </w:rPr>
        <w:t xml:space="preserve"> del 09.05.16</w:t>
      </w:r>
      <w:r>
        <w:rPr>
          <w:rFonts w:ascii="Arial" w:hAnsi="Arial"/>
          <w:spacing w:val="-3"/>
          <w:lang w:val="es-ES_tradnl"/>
        </w:rPr>
        <w:t>, fundándose en</w:t>
      </w:r>
      <w:r w:rsidR="002C4524">
        <w:rPr>
          <w:rFonts w:ascii="Arial" w:hAnsi="Arial"/>
          <w:spacing w:val="-3"/>
          <w:lang w:val="es-ES_tradnl"/>
        </w:rPr>
        <w:t xml:space="preserve"> que</w:t>
      </w:r>
      <w:r>
        <w:rPr>
          <w:rFonts w:ascii="Arial" w:hAnsi="Arial"/>
          <w:spacing w:val="-3"/>
          <w:lang w:val="es-ES_tradnl"/>
        </w:rPr>
        <w:t xml:space="preserve"> </w:t>
      </w:r>
      <w:r w:rsidR="002C4524">
        <w:rPr>
          <w:rFonts w:ascii="Arial" w:hAnsi="Arial"/>
          <w:spacing w:val="-3"/>
          <w:lang w:val="es-ES_tradnl"/>
        </w:rPr>
        <w:t xml:space="preserve"> la actuación de la Administración se ajusta</w:t>
      </w:r>
      <w:r>
        <w:rPr>
          <w:rFonts w:ascii="Arial" w:hAnsi="Arial"/>
          <w:spacing w:val="-3"/>
          <w:lang w:val="es-ES_tradnl"/>
        </w:rPr>
        <w:t>ría</w:t>
      </w:r>
      <w:r w:rsidR="002C4524">
        <w:rPr>
          <w:rFonts w:ascii="Arial" w:hAnsi="Arial"/>
          <w:spacing w:val="-3"/>
          <w:lang w:val="es-ES_tradnl"/>
        </w:rPr>
        <w:t xml:space="preserve"> a las previsiones del Art. 149 del Decr</w:t>
      </w:r>
      <w:r>
        <w:rPr>
          <w:rFonts w:ascii="Arial" w:hAnsi="Arial"/>
          <w:spacing w:val="-3"/>
          <w:lang w:val="es-ES_tradnl"/>
        </w:rPr>
        <w:t>eto</w:t>
      </w:r>
      <w:r w:rsidR="002C4524">
        <w:rPr>
          <w:rFonts w:ascii="Arial" w:hAnsi="Arial"/>
          <w:spacing w:val="-3"/>
          <w:lang w:val="es-ES_tradnl"/>
        </w:rPr>
        <w:t xml:space="preserve"> 26.949 de fecha 14/12/995, que faculta a la Intendencia de Montevideo a celebrar convenios o contrataciones con Asociaciones, Instituciones Sociales u otras Organizaciones No Gubernamentales sin fines de lucro, a través de regímenes y procedimientos especiales cuando las características del mercado o de los bienes o servicios que se requieran lo hagan conv</w:t>
      </w:r>
      <w:r>
        <w:rPr>
          <w:rFonts w:ascii="Arial" w:hAnsi="Arial"/>
          <w:spacing w:val="-3"/>
          <w:lang w:val="es-ES_tradnl"/>
        </w:rPr>
        <w:t>eniente para la Administración. Este Tribunal por su parte, en Sesión de fecha 07.09.16, mantuvo las observaciones formuladas;</w:t>
      </w:r>
    </w:p>
    <w:p w:rsidR="00434DF7" w:rsidRDefault="00434DF7" w:rsidP="00316AB4">
      <w:pPr>
        <w:tabs>
          <w:tab w:val="left" w:pos="2127"/>
        </w:tabs>
        <w:spacing w:line="360" w:lineRule="auto"/>
        <w:ind w:firstLine="2552"/>
        <w:jc w:val="both"/>
        <w:rPr>
          <w:rFonts w:ascii="Arial" w:hAnsi="Arial"/>
          <w:spacing w:val="-3"/>
          <w:lang w:val="es-ES_tradnl"/>
        </w:rPr>
      </w:pPr>
      <w:r w:rsidRPr="00434DF7">
        <w:rPr>
          <w:rFonts w:ascii="Arial" w:hAnsi="Arial"/>
          <w:b/>
          <w:spacing w:val="-3"/>
          <w:lang w:val="es-ES_tradnl"/>
        </w:rPr>
        <w:lastRenderedPageBreak/>
        <w:t>4)</w:t>
      </w:r>
      <w:r>
        <w:rPr>
          <w:rFonts w:ascii="Arial" w:hAnsi="Arial"/>
          <w:b/>
          <w:spacing w:val="-3"/>
          <w:lang w:val="es-ES_tradnl"/>
        </w:rPr>
        <w:t xml:space="preserve"> </w:t>
      </w:r>
      <w:r w:rsidR="008B656D">
        <w:rPr>
          <w:rFonts w:ascii="Arial" w:hAnsi="Arial"/>
          <w:spacing w:val="-3"/>
          <w:lang w:val="es-ES_tradnl"/>
        </w:rPr>
        <w:t>que el Intendente, mediante Resolución Nº 3350/16 de fecha 14.07.16, dispuso convalidar la prórroga de la contratación por el plazo de 3 meses</w:t>
      </w:r>
      <w:r w:rsidR="00BE3808">
        <w:rPr>
          <w:rFonts w:ascii="Arial" w:hAnsi="Arial"/>
          <w:spacing w:val="-3"/>
          <w:lang w:val="es-ES_tradnl"/>
        </w:rPr>
        <w:t xml:space="preserve"> y el Contador Delegado en actuación de fecha 29.09.16 observó el gasto por idénticas razones por las que fuera observada la contratación original (Resultando 2);</w:t>
      </w:r>
    </w:p>
    <w:p w:rsidR="00BE3808" w:rsidRDefault="00BE3808" w:rsidP="00316AB4">
      <w:pPr>
        <w:tabs>
          <w:tab w:val="left" w:pos="2127"/>
        </w:tabs>
        <w:spacing w:line="360" w:lineRule="auto"/>
        <w:ind w:firstLine="2552"/>
        <w:jc w:val="both"/>
        <w:rPr>
          <w:rFonts w:ascii="Arial" w:hAnsi="Arial"/>
          <w:spacing w:val="-3"/>
          <w:lang w:val="es-ES_tradnl"/>
        </w:rPr>
      </w:pPr>
      <w:r w:rsidRPr="00BE3808">
        <w:rPr>
          <w:rFonts w:ascii="Arial" w:hAnsi="Arial"/>
          <w:b/>
          <w:spacing w:val="-3"/>
          <w:lang w:val="es-ES_tradnl"/>
        </w:rPr>
        <w:t>5)</w:t>
      </w:r>
      <w:r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que el gasto emergente de la prórroga dispuesta por Resolución Nº 3350/16 fue reiterado por Resolución Nº 4536/16 de fecha 07.10.16, </w:t>
      </w:r>
      <w:r w:rsidR="00404AD1">
        <w:rPr>
          <w:rFonts w:ascii="Arial" w:hAnsi="Arial"/>
          <w:spacing w:val="-3"/>
          <w:lang w:val="es-ES_tradnl"/>
        </w:rPr>
        <w:t>y las observaciones fueron mantenidas por este Tribunal, en Sesión de fecha 14.12.16</w:t>
      </w:r>
      <w:r>
        <w:rPr>
          <w:rFonts w:ascii="Arial" w:hAnsi="Arial"/>
          <w:spacing w:val="-3"/>
          <w:lang w:val="es-ES_tradnl"/>
        </w:rPr>
        <w:t>;</w:t>
      </w:r>
    </w:p>
    <w:p w:rsidR="00BE3808" w:rsidRDefault="00BE3808" w:rsidP="00316AB4">
      <w:pPr>
        <w:tabs>
          <w:tab w:val="left" w:pos="2127"/>
        </w:tabs>
        <w:spacing w:line="360" w:lineRule="auto"/>
        <w:ind w:firstLine="2552"/>
        <w:jc w:val="both"/>
        <w:rPr>
          <w:rFonts w:ascii="Arial" w:hAnsi="Arial"/>
          <w:spacing w:val="-3"/>
          <w:lang w:val="es-ES_tradnl"/>
        </w:rPr>
      </w:pPr>
      <w:r w:rsidRPr="00BE3808">
        <w:rPr>
          <w:rFonts w:ascii="Arial" w:hAnsi="Arial"/>
          <w:b/>
          <w:spacing w:val="-3"/>
          <w:lang w:val="es-ES_tradnl"/>
        </w:rPr>
        <w:t>6)</w:t>
      </w:r>
      <w:r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que por Resolución Nº 5086/16 de fecha 07.11.16, el Intendente </w:t>
      </w:r>
      <w:r w:rsidR="00316AB4">
        <w:rPr>
          <w:rFonts w:ascii="Arial" w:hAnsi="Arial"/>
          <w:spacing w:val="-3"/>
          <w:lang w:val="es-ES_tradnl"/>
        </w:rPr>
        <w:t xml:space="preserve">  </w:t>
      </w:r>
      <w:r>
        <w:rPr>
          <w:rFonts w:ascii="Arial" w:hAnsi="Arial"/>
          <w:spacing w:val="-3"/>
          <w:lang w:val="es-ES_tradnl"/>
        </w:rPr>
        <w:t xml:space="preserve">dispuso </w:t>
      </w:r>
      <w:r w:rsidR="00316AB4">
        <w:rPr>
          <w:rFonts w:ascii="Arial" w:hAnsi="Arial"/>
          <w:spacing w:val="-3"/>
          <w:lang w:val="es-ES_tradnl"/>
        </w:rPr>
        <w:t xml:space="preserve">  </w:t>
      </w:r>
      <w:r>
        <w:rPr>
          <w:rFonts w:ascii="Arial" w:hAnsi="Arial"/>
          <w:spacing w:val="-3"/>
          <w:lang w:val="es-ES_tradnl"/>
        </w:rPr>
        <w:t xml:space="preserve">una </w:t>
      </w:r>
      <w:r w:rsidR="00316AB4">
        <w:rPr>
          <w:rFonts w:ascii="Arial" w:hAnsi="Arial"/>
          <w:spacing w:val="-3"/>
          <w:lang w:val="es-ES_tradnl"/>
        </w:rPr>
        <w:t xml:space="preserve">  </w:t>
      </w:r>
      <w:r>
        <w:rPr>
          <w:rFonts w:ascii="Arial" w:hAnsi="Arial"/>
          <w:spacing w:val="-3"/>
          <w:lang w:val="es-ES_tradnl"/>
        </w:rPr>
        <w:t>nueva</w:t>
      </w:r>
      <w:r w:rsidR="00316AB4">
        <w:rPr>
          <w:rFonts w:ascii="Arial" w:hAnsi="Arial"/>
          <w:spacing w:val="-3"/>
          <w:lang w:val="es-ES_tradnl"/>
        </w:rPr>
        <w:t xml:space="preserve">  </w:t>
      </w:r>
      <w:r>
        <w:rPr>
          <w:rFonts w:ascii="Arial" w:hAnsi="Arial"/>
          <w:spacing w:val="-3"/>
          <w:lang w:val="es-ES_tradnl"/>
        </w:rPr>
        <w:t xml:space="preserve"> prórroga </w:t>
      </w:r>
      <w:r w:rsidR="00316AB4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de la contratación por un nuevo plazo de </w:t>
      </w:r>
    </w:p>
    <w:p w:rsidR="00316AB4" w:rsidRDefault="00BE3808" w:rsidP="00434DF7">
      <w:pPr>
        <w:tabs>
          <w:tab w:val="left" w:pos="2127"/>
        </w:tabs>
        <w:spacing w:line="360" w:lineRule="auto"/>
        <w:jc w:val="both"/>
        <w:rPr>
          <w:rFonts w:ascii="Arial" w:hAnsi="Arial"/>
          <w:spacing w:val="-3"/>
          <w:lang w:val="es-ES_tradnl"/>
        </w:rPr>
      </w:pPr>
      <w:proofErr w:type="gramStart"/>
      <w:r>
        <w:rPr>
          <w:rFonts w:ascii="Arial" w:hAnsi="Arial"/>
          <w:spacing w:val="-3"/>
          <w:lang w:val="es-ES_tradnl"/>
        </w:rPr>
        <w:t>tres</w:t>
      </w:r>
      <w:proofErr w:type="gramEnd"/>
      <w:r>
        <w:rPr>
          <w:rFonts w:ascii="Arial" w:hAnsi="Arial"/>
          <w:spacing w:val="-3"/>
          <w:lang w:val="es-ES_tradnl"/>
        </w:rPr>
        <w:t xml:space="preserve"> meses a partir del 09 de </w:t>
      </w:r>
      <w:r w:rsidR="00C73675">
        <w:rPr>
          <w:rFonts w:ascii="Arial" w:hAnsi="Arial"/>
          <w:spacing w:val="-3"/>
          <w:lang w:val="es-ES_tradnl"/>
        </w:rPr>
        <w:t xml:space="preserve">Octubre </w:t>
      </w:r>
      <w:r>
        <w:rPr>
          <w:rFonts w:ascii="Arial" w:hAnsi="Arial"/>
          <w:spacing w:val="-3"/>
          <w:lang w:val="es-ES_tradnl"/>
        </w:rPr>
        <w:t xml:space="preserve">de 2016, gasto que fue observado por la Contadora </w:t>
      </w:r>
      <w:r w:rsidR="00316AB4">
        <w:rPr>
          <w:rFonts w:ascii="Arial" w:hAnsi="Arial"/>
          <w:spacing w:val="-3"/>
          <w:lang w:val="es-ES_tradnl"/>
        </w:rPr>
        <w:t xml:space="preserve">  </w:t>
      </w:r>
      <w:r>
        <w:rPr>
          <w:rFonts w:ascii="Arial" w:hAnsi="Arial"/>
          <w:spacing w:val="-3"/>
          <w:lang w:val="es-ES_tradnl"/>
        </w:rPr>
        <w:t xml:space="preserve">Delegada </w:t>
      </w:r>
      <w:r w:rsidR="00316AB4">
        <w:rPr>
          <w:rFonts w:ascii="Arial" w:hAnsi="Arial"/>
          <w:spacing w:val="-3"/>
          <w:lang w:val="es-ES_tradnl"/>
        </w:rPr>
        <w:t xml:space="preserve">  </w:t>
      </w:r>
      <w:r>
        <w:rPr>
          <w:rFonts w:ascii="Arial" w:hAnsi="Arial"/>
          <w:spacing w:val="-3"/>
          <w:lang w:val="es-ES_tradnl"/>
        </w:rPr>
        <w:t xml:space="preserve">en </w:t>
      </w:r>
      <w:r w:rsidR="00316AB4">
        <w:rPr>
          <w:rFonts w:ascii="Arial" w:hAnsi="Arial"/>
          <w:spacing w:val="-3"/>
          <w:lang w:val="es-ES_tradnl"/>
        </w:rPr>
        <w:t xml:space="preserve">  </w:t>
      </w:r>
      <w:r>
        <w:rPr>
          <w:rFonts w:ascii="Arial" w:hAnsi="Arial"/>
          <w:spacing w:val="-3"/>
          <w:lang w:val="es-ES_tradnl"/>
        </w:rPr>
        <w:t>actuación</w:t>
      </w:r>
      <w:r w:rsidR="00316AB4">
        <w:rPr>
          <w:rFonts w:ascii="Arial" w:hAnsi="Arial"/>
          <w:spacing w:val="-3"/>
          <w:lang w:val="es-ES_tradnl"/>
        </w:rPr>
        <w:t xml:space="preserve">  </w:t>
      </w:r>
      <w:r>
        <w:rPr>
          <w:rFonts w:ascii="Arial" w:hAnsi="Arial"/>
          <w:spacing w:val="-3"/>
          <w:lang w:val="es-ES_tradnl"/>
        </w:rPr>
        <w:t xml:space="preserve"> de</w:t>
      </w:r>
      <w:r w:rsidR="00316AB4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 fecha 23.11.16, </w:t>
      </w:r>
      <w:r w:rsidR="00C73675">
        <w:rPr>
          <w:rFonts w:ascii="Arial" w:hAnsi="Arial"/>
          <w:spacing w:val="-3"/>
          <w:lang w:val="es-ES_tradnl"/>
        </w:rPr>
        <w:t xml:space="preserve">y </w:t>
      </w:r>
      <w:r>
        <w:rPr>
          <w:rFonts w:ascii="Arial" w:hAnsi="Arial"/>
          <w:spacing w:val="-3"/>
          <w:lang w:val="es-ES_tradnl"/>
        </w:rPr>
        <w:t xml:space="preserve">reiterado por Resolución </w:t>
      </w:r>
    </w:p>
    <w:p w:rsidR="00BE3808" w:rsidRDefault="00C73675" w:rsidP="00434DF7">
      <w:pPr>
        <w:tabs>
          <w:tab w:val="left" w:pos="2127"/>
        </w:tabs>
        <w:spacing w:line="360" w:lineRule="auto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 xml:space="preserve">Nº 5615/16 de fecha 05.12.16; </w:t>
      </w:r>
    </w:p>
    <w:p w:rsidR="00C73675" w:rsidRDefault="00C73675" w:rsidP="00316AB4">
      <w:pPr>
        <w:tabs>
          <w:tab w:val="left" w:pos="2127"/>
        </w:tabs>
        <w:spacing w:line="360" w:lineRule="auto"/>
        <w:ind w:firstLine="2552"/>
        <w:jc w:val="both"/>
        <w:rPr>
          <w:rFonts w:ascii="Arial" w:hAnsi="Arial"/>
          <w:spacing w:val="-3"/>
          <w:lang w:val="es-ES_tradnl"/>
        </w:rPr>
      </w:pPr>
      <w:r w:rsidRPr="00C73675">
        <w:rPr>
          <w:rFonts w:ascii="Arial" w:hAnsi="Arial"/>
          <w:b/>
          <w:spacing w:val="-3"/>
          <w:lang w:val="es-ES_tradnl"/>
        </w:rPr>
        <w:t>7)</w:t>
      </w:r>
      <w:r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que por Resolución Nº 744/17 de fecha 13.02.17</w:t>
      </w:r>
      <w:r w:rsidR="004C5006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el Intendente aprobó una nueva prórroga de tres meses, a partir del 09.01.17, por lo cual la misma abarcaría desde dicha fecha hasta el 09.04.17;</w:t>
      </w:r>
    </w:p>
    <w:p w:rsidR="00C73675" w:rsidRPr="00C73675" w:rsidRDefault="00C73675" w:rsidP="00316AB4">
      <w:pPr>
        <w:tabs>
          <w:tab w:val="left" w:pos="2127"/>
        </w:tabs>
        <w:spacing w:line="360" w:lineRule="auto"/>
        <w:ind w:firstLine="2552"/>
        <w:jc w:val="both"/>
        <w:rPr>
          <w:rFonts w:ascii="Arial" w:hAnsi="Arial"/>
        </w:rPr>
      </w:pPr>
      <w:r w:rsidRPr="00C73675">
        <w:rPr>
          <w:rFonts w:ascii="Arial" w:hAnsi="Arial"/>
          <w:b/>
          <w:spacing w:val="-3"/>
          <w:lang w:val="es-ES_tradnl"/>
        </w:rPr>
        <w:t>8)</w:t>
      </w:r>
      <w:r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que en actuación </w:t>
      </w:r>
      <w:r w:rsidR="00BD449D">
        <w:rPr>
          <w:rFonts w:ascii="Arial" w:hAnsi="Arial"/>
          <w:spacing w:val="-3"/>
          <w:lang w:val="es-ES_tradnl"/>
        </w:rPr>
        <w:t xml:space="preserve">63 </w:t>
      </w:r>
      <w:r>
        <w:rPr>
          <w:rFonts w:ascii="Arial" w:hAnsi="Arial"/>
          <w:spacing w:val="-3"/>
          <w:lang w:val="es-ES_tradnl"/>
        </w:rPr>
        <w:t>de fecha 19.04.17 se señala que se dará trámite a una nueva prórroga por el plazo de tres meses, por un monto de $3.050.535 según luce en la actuación señalada y en imputación de fecha 26.06.17, manifestando que existe carta de aceptación de la ONG;</w:t>
      </w:r>
    </w:p>
    <w:p w:rsidR="00C73675" w:rsidRDefault="00687527" w:rsidP="00316AB4">
      <w:pPr>
        <w:spacing w:line="360" w:lineRule="auto"/>
        <w:ind w:firstLine="709"/>
        <w:jc w:val="both"/>
        <w:rPr>
          <w:rFonts w:ascii="Arial" w:hAnsi="Arial"/>
          <w:lang w:val="es-MX"/>
        </w:rPr>
      </w:pPr>
      <w:r w:rsidRPr="00196015">
        <w:rPr>
          <w:rFonts w:ascii="Arial" w:hAnsi="Arial"/>
          <w:b/>
          <w:bCs/>
          <w:szCs w:val="20"/>
        </w:rPr>
        <w:t>CONSIDERANDO</w:t>
      </w:r>
      <w:r w:rsidRPr="00196015">
        <w:rPr>
          <w:rFonts w:ascii="Arial" w:hAnsi="Arial"/>
          <w:szCs w:val="20"/>
        </w:rPr>
        <w:t xml:space="preserve">: </w:t>
      </w:r>
      <w:r w:rsidRPr="00196015">
        <w:rPr>
          <w:rFonts w:ascii="Arial" w:hAnsi="Arial"/>
          <w:b/>
        </w:rPr>
        <w:t>1</w:t>
      </w:r>
      <w:r w:rsidRPr="002C4524">
        <w:rPr>
          <w:rFonts w:ascii="Arial" w:hAnsi="Arial"/>
          <w:b/>
        </w:rPr>
        <w:t>)</w:t>
      </w:r>
      <w:r w:rsidRPr="002C4524">
        <w:rPr>
          <w:rFonts w:ascii="Arial" w:hAnsi="Arial"/>
        </w:rPr>
        <w:t xml:space="preserve"> </w:t>
      </w:r>
      <w:r w:rsidR="00C73675">
        <w:rPr>
          <w:rFonts w:ascii="Arial" w:hAnsi="Arial"/>
          <w:lang w:val="es-MX"/>
        </w:rPr>
        <w:t xml:space="preserve">que </w:t>
      </w:r>
      <w:r w:rsidR="00203F85">
        <w:rPr>
          <w:rFonts w:ascii="Arial" w:hAnsi="Arial"/>
          <w:lang w:val="es-MX"/>
        </w:rPr>
        <w:t xml:space="preserve">no consta la intervención de este Tribunal respecto a la prórroga referida en el Resultando 7), y que la misma al igual que </w:t>
      </w:r>
      <w:r w:rsidR="00C73675">
        <w:rPr>
          <w:rFonts w:ascii="Arial" w:hAnsi="Arial"/>
          <w:lang w:val="es-MX"/>
        </w:rPr>
        <w:t>la presente prórroga</w:t>
      </w:r>
      <w:r w:rsidR="00203F85">
        <w:rPr>
          <w:rFonts w:ascii="Arial" w:hAnsi="Arial"/>
          <w:lang w:val="es-MX"/>
        </w:rPr>
        <w:t>,</w:t>
      </w:r>
      <w:r w:rsidR="00C73675">
        <w:rPr>
          <w:rFonts w:ascii="Arial" w:hAnsi="Arial"/>
          <w:lang w:val="es-MX"/>
        </w:rPr>
        <w:t xml:space="preserve"> resulta</w:t>
      </w:r>
      <w:r w:rsidR="00203F85">
        <w:rPr>
          <w:rFonts w:ascii="Arial" w:hAnsi="Arial"/>
          <w:lang w:val="es-MX"/>
        </w:rPr>
        <w:t>n</w:t>
      </w:r>
      <w:r w:rsidR="00C73675">
        <w:rPr>
          <w:rFonts w:ascii="Arial" w:hAnsi="Arial"/>
          <w:lang w:val="es-MX"/>
        </w:rPr>
        <w:t xml:space="preserve"> afectada</w:t>
      </w:r>
      <w:r w:rsidR="00203F85">
        <w:rPr>
          <w:rFonts w:ascii="Arial" w:hAnsi="Arial"/>
          <w:lang w:val="es-MX"/>
        </w:rPr>
        <w:t>s</w:t>
      </w:r>
      <w:r w:rsidR="00C73675">
        <w:rPr>
          <w:rFonts w:ascii="Arial" w:hAnsi="Arial"/>
          <w:lang w:val="es-MX"/>
        </w:rPr>
        <w:t xml:space="preserve"> por derivar de un procedimiento oportunamente observado por razones de carácter insubsanables (Resultando 2);</w:t>
      </w:r>
    </w:p>
    <w:p w:rsidR="00C73675" w:rsidRDefault="00C73675" w:rsidP="00316AB4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/>
          <w:lang w:val="es-MX"/>
        </w:rPr>
      </w:pPr>
      <w:r w:rsidRPr="00C73675">
        <w:rPr>
          <w:rFonts w:ascii="Arial" w:hAnsi="Arial"/>
          <w:b/>
          <w:lang w:val="es-MX"/>
        </w:rPr>
        <w:t>2)</w:t>
      </w:r>
      <w:r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lang w:val="es-MX"/>
        </w:rPr>
        <w:t xml:space="preserve">que de las actuaciones remitidas no surge que exista una Resolución del </w:t>
      </w:r>
      <w:r w:rsidR="00316AB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rdenador competente para comprometer el gasto que implica la nueva prórroga, en contravención a lo establecido por el artículo 14 del T.O.C.A.F;</w:t>
      </w:r>
    </w:p>
    <w:p w:rsidR="00C73675" w:rsidRPr="00540C4A" w:rsidRDefault="00C73675" w:rsidP="00316AB4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/>
          <w:lang w:val="es-MX"/>
        </w:rPr>
      </w:pPr>
      <w:r w:rsidRPr="00C73675">
        <w:rPr>
          <w:rFonts w:ascii="Arial" w:hAnsi="Arial"/>
          <w:b/>
          <w:lang w:val="es-MX"/>
        </w:rPr>
        <w:t>3)</w:t>
      </w:r>
      <w:r>
        <w:rPr>
          <w:rFonts w:ascii="Arial" w:hAnsi="Arial"/>
          <w:b/>
          <w:lang w:val="es-MX"/>
        </w:rPr>
        <w:t xml:space="preserve"> </w:t>
      </w:r>
      <w:r w:rsidR="00540C4A">
        <w:rPr>
          <w:rFonts w:ascii="Arial" w:hAnsi="Arial"/>
          <w:lang w:val="es-MX"/>
        </w:rPr>
        <w:t xml:space="preserve">que la </w:t>
      </w:r>
      <w:r w:rsidR="009D5518">
        <w:rPr>
          <w:rFonts w:ascii="Arial" w:hAnsi="Arial"/>
          <w:lang w:val="es-MX"/>
        </w:rPr>
        <w:t xml:space="preserve">presente </w:t>
      </w:r>
      <w:r w:rsidR="00540C4A">
        <w:rPr>
          <w:rFonts w:ascii="Arial" w:hAnsi="Arial"/>
          <w:lang w:val="es-MX"/>
        </w:rPr>
        <w:t>extensión de la contratación por tres meses</w:t>
      </w:r>
      <w:r w:rsidR="00A75F3A">
        <w:rPr>
          <w:rFonts w:ascii="Arial" w:hAnsi="Arial"/>
          <w:lang w:val="es-MX"/>
        </w:rPr>
        <w:t xml:space="preserve"> </w:t>
      </w:r>
      <w:proofErr w:type="spellStart"/>
      <w:proofErr w:type="gramStart"/>
      <w:r w:rsidR="00A75F3A">
        <w:rPr>
          <w:rFonts w:ascii="Arial" w:hAnsi="Arial"/>
          <w:lang w:val="es-MX"/>
        </w:rPr>
        <w:t>mas</w:t>
      </w:r>
      <w:proofErr w:type="spellEnd"/>
      <w:proofErr w:type="gramEnd"/>
      <w:r w:rsidR="009D5518">
        <w:rPr>
          <w:rFonts w:ascii="Arial" w:hAnsi="Arial"/>
          <w:lang w:val="es-MX"/>
        </w:rPr>
        <w:t>, así como la dispuesta por Resolución Nº 744/17 (Resultando 7)</w:t>
      </w:r>
      <w:r w:rsidR="00540C4A">
        <w:rPr>
          <w:rFonts w:ascii="Arial" w:hAnsi="Arial"/>
          <w:lang w:val="es-MX"/>
        </w:rPr>
        <w:t>, contraviene el plazo originalmente previsto (Resultando 1.3);</w:t>
      </w:r>
    </w:p>
    <w:p w:rsidR="00687527" w:rsidRPr="00CE3D97" w:rsidRDefault="00687527" w:rsidP="00316AB4">
      <w:pPr>
        <w:spacing w:line="360" w:lineRule="auto"/>
        <w:ind w:firstLine="709"/>
        <w:jc w:val="both"/>
        <w:rPr>
          <w:rFonts w:ascii="Arial" w:hAnsi="Arial"/>
          <w:lang w:val="es-MX"/>
        </w:rPr>
      </w:pPr>
      <w:r w:rsidRPr="002C4524">
        <w:rPr>
          <w:rFonts w:ascii="Arial" w:hAnsi="Arial"/>
          <w:b/>
          <w:bCs/>
          <w:szCs w:val="20"/>
        </w:rPr>
        <w:lastRenderedPageBreak/>
        <w:t xml:space="preserve">ATENTO: </w:t>
      </w:r>
      <w:r w:rsidRPr="002C4524">
        <w:rPr>
          <w:rFonts w:ascii="Arial" w:hAnsi="Arial"/>
          <w:szCs w:val="20"/>
        </w:rPr>
        <w:t>a lo expuesto, y a lo dispuesto por el Artículo 211 Literal B) de la Constitución de la República;</w:t>
      </w:r>
    </w:p>
    <w:p w:rsidR="00687527" w:rsidRPr="00316AB4" w:rsidRDefault="00687527" w:rsidP="00687527">
      <w:pPr>
        <w:keepNext/>
        <w:spacing w:line="360" w:lineRule="auto"/>
        <w:jc w:val="center"/>
        <w:outlineLvl w:val="1"/>
        <w:rPr>
          <w:rFonts w:ascii="Arial" w:hAnsi="Arial"/>
          <w:b/>
          <w:bCs/>
          <w:szCs w:val="20"/>
        </w:rPr>
      </w:pPr>
      <w:r w:rsidRPr="00316AB4">
        <w:rPr>
          <w:rFonts w:ascii="Arial" w:hAnsi="Arial"/>
          <w:b/>
          <w:bCs/>
          <w:szCs w:val="20"/>
        </w:rPr>
        <w:t>EL TRIBUNAL ACUERDA</w:t>
      </w:r>
      <w:r w:rsidR="00C44633" w:rsidRPr="00316AB4">
        <w:rPr>
          <w:rFonts w:ascii="Arial" w:hAnsi="Arial"/>
          <w:b/>
          <w:bCs/>
          <w:szCs w:val="20"/>
        </w:rPr>
        <w:t>:</w:t>
      </w:r>
    </w:p>
    <w:p w:rsidR="009D5518" w:rsidRPr="009D5518" w:rsidRDefault="000F7EF7" w:rsidP="00316AB4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Cs w:val="20"/>
          <w:lang w:val="es-MX"/>
        </w:rPr>
      </w:pPr>
      <w:r w:rsidRPr="009D5518">
        <w:rPr>
          <w:rFonts w:ascii="Arial" w:hAnsi="Arial"/>
          <w:szCs w:val="20"/>
          <w:lang w:val="es-MX"/>
        </w:rPr>
        <w:t xml:space="preserve">Observar </w:t>
      </w:r>
      <w:r w:rsidR="009D5518">
        <w:rPr>
          <w:rFonts w:ascii="Arial" w:hAnsi="Arial"/>
          <w:szCs w:val="20"/>
          <w:lang w:val="es-MX"/>
        </w:rPr>
        <w:t>la prórroga dispuesta por Resolución Nº 744/17;</w:t>
      </w:r>
    </w:p>
    <w:p w:rsidR="009D5518" w:rsidRDefault="009D5518" w:rsidP="00316AB4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Cs w:val="20"/>
          <w:lang w:val="es-MX"/>
        </w:rPr>
      </w:pPr>
      <w:r w:rsidRPr="009D5518">
        <w:rPr>
          <w:rFonts w:ascii="Arial" w:hAnsi="Arial"/>
          <w:szCs w:val="20"/>
          <w:lang w:val="es-MX"/>
        </w:rPr>
        <w:t xml:space="preserve">Observar </w:t>
      </w:r>
      <w:r w:rsidR="000F7EF7" w:rsidRPr="009D5518">
        <w:rPr>
          <w:rFonts w:ascii="Arial" w:hAnsi="Arial"/>
          <w:szCs w:val="20"/>
          <w:lang w:val="es-MX"/>
        </w:rPr>
        <w:t>el gasto</w:t>
      </w:r>
      <w:r>
        <w:rPr>
          <w:rFonts w:ascii="Arial" w:hAnsi="Arial"/>
          <w:szCs w:val="20"/>
          <w:lang w:val="es-MX"/>
        </w:rPr>
        <w:t xml:space="preserve"> emergente de la última prórroga tramitada (Resultando 8)</w:t>
      </w:r>
      <w:r w:rsidR="000F7EF7" w:rsidRPr="009D5518">
        <w:rPr>
          <w:rFonts w:ascii="Arial" w:hAnsi="Arial"/>
          <w:szCs w:val="20"/>
          <w:lang w:val="es-MX"/>
        </w:rPr>
        <w:t>;</w:t>
      </w:r>
      <w:r w:rsidR="00316AB4">
        <w:rPr>
          <w:rFonts w:ascii="Arial" w:hAnsi="Arial"/>
          <w:szCs w:val="20"/>
          <w:lang w:val="es-MX"/>
        </w:rPr>
        <w:t xml:space="preserve"> y</w:t>
      </w:r>
    </w:p>
    <w:p w:rsidR="00687527" w:rsidRPr="009D5518" w:rsidRDefault="00687527" w:rsidP="00316AB4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Cs w:val="20"/>
          <w:lang w:val="es-MX"/>
        </w:rPr>
      </w:pPr>
      <w:r w:rsidRPr="009D5518">
        <w:rPr>
          <w:rFonts w:ascii="Arial" w:hAnsi="Arial"/>
          <w:szCs w:val="20"/>
          <w:lang w:val="es-MX"/>
        </w:rPr>
        <w:t>Devolver las actuaciones.</w:t>
      </w:r>
    </w:p>
    <w:p w:rsidR="00687527" w:rsidRDefault="00687527" w:rsidP="00687527">
      <w:pPr>
        <w:spacing w:line="360" w:lineRule="auto"/>
        <w:jc w:val="both"/>
        <w:rPr>
          <w:rFonts w:ascii="Arial" w:hAnsi="Arial"/>
          <w:highlight w:val="yellow"/>
          <w:lang w:val="es-MX"/>
        </w:rPr>
      </w:pPr>
    </w:p>
    <w:p w:rsidR="00316AB4" w:rsidRDefault="00316AB4" w:rsidP="00687527">
      <w:pPr>
        <w:spacing w:line="360" w:lineRule="auto"/>
        <w:jc w:val="both"/>
        <w:rPr>
          <w:rFonts w:ascii="Arial" w:hAnsi="Arial"/>
          <w:highlight w:val="yellow"/>
          <w:lang w:val="es-MX"/>
        </w:rPr>
      </w:pPr>
    </w:p>
    <w:p w:rsidR="00316AB4" w:rsidRDefault="00316AB4" w:rsidP="00687527">
      <w:pPr>
        <w:spacing w:line="360" w:lineRule="auto"/>
        <w:jc w:val="both"/>
        <w:rPr>
          <w:rFonts w:ascii="Arial" w:hAnsi="Arial"/>
          <w:highlight w:val="yellow"/>
          <w:lang w:val="es-MX"/>
        </w:rPr>
      </w:pPr>
    </w:p>
    <w:p w:rsidR="00316AB4" w:rsidRDefault="00316AB4" w:rsidP="00687527">
      <w:pPr>
        <w:spacing w:line="360" w:lineRule="auto"/>
        <w:jc w:val="both"/>
        <w:rPr>
          <w:rFonts w:ascii="Arial" w:hAnsi="Arial"/>
          <w:highlight w:val="yellow"/>
          <w:lang w:val="es-MX"/>
        </w:rPr>
      </w:pPr>
    </w:p>
    <w:p w:rsidR="00316AB4" w:rsidRDefault="00316AB4" w:rsidP="00687527">
      <w:pPr>
        <w:spacing w:line="360" w:lineRule="auto"/>
        <w:jc w:val="both"/>
        <w:rPr>
          <w:rFonts w:ascii="Arial" w:hAnsi="Arial"/>
          <w:highlight w:val="yellow"/>
          <w:lang w:val="es-MX"/>
        </w:rPr>
      </w:pPr>
    </w:p>
    <w:p w:rsidR="00316AB4" w:rsidRDefault="00316AB4" w:rsidP="00687527">
      <w:pPr>
        <w:spacing w:line="360" w:lineRule="auto"/>
        <w:jc w:val="both"/>
        <w:rPr>
          <w:rFonts w:ascii="Arial" w:hAnsi="Arial"/>
          <w:highlight w:val="yellow"/>
          <w:lang w:val="es-MX"/>
        </w:rPr>
      </w:pPr>
    </w:p>
    <w:p w:rsidR="00316AB4" w:rsidRPr="00316AB4" w:rsidRDefault="00316AB4" w:rsidP="00687527">
      <w:pPr>
        <w:spacing w:line="360" w:lineRule="auto"/>
        <w:jc w:val="both"/>
        <w:rPr>
          <w:rFonts w:ascii="Arial" w:hAnsi="Arial"/>
          <w:lang w:val="es-MX"/>
        </w:rPr>
      </w:pPr>
      <w:proofErr w:type="spellStart"/>
      <w:proofErr w:type="gramStart"/>
      <w:r w:rsidRPr="00316AB4">
        <w:rPr>
          <w:rFonts w:ascii="Arial" w:hAnsi="Arial"/>
          <w:lang w:val="es-MX"/>
        </w:rPr>
        <w:t>cr</w:t>
      </w:r>
      <w:proofErr w:type="spellEnd"/>
      <w:proofErr w:type="gramEnd"/>
    </w:p>
    <w:sectPr w:rsidR="00316AB4" w:rsidRPr="00316AB4" w:rsidSect="00EE05DC">
      <w:pgSz w:w="11906" w:h="16838" w:code="9"/>
      <w:pgMar w:top="3402" w:right="1134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603"/>
    <w:multiLevelType w:val="hybridMultilevel"/>
    <w:tmpl w:val="C67C1198"/>
    <w:lvl w:ilvl="0" w:tplc="43463F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27"/>
    <w:rsid w:val="00026187"/>
    <w:rsid w:val="000F7EF7"/>
    <w:rsid w:val="00196015"/>
    <w:rsid w:val="00203F85"/>
    <w:rsid w:val="002159DD"/>
    <w:rsid w:val="00246F71"/>
    <w:rsid w:val="0027039F"/>
    <w:rsid w:val="00272871"/>
    <w:rsid w:val="00287A71"/>
    <w:rsid w:val="002C4524"/>
    <w:rsid w:val="00302000"/>
    <w:rsid w:val="00303BC1"/>
    <w:rsid w:val="00316AB4"/>
    <w:rsid w:val="00333BFE"/>
    <w:rsid w:val="00404AD1"/>
    <w:rsid w:val="00434DF7"/>
    <w:rsid w:val="00497CE9"/>
    <w:rsid w:val="004C5006"/>
    <w:rsid w:val="00540C4A"/>
    <w:rsid w:val="005A3A0B"/>
    <w:rsid w:val="005B183D"/>
    <w:rsid w:val="00621D74"/>
    <w:rsid w:val="00687527"/>
    <w:rsid w:val="006B5E78"/>
    <w:rsid w:val="00710E55"/>
    <w:rsid w:val="00727ED8"/>
    <w:rsid w:val="007E0A28"/>
    <w:rsid w:val="008846FD"/>
    <w:rsid w:val="00884E1D"/>
    <w:rsid w:val="008B656D"/>
    <w:rsid w:val="008C6F59"/>
    <w:rsid w:val="00906276"/>
    <w:rsid w:val="0091030A"/>
    <w:rsid w:val="009267F0"/>
    <w:rsid w:val="009D5518"/>
    <w:rsid w:val="00A75F3A"/>
    <w:rsid w:val="00B835E0"/>
    <w:rsid w:val="00BD4413"/>
    <w:rsid w:val="00BD449D"/>
    <w:rsid w:val="00BE3808"/>
    <w:rsid w:val="00C44633"/>
    <w:rsid w:val="00C73675"/>
    <w:rsid w:val="00CE3D97"/>
    <w:rsid w:val="00D435AC"/>
    <w:rsid w:val="00DB004E"/>
    <w:rsid w:val="00EE05DC"/>
    <w:rsid w:val="00FB34F7"/>
    <w:rsid w:val="00F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7527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52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nhideWhenUsed/>
    <w:rsid w:val="0068752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D55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5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5D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7527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52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nhideWhenUsed/>
    <w:rsid w:val="0068752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D55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5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5D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2017-07-24T16:24:00Z</cp:lastPrinted>
  <dcterms:created xsi:type="dcterms:W3CDTF">2017-07-24T16:24:00Z</dcterms:created>
  <dcterms:modified xsi:type="dcterms:W3CDTF">2017-07-24T16:24:00Z</dcterms:modified>
</cp:coreProperties>
</file>