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4F" w:rsidRPr="00786EEB" w:rsidRDefault="00B13B4F"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2763/17</w:t>
      </w:r>
    </w:p>
    <w:p w:rsidR="00B13B4F" w:rsidRDefault="00B13B4F" w:rsidP="00786EEB">
      <w:pPr>
        <w:tabs>
          <w:tab w:val="center" w:pos="4253"/>
        </w:tabs>
        <w:suppressAutoHyphens/>
        <w:jc w:val="right"/>
        <w:rPr>
          <w:rFonts w:cs="Arial"/>
          <w:b/>
          <w:lang w:val="es-ES_tradnl"/>
        </w:rPr>
      </w:pPr>
    </w:p>
    <w:p w:rsidR="00B13B4F" w:rsidRPr="00762B34" w:rsidRDefault="00B13B4F">
      <w:pPr>
        <w:tabs>
          <w:tab w:val="center" w:pos="4253"/>
        </w:tabs>
        <w:suppressAutoHyphens/>
        <w:jc w:val="center"/>
        <w:rPr>
          <w:rFonts w:cs="Arial"/>
          <w:b/>
          <w:lang w:val="es-ES_tradnl"/>
        </w:rPr>
      </w:pPr>
      <w:r w:rsidRPr="00762B34">
        <w:rPr>
          <w:rFonts w:cs="Arial"/>
          <w:b/>
          <w:lang w:val="es-ES_tradnl"/>
        </w:rPr>
        <w:t>RESOLUCION ADOPTADA POR EL</w:t>
      </w:r>
    </w:p>
    <w:p w:rsidR="00B13B4F" w:rsidRPr="00762B34" w:rsidRDefault="00B13B4F">
      <w:pPr>
        <w:tabs>
          <w:tab w:val="left" w:pos="-720"/>
        </w:tabs>
        <w:suppressAutoHyphens/>
        <w:jc w:val="center"/>
        <w:rPr>
          <w:rFonts w:cs="Arial"/>
          <w:b/>
          <w:lang w:val="es-ES_tradnl"/>
        </w:rPr>
      </w:pPr>
    </w:p>
    <w:p w:rsidR="00B13B4F" w:rsidRPr="00762B34" w:rsidRDefault="00B13B4F">
      <w:pPr>
        <w:tabs>
          <w:tab w:val="center" w:pos="4253"/>
        </w:tabs>
        <w:suppressAutoHyphens/>
        <w:jc w:val="center"/>
        <w:rPr>
          <w:rFonts w:cs="Arial"/>
          <w:b/>
          <w:lang w:val="es-ES_tradnl"/>
        </w:rPr>
      </w:pPr>
      <w:r w:rsidRPr="00762B34">
        <w:rPr>
          <w:rFonts w:cs="Arial"/>
          <w:b/>
          <w:lang w:val="es-ES_tradnl"/>
        </w:rPr>
        <w:t>TRIBUNAL DE CUENTAS</w:t>
      </w:r>
    </w:p>
    <w:p w:rsidR="00B13B4F" w:rsidRPr="00762B34" w:rsidRDefault="00B13B4F">
      <w:pPr>
        <w:tabs>
          <w:tab w:val="left" w:pos="-720"/>
        </w:tabs>
        <w:suppressAutoHyphens/>
        <w:jc w:val="center"/>
        <w:rPr>
          <w:rFonts w:cs="Arial"/>
          <w:b/>
          <w:lang w:val="es-ES_tradnl"/>
        </w:rPr>
      </w:pPr>
    </w:p>
    <w:p w:rsidR="00B13B4F" w:rsidRPr="00762B34" w:rsidRDefault="00B13B4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30 DE AGOSTO </w:t>
      </w:r>
      <w:r>
        <w:rPr>
          <w:rFonts w:ascii="Helvetica" w:hAnsi="Helvetica"/>
          <w:b/>
          <w:lang w:val="es-ES_tradnl"/>
        </w:rPr>
        <w:t>DE 2017</w:t>
      </w:r>
    </w:p>
    <w:p w:rsidR="00B13B4F" w:rsidRPr="00762B34" w:rsidRDefault="00B13B4F">
      <w:pPr>
        <w:tabs>
          <w:tab w:val="center" w:pos="4253"/>
        </w:tabs>
        <w:suppressAutoHyphens/>
        <w:jc w:val="center"/>
        <w:rPr>
          <w:rFonts w:cs="Arial"/>
          <w:b/>
          <w:lang w:val="es-ES_tradnl"/>
        </w:rPr>
      </w:pPr>
    </w:p>
    <w:p w:rsidR="00B13B4F" w:rsidRPr="00B13B4F" w:rsidRDefault="00B13B4F">
      <w:pPr>
        <w:tabs>
          <w:tab w:val="center" w:pos="4253"/>
        </w:tabs>
        <w:suppressAutoHyphens/>
        <w:jc w:val="center"/>
        <w:rPr>
          <w:rFonts w:cs="Arial"/>
          <w:b/>
          <w:lang w:val="es-AR"/>
        </w:rPr>
      </w:pPr>
      <w:r w:rsidRPr="00B13B4F">
        <w:rPr>
          <w:rFonts w:cs="Arial"/>
          <w:b/>
          <w:lang w:val="es-AR"/>
        </w:rPr>
        <w:t xml:space="preserve">(E. E. Nº 2017-17-1-0004777, </w:t>
      </w:r>
      <w:proofErr w:type="spellStart"/>
      <w:r w:rsidRPr="00B13B4F">
        <w:rPr>
          <w:rFonts w:cs="Arial"/>
          <w:b/>
          <w:lang w:val="es-AR"/>
        </w:rPr>
        <w:t>Ents</w:t>
      </w:r>
      <w:proofErr w:type="spellEnd"/>
      <w:r w:rsidRPr="00B13B4F">
        <w:rPr>
          <w:rFonts w:cs="Arial"/>
          <w:b/>
          <w:lang w:val="es-AR"/>
        </w:rPr>
        <w:t xml:space="preserve">. </w:t>
      </w:r>
      <w:r>
        <w:rPr>
          <w:rFonts w:cs="Arial"/>
          <w:b/>
          <w:lang w:val="es-AR"/>
        </w:rPr>
        <w:t>3845/17 y 4335/17</w:t>
      </w:r>
      <w:r w:rsidRPr="00B13B4F">
        <w:rPr>
          <w:rFonts w:cs="Arial"/>
          <w:b/>
          <w:lang w:val="es-AR"/>
        </w:rPr>
        <w:t>)</w:t>
      </w:r>
    </w:p>
    <w:p w:rsidR="00B13B4F" w:rsidRPr="00B13B4F" w:rsidRDefault="00B13B4F">
      <w:pPr>
        <w:tabs>
          <w:tab w:val="center" w:pos="4253"/>
        </w:tabs>
        <w:suppressAutoHyphens/>
        <w:jc w:val="center"/>
        <w:rPr>
          <w:rFonts w:ascii="Helvetica" w:hAnsi="Helvetica"/>
          <w:b/>
          <w:lang w:val="es-AR"/>
        </w:rPr>
      </w:pPr>
    </w:p>
    <w:p w:rsidR="00B13B4F" w:rsidRDefault="00B13B4F" w:rsidP="00B13B4F">
      <w:pPr>
        <w:spacing w:line="360" w:lineRule="auto"/>
        <w:ind w:firstLine="851"/>
        <w:jc w:val="both"/>
        <w:rPr>
          <w:lang w:val="es-ES_tradnl"/>
        </w:rPr>
      </w:pPr>
      <w:r>
        <w:rPr>
          <w:b/>
          <w:lang w:val="es-ES_tradnl"/>
        </w:rPr>
        <w:t>VISTO:</w:t>
      </w:r>
      <w:r>
        <w:rPr>
          <w:lang w:val="es-ES_tradnl"/>
        </w:rPr>
        <w:t xml:space="preserve"> que este Tribunal ha examinado el proyecto de Presupuesto de la Administración de Ferrocarriles del Estado (AFE) para el Ejercicio 2018, remitido por</w:t>
      </w:r>
      <w:r>
        <w:rPr>
          <w:spacing w:val="-3"/>
          <w:lang w:val="es-ES_tradnl"/>
        </w:rPr>
        <w:t xml:space="preserve"> </w:t>
      </w:r>
      <w:r w:rsidR="00FC6F17">
        <w:rPr>
          <w:spacing w:val="-3"/>
          <w:lang w:val="es-ES_tradnl"/>
        </w:rPr>
        <w:t>Nota N° 116 /17 de 27/07/2017;</w:t>
      </w:r>
    </w:p>
    <w:p w:rsidR="00B13B4F" w:rsidRDefault="00B13B4F" w:rsidP="00B13B4F">
      <w:pPr>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Dictamen que se adjunta;</w:t>
      </w:r>
    </w:p>
    <w:p w:rsidR="00B13B4F" w:rsidRDefault="00B13B4F" w:rsidP="00B13B4F">
      <w:pPr>
        <w:spacing w:line="360" w:lineRule="auto"/>
        <w:ind w:firstLine="851"/>
        <w:jc w:val="both"/>
        <w:rPr>
          <w:lang w:val="es-ES_tradnl"/>
        </w:rPr>
      </w:pPr>
      <w:r>
        <w:rPr>
          <w:b/>
          <w:lang w:val="es-ES_tradnl"/>
        </w:rPr>
        <w:t>ATENTO:</w:t>
      </w:r>
      <w:r>
        <w:rPr>
          <w:lang w:val="es-ES_tradnl"/>
        </w:rPr>
        <w:t xml:space="preserve"> a lo dispuesto por los Artículos 211 Literal A) y 221 de la Constitución de la República;</w:t>
      </w:r>
    </w:p>
    <w:p w:rsidR="00B13B4F" w:rsidRDefault="00B13B4F" w:rsidP="00B13B4F">
      <w:pPr>
        <w:pStyle w:val="Ttulo1"/>
        <w:tabs>
          <w:tab w:val="clear" w:pos="-720"/>
        </w:tabs>
        <w:suppressAutoHyphens w:val="0"/>
        <w:spacing w:line="360" w:lineRule="auto"/>
        <w:rPr>
          <w:spacing w:val="0"/>
        </w:rPr>
      </w:pPr>
      <w:r>
        <w:rPr>
          <w:spacing w:val="0"/>
        </w:rPr>
        <w:t>EL TRIBUNAL ACUERDA</w:t>
      </w:r>
    </w:p>
    <w:p w:rsidR="00B13B4F" w:rsidRDefault="00B13B4F" w:rsidP="00B13B4F">
      <w:pPr>
        <w:numPr>
          <w:ilvl w:val="0"/>
          <w:numId w:val="1"/>
        </w:numPr>
        <w:spacing w:line="360" w:lineRule="auto"/>
        <w:jc w:val="both"/>
        <w:rPr>
          <w:lang w:val="es-ES_tradnl"/>
        </w:rPr>
      </w:pPr>
      <w:r>
        <w:rPr>
          <w:lang w:val="es-ES_tradnl"/>
        </w:rPr>
        <w:t xml:space="preserve">Emitir su pronunciamiento respecto al proyecto de </w:t>
      </w:r>
      <w:r>
        <w:rPr>
          <w:spacing w:val="-3"/>
          <w:lang w:val="es-ES_tradnl"/>
        </w:rPr>
        <w:t xml:space="preserve">Presupuesto </w:t>
      </w:r>
      <w:r>
        <w:rPr>
          <w:lang w:val="es-ES_tradnl"/>
        </w:rPr>
        <w:t>de la Administración de Ferrocarriles del Estado correspondiente al Ejercicio 2018, en los términos del Dictamen que se adjunta;</w:t>
      </w:r>
    </w:p>
    <w:p w:rsidR="00B13B4F" w:rsidRPr="008E5305" w:rsidRDefault="00B13B4F" w:rsidP="00B13B4F">
      <w:pPr>
        <w:numPr>
          <w:ilvl w:val="0"/>
          <w:numId w:val="1"/>
        </w:numPr>
        <w:spacing w:line="360" w:lineRule="auto"/>
        <w:jc w:val="both"/>
      </w:pPr>
      <w:r>
        <w:rPr>
          <w:lang w:val="es-ES_tradnl"/>
        </w:rPr>
        <w:t>Observar el p</w:t>
      </w:r>
      <w:r w:rsidRPr="008E5305">
        <w:rPr>
          <w:lang w:val="es-ES_tradnl"/>
        </w:rPr>
        <w:t>royecto de Presupuesto por lo expresado en l</w:t>
      </w:r>
      <w:r>
        <w:rPr>
          <w:lang w:val="es-ES_tradnl"/>
        </w:rPr>
        <w:t>os</w:t>
      </w:r>
      <w:r w:rsidRPr="008E5305">
        <w:rPr>
          <w:lang w:val="es-ES_tradnl"/>
        </w:rPr>
        <w:t xml:space="preserve"> párrafo</w:t>
      </w:r>
      <w:r>
        <w:rPr>
          <w:lang w:val="es-ES_tradnl"/>
        </w:rPr>
        <w:t>s</w:t>
      </w:r>
      <w:r w:rsidRPr="008E5305">
        <w:rPr>
          <w:lang w:val="es-ES_tradnl"/>
        </w:rPr>
        <w:t xml:space="preserve"> </w:t>
      </w:r>
      <w:r>
        <w:rPr>
          <w:lang w:val="es-ES_tradnl"/>
        </w:rPr>
        <w:t xml:space="preserve"> 2.3</w:t>
      </w:r>
      <w:r w:rsidRPr="00E96FF4">
        <w:rPr>
          <w:lang w:val="es-ES_tradnl"/>
        </w:rPr>
        <w:t>)  2.4</w:t>
      </w:r>
      <w:r w:rsidRPr="00012EF9">
        <w:rPr>
          <w:lang w:val="es-ES_tradnl"/>
        </w:rPr>
        <w:t>)</w:t>
      </w:r>
      <w:r>
        <w:rPr>
          <w:lang w:val="es-ES_tradnl"/>
        </w:rPr>
        <w:t>, 2.5)</w:t>
      </w:r>
      <w:r w:rsidRPr="00012EF9">
        <w:rPr>
          <w:lang w:val="es-ES_tradnl"/>
        </w:rPr>
        <w:t xml:space="preserve"> y</w:t>
      </w:r>
      <w:r w:rsidRPr="008E5305">
        <w:rPr>
          <w:lang w:val="es-ES_tradnl"/>
        </w:rPr>
        <w:t xml:space="preserve"> </w:t>
      </w:r>
      <w:r>
        <w:rPr>
          <w:lang w:val="es-ES_tradnl"/>
        </w:rPr>
        <w:t xml:space="preserve">2.6) </w:t>
      </w:r>
      <w:r w:rsidR="00FC6F17">
        <w:rPr>
          <w:lang w:val="es-ES_tradnl"/>
        </w:rPr>
        <w:t>del Dictamen;</w:t>
      </w:r>
    </w:p>
    <w:p w:rsidR="00B13B4F" w:rsidRDefault="00B13B4F" w:rsidP="00B13B4F">
      <w:pPr>
        <w:numPr>
          <w:ilvl w:val="0"/>
          <w:numId w:val="1"/>
        </w:numPr>
        <w:spacing w:line="360" w:lineRule="auto"/>
        <w:jc w:val="both"/>
        <w:rPr>
          <w:lang w:val="es-ES_tradnl"/>
        </w:rPr>
      </w:pPr>
      <w:r>
        <w:rPr>
          <w:spacing w:val="-6"/>
          <w:lang w:val="es-ES_tradnl"/>
        </w:rPr>
        <w:t xml:space="preserve">Téngase presente lo establecido en los párrafos 1,4), </w:t>
      </w:r>
      <w:r w:rsidRPr="00012EF9">
        <w:rPr>
          <w:spacing w:val="-6"/>
          <w:lang w:val="es-ES_tradnl"/>
        </w:rPr>
        <w:t>2.</w:t>
      </w:r>
      <w:r>
        <w:rPr>
          <w:spacing w:val="-6"/>
          <w:lang w:val="es-ES_tradnl"/>
        </w:rPr>
        <w:t>7</w:t>
      </w:r>
      <w:r w:rsidRPr="00012EF9">
        <w:rPr>
          <w:spacing w:val="-6"/>
          <w:lang w:val="es-ES_tradnl"/>
        </w:rPr>
        <w:t>) a 2.</w:t>
      </w:r>
      <w:r>
        <w:rPr>
          <w:spacing w:val="-6"/>
          <w:lang w:val="es-ES_tradnl"/>
        </w:rPr>
        <w:t>12</w:t>
      </w:r>
      <w:r w:rsidRPr="00012EF9">
        <w:rPr>
          <w:spacing w:val="-6"/>
          <w:lang w:val="es-ES_tradnl"/>
        </w:rPr>
        <w:t>) y 2.1</w:t>
      </w:r>
      <w:r>
        <w:rPr>
          <w:spacing w:val="-6"/>
          <w:lang w:val="es-ES_tradnl"/>
        </w:rPr>
        <w:t>5</w:t>
      </w:r>
      <w:r w:rsidRPr="00012EF9">
        <w:rPr>
          <w:spacing w:val="-6"/>
          <w:lang w:val="es-ES_tradnl"/>
        </w:rPr>
        <w:t>)</w:t>
      </w:r>
      <w:r>
        <w:rPr>
          <w:spacing w:val="-6"/>
          <w:lang w:val="es-ES_tradnl"/>
        </w:rPr>
        <w:t xml:space="preserve"> </w:t>
      </w:r>
      <w:r w:rsidRPr="008E5305">
        <w:rPr>
          <w:spacing w:val="-6"/>
          <w:lang w:val="es-ES_tradnl"/>
        </w:rPr>
        <w:t>del</w:t>
      </w:r>
      <w:r>
        <w:rPr>
          <w:spacing w:val="-6"/>
          <w:lang w:val="es-ES_tradnl"/>
        </w:rPr>
        <w:t xml:space="preserve"> Dictamen;</w:t>
      </w:r>
      <w:r w:rsidR="00FC6F17">
        <w:rPr>
          <w:lang w:val="es-ES_tradnl"/>
        </w:rPr>
        <w:t xml:space="preserve"> y</w:t>
      </w:r>
    </w:p>
    <w:p w:rsidR="00B13B4F" w:rsidRDefault="00B13B4F" w:rsidP="00B13B4F">
      <w:pPr>
        <w:numPr>
          <w:ilvl w:val="0"/>
          <w:numId w:val="1"/>
        </w:numPr>
        <w:spacing w:line="360" w:lineRule="auto"/>
        <w:jc w:val="both"/>
      </w:pPr>
      <w:r>
        <w:t>Comunicar al Poder Ejecutivo, al Organismo y a la Oficina de Planeamiento y Presupuesto.</w:t>
      </w:r>
    </w:p>
    <w:p w:rsidR="00B13B4F" w:rsidRDefault="00B13B4F" w:rsidP="00B13B4F">
      <w:pPr>
        <w:spacing w:line="360" w:lineRule="auto"/>
        <w:jc w:val="both"/>
      </w:pPr>
    </w:p>
    <w:p w:rsidR="00B13B4F" w:rsidRDefault="00B13B4F" w:rsidP="00B13B4F">
      <w:pPr>
        <w:spacing w:line="360" w:lineRule="auto"/>
        <w:jc w:val="both"/>
      </w:pPr>
    </w:p>
    <w:p w:rsidR="00F86359" w:rsidRDefault="00FC6F17" w:rsidP="00B13B4F">
      <w:pPr>
        <w:spacing w:line="360" w:lineRule="auto"/>
        <w:ind w:hanging="426"/>
        <w:jc w:val="both"/>
      </w:pPr>
      <w:proofErr w:type="gramStart"/>
      <w:r>
        <w:t>dc</w:t>
      </w:r>
      <w:proofErr w:type="gramEnd"/>
    </w:p>
    <w:p w:rsidR="00FC6F17" w:rsidRDefault="00FC6F17" w:rsidP="00B13B4F">
      <w:pPr>
        <w:spacing w:line="360" w:lineRule="auto"/>
        <w:ind w:hanging="426"/>
        <w:jc w:val="both"/>
      </w:pPr>
    </w:p>
    <w:p w:rsidR="00FC6F17" w:rsidRDefault="00FC6F17" w:rsidP="00B13B4F">
      <w:pPr>
        <w:spacing w:line="360" w:lineRule="auto"/>
        <w:ind w:hanging="426"/>
        <w:jc w:val="both"/>
      </w:pPr>
    </w:p>
    <w:p w:rsidR="00FC6F17" w:rsidRDefault="00FC6F17">
      <w:pPr>
        <w:pStyle w:val="Ttulo"/>
        <w:tabs>
          <w:tab w:val="clear" w:pos="-720"/>
        </w:tabs>
        <w:spacing w:line="360" w:lineRule="auto"/>
      </w:pPr>
      <w:r>
        <w:lastRenderedPageBreak/>
        <w:t>DICTAMEN</w:t>
      </w:r>
    </w:p>
    <w:p w:rsidR="00FC6F17" w:rsidRDefault="00FC6F17">
      <w:pPr>
        <w:pStyle w:val="Ttulo"/>
        <w:tabs>
          <w:tab w:val="clear" w:pos="-720"/>
        </w:tabs>
        <w:spacing w:line="360" w:lineRule="auto"/>
      </w:pPr>
    </w:p>
    <w:p w:rsidR="00FC6F17" w:rsidRDefault="00FC6F17">
      <w:pPr>
        <w:spacing w:line="360" w:lineRule="auto"/>
        <w:jc w:val="both"/>
        <w:rPr>
          <w:spacing w:val="-3"/>
          <w:lang w:val="es-ES_tradnl"/>
        </w:rPr>
      </w:pPr>
      <w:r>
        <w:rPr>
          <w:spacing w:val="-3"/>
          <w:lang w:val="es-ES_tradnl"/>
        </w:rPr>
        <w:t xml:space="preserve">El Tribunal de Cuentas ha examinado el proyecto de Presupuesto para el Ejercicio 2018 de la </w:t>
      </w:r>
      <w:r>
        <w:rPr>
          <w:lang w:val="es-ES_tradnl"/>
        </w:rPr>
        <w:t>Administración de Ferrocarriles del Estado (AFE)</w:t>
      </w:r>
      <w:r>
        <w:rPr>
          <w:spacing w:val="-3"/>
          <w:lang w:val="es-ES_tradnl"/>
        </w:rPr>
        <w:t>. Toda la información incluida en el referido proyecto y los supuestos sobre los que se basa son responsabilidad del Directorio del Ente. La responsabilidad del Tribunal de Cuentas es expresar una opinión sobre dicho proyecto de Presupuesto de acuerdo con lo dispuesto por los Ar</w:t>
      </w:r>
      <w:r>
        <w:rPr>
          <w:spacing w:val="-3"/>
          <w:lang w:val="es-ES_tradnl"/>
        </w:rPr>
        <w:softHyphen/>
        <w:t>tículos 211 Literal A) y 221 de la Constitución de la República y establecer  en caso que corresponda, los hallazgos realizados con relación al cumplimiento de las normas constitucionales, le</w:t>
      </w:r>
      <w:r>
        <w:rPr>
          <w:spacing w:val="-3"/>
          <w:lang w:val="es-ES_tradnl"/>
        </w:rPr>
        <w:softHyphen/>
        <w:t>gales y reglamentarias que resulten aplicables.</w:t>
      </w:r>
    </w:p>
    <w:p w:rsidR="00FC6F17" w:rsidRPr="00984B6B" w:rsidRDefault="00FC6F17" w:rsidP="00F076E5">
      <w:pPr>
        <w:pStyle w:val="Textoindependiente3"/>
        <w:tabs>
          <w:tab w:val="clear" w:pos="-720"/>
        </w:tabs>
        <w:suppressAutoHyphens w:val="0"/>
        <w:rPr>
          <w:lang w:val="es-ES_tradnl"/>
        </w:rPr>
      </w:pPr>
    </w:p>
    <w:p w:rsidR="00FC6F17" w:rsidRDefault="00FC6F17" w:rsidP="00FC6F17">
      <w:pPr>
        <w:pStyle w:val="Textoindependiente3"/>
        <w:numPr>
          <w:ilvl w:val="0"/>
          <w:numId w:val="2"/>
        </w:numPr>
        <w:tabs>
          <w:tab w:val="clear" w:pos="-720"/>
          <w:tab w:val="num" w:pos="426"/>
        </w:tabs>
        <w:suppressAutoHyphens w:val="0"/>
        <w:ind w:left="0" w:firstLine="0"/>
      </w:pPr>
      <w:r>
        <w:t>INGRESOS Y ASIGNACIONES PRESUPUESTALES PROYECTADOS</w:t>
      </w:r>
    </w:p>
    <w:p w:rsidR="00FC6F17" w:rsidRDefault="00FC6F17" w:rsidP="00FC6F17">
      <w:pPr>
        <w:numPr>
          <w:ilvl w:val="1"/>
          <w:numId w:val="4"/>
        </w:numPr>
        <w:rPr>
          <w:b/>
        </w:rPr>
      </w:pPr>
      <w:r>
        <w:rPr>
          <w:b/>
        </w:rPr>
        <w:t>INGRESOS  PROYECTADOS</w:t>
      </w:r>
    </w:p>
    <w:p w:rsidR="00FC6F17" w:rsidRDefault="00FC6F17" w:rsidP="00DB4BEF">
      <w:pPr>
        <w:rPr>
          <w:b/>
        </w:rPr>
      </w:pPr>
    </w:p>
    <w:p w:rsidR="00FC6F17" w:rsidRDefault="00FC6F17">
      <w:pPr>
        <w:tabs>
          <w:tab w:val="left" w:pos="3480"/>
        </w:tabs>
        <w:rPr>
          <w:b/>
        </w:rPr>
      </w:pPr>
    </w:p>
    <w:tbl>
      <w:tblPr>
        <w:tblW w:w="8140" w:type="dxa"/>
        <w:tblInd w:w="55" w:type="dxa"/>
        <w:tblCellMar>
          <w:left w:w="70" w:type="dxa"/>
          <w:right w:w="70" w:type="dxa"/>
        </w:tblCellMar>
        <w:tblLook w:val="04A0" w:firstRow="1" w:lastRow="0" w:firstColumn="1" w:lastColumn="0" w:noHBand="0" w:noVBand="1"/>
      </w:tblPr>
      <w:tblGrid>
        <w:gridCol w:w="4220"/>
        <w:gridCol w:w="1960"/>
        <w:gridCol w:w="1960"/>
      </w:tblGrid>
      <w:tr w:rsidR="00FC6F17" w:rsidRPr="0010747C" w:rsidTr="0010747C">
        <w:trPr>
          <w:trHeight w:val="315"/>
        </w:trPr>
        <w:tc>
          <w:tcPr>
            <w:tcW w:w="4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jc w:val="center"/>
              <w:rPr>
                <w:rFonts w:cs="Arial"/>
                <w:b/>
                <w:bCs/>
                <w:color w:val="000000"/>
                <w:lang w:val="es-UY" w:eastAsia="es-UY"/>
              </w:rPr>
            </w:pPr>
            <w:r w:rsidRPr="0010747C">
              <w:rPr>
                <w:rFonts w:cs="Arial"/>
                <w:b/>
                <w:bCs/>
                <w:color w:val="000000"/>
                <w:lang w:val="es-UY" w:eastAsia="es-UY"/>
              </w:rPr>
              <w:t>Concepto</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FC6F17" w:rsidRPr="0010747C" w:rsidRDefault="00FC6F17" w:rsidP="0010747C">
            <w:pPr>
              <w:jc w:val="center"/>
              <w:rPr>
                <w:rFonts w:cs="Arial"/>
                <w:b/>
                <w:bCs/>
                <w:color w:val="000000"/>
                <w:lang w:val="es-UY" w:eastAsia="es-UY"/>
              </w:rPr>
            </w:pPr>
            <w:r w:rsidRPr="0010747C">
              <w:rPr>
                <w:rFonts w:cs="Arial"/>
                <w:b/>
                <w:bCs/>
                <w:color w:val="000000"/>
                <w:lang w:val="es-UY" w:eastAsia="es-UY"/>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FC6F17" w:rsidRPr="0010747C" w:rsidRDefault="00FC6F17" w:rsidP="0010747C">
            <w:pPr>
              <w:jc w:val="center"/>
              <w:rPr>
                <w:rFonts w:cs="Arial"/>
                <w:b/>
                <w:bCs/>
                <w:color w:val="000000"/>
                <w:lang w:val="es-UY" w:eastAsia="es-UY"/>
              </w:rPr>
            </w:pPr>
            <w:r w:rsidRPr="0010747C">
              <w:rPr>
                <w:rFonts w:cs="Arial"/>
                <w:b/>
                <w:bCs/>
                <w:color w:val="000000"/>
                <w:lang w:val="es-UY" w:eastAsia="es-UY"/>
              </w:rPr>
              <w:t>Monto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Ingresos del Giro</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b/>
                <w:bCs/>
                <w:color w:val="000000"/>
                <w:lang w:val="es-UY" w:eastAsia="es-UY"/>
              </w:rPr>
            </w:pPr>
            <w:r w:rsidRPr="0010747C">
              <w:rPr>
                <w:rFonts w:cs="Arial"/>
                <w:b/>
                <w:bCs/>
                <w:color w:val="000000"/>
                <w:lang w:val="es-UY" w:eastAsia="es-UY"/>
              </w:rPr>
              <w:t>95.722.406</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xml:space="preserve">Canon por uso de infraestructura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57.147.032</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xml:space="preserve">Servicios prestados a la operadora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7.200.000</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xml:space="preserve">Tráfico de pasajeros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15.653.661</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IVA</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15.721.713</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Ingreso Ajenos al Giro</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b/>
                <w:bCs/>
                <w:color w:val="000000"/>
                <w:lang w:val="es-UY" w:eastAsia="es-UY"/>
              </w:rPr>
            </w:pPr>
            <w:r w:rsidRPr="0010747C">
              <w:rPr>
                <w:rFonts w:cs="Arial"/>
                <w:b/>
                <w:bCs/>
                <w:color w:val="000000"/>
                <w:lang w:val="es-UY" w:eastAsia="es-UY"/>
              </w:rPr>
              <w:t>81.427.588</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Arrendamientos</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21.003.258</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xml:space="preserve">Trabajos para terceros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38.077.462</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Trabajos para terceros extraordinarios</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2.800.000</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Cesión de espacios</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2.096.999</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Consumos rembolsados por SELF S.A.</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3.800.596</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Varios</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3.258.000</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IVA Ajenos al Giro</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color w:val="000000"/>
                <w:lang w:val="es-UY" w:eastAsia="es-UY"/>
              </w:rPr>
            </w:pPr>
            <w:r w:rsidRPr="0010747C">
              <w:rPr>
                <w:rFonts w:cs="Arial"/>
                <w:color w:val="000000"/>
                <w:lang w:val="es-UY" w:eastAsia="es-UY"/>
              </w:rPr>
              <w:t>10.391.273</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color w:val="000000"/>
                <w:lang w:val="es-UY" w:eastAsia="es-UY"/>
              </w:rPr>
            </w:pPr>
            <w:r w:rsidRPr="0010747C">
              <w:rPr>
                <w:rFonts w:cs="Arial"/>
                <w:color w:val="000000"/>
                <w:lang w:val="es-UY" w:eastAsia="es-UY"/>
              </w:rPr>
              <w:t> </w:t>
            </w:r>
          </w:p>
        </w:tc>
      </w:tr>
      <w:tr w:rsidR="00FC6F17" w:rsidRPr="0010747C" w:rsidTr="0010747C">
        <w:trPr>
          <w:trHeight w:val="315"/>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TOTAL INGRESOS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rPr>
                <w:rFonts w:cs="Arial"/>
                <w:b/>
                <w:bCs/>
                <w:color w:val="000000"/>
                <w:lang w:val="es-UY" w:eastAsia="es-UY"/>
              </w:rPr>
            </w:pPr>
            <w:r w:rsidRPr="0010747C">
              <w:rPr>
                <w:rFonts w:cs="Arial"/>
                <w:b/>
                <w:bCs/>
                <w:color w:val="000000"/>
                <w:lang w:val="es-UY" w:eastAsia="es-UY"/>
              </w:rPr>
              <w:t> </w:t>
            </w:r>
          </w:p>
        </w:tc>
        <w:tc>
          <w:tcPr>
            <w:tcW w:w="1960"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b/>
                <w:bCs/>
                <w:color w:val="000000"/>
                <w:lang w:val="es-UY" w:eastAsia="es-UY"/>
              </w:rPr>
            </w:pPr>
            <w:r w:rsidRPr="0010747C">
              <w:rPr>
                <w:rFonts w:cs="Arial"/>
                <w:b/>
                <w:bCs/>
                <w:color w:val="000000"/>
                <w:lang w:val="es-UY" w:eastAsia="es-UY"/>
              </w:rPr>
              <w:t>177.149.994</w:t>
            </w:r>
          </w:p>
        </w:tc>
      </w:tr>
    </w:tbl>
    <w:p w:rsidR="00FC6F17" w:rsidRDefault="00FC6F17">
      <w:pPr>
        <w:tabs>
          <w:tab w:val="left" w:pos="3480"/>
        </w:tabs>
        <w:rPr>
          <w:b/>
        </w:rPr>
      </w:pPr>
    </w:p>
    <w:p w:rsidR="00FC6F17" w:rsidRDefault="00FC6F17">
      <w:pPr>
        <w:tabs>
          <w:tab w:val="left" w:pos="3480"/>
        </w:tabs>
        <w:rPr>
          <w:b/>
        </w:rPr>
      </w:pPr>
      <w:r>
        <w:rPr>
          <w:b/>
        </w:rPr>
        <w:lastRenderedPageBreak/>
        <w:t>1.2) ASIGNACIONES PRESUPUESTALES</w:t>
      </w:r>
    </w:p>
    <w:p w:rsidR="00FC6F17" w:rsidRDefault="00FC6F17">
      <w:pPr>
        <w:rPr>
          <w:b/>
        </w:rPr>
      </w:pPr>
    </w:p>
    <w:p w:rsidR="00FC6F17" w:rsidRPr="005C1492" w:rsidRDefault="00FC6F17">
      <w:pPr>
        <w:pStyle w:val="Encabezado"/>
        <w:tabs>
          <w:tab w:val="clear" w:pos="4252"/>
          <w:tab w:val="clear" w:pos="8504"/>
        </w:tabs>
        <w:spacing w:line="240" w:lineRule="auto"/>
        <w:rPr>
          <w:b/>
          <w:lang w:val="es-ES_tradnl"/>
        </w:rPr>
      </w:pPr>
      <w:r w:rsidRPr="005C1492">
        <w:rPr>
          <w:b/>
          <w:lang w:val="es-ES_tradnl"/>
        </w:rPr>
        <w:t>Presupuesto Operativo</w:t>
      </w:r>
    </w:p>
    <w:p w:rsidR="00FC6F17" w:rsidRPr="005C1492" w:rsidRDefault="00FC6F17">
      <w:pPr>
        <w:pStyle w:val="Encabezado"/>
        <w:tabs>
          <w:tab w:val="clear" w:pos="4252"/>
          <w:tab w:val="clear" w:pos="8504"/>
        </w:tabs>
        <w:spacing w:line="240" w:lineRule="auto"/>
        <w:rPr>
          <w:b/>
          <w:lang w:val="es-ES_tradnl"/>
        </w:rPr>
      </w:pPr>
    </w:p>
    <w:tbl>
      <w:tblPr>
        <w:tblW w:w="8534" w:type="dxa"/>
        <w:tblInd w:w="55" w:type="dxa"/>
        <w:tblCellMar>
          <w:left w:w="70" w:type="dxa"/>
          <w:right w:w="70" w:type="dxa"/>
        </w:tblCellMar>
        <w:tblLook w:val="04A0" w:firstRow="1" w:lastRow="0" w:firstColumn="1" w:lastColumn="0" w:noHBand="0" w:noVBand="1"/>
      </w:tblPr>
      <w:tblGrid>
        <w:gridCol w:w="1149"/>
        <w:gridCol w:w="5415"/>
        <w:gridCol w:w="1970"/>
      </w:tblGrid>
      <w:tr w:rsidR="00FC6F17" w:rsidRPr="00DB4BEF" w:rsidTr="00DB4BEF">
        <w:trPr>
          <w:trHeight w:val="31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Grupo</w:t>
            </w:r>
          </w:p>
        </w:tc>
        <w:tc>
          <w:tcPr>
            <w:tcW w:w="5415" w:type="dxa"/>
            <w:tcBorders>
              <w:top w:val="single" w:sz="4" w:space="0" w:color="auto"/>
              <w:left w:val="nil"/>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Concepto</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Monto $</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0</w:t>
            </w: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Servicios Personales</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496.809.791</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1</w:t>
            </w: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Bienes de consumo</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42</w:t>
            </w:r>
            <w:r>
              <w:rPr>
                <w:rFonts w:cs="Arial"/>
                <w:color w:val="000000"/>
                <w:lang w:val="es-UY" w:eastAsia="es-UY"/>
              </w:rPr>
              <w:t>.</w:t>
            </w:r>
            <w:r w:rsidRPr="00DB4BEF">
              <w:rPr>
                <w:rFonts w:cs="Arial"/>
                <w:color w:val="000000"/>
                <w:lang w:val="es-UY" w:eastAsia="es-UY"/>
              </w:rPr>
              <w:t>134</w:t>
            </w:r>
            <w:r>
              <w:rPr>
                <w:rFonts w:cs="Arial"/>
                <w:color w:val="000000"/>
                <w:lang w:val="es-UY" w:eastAsia="es-UY"/>
              </w:rPr>
              <w:t>.</w:t>
            </w:r>
            <w:r w:rsidRPr="00DB4BEF">
              <w:rPr>
                <w:rFonts w:cs="Arial"/>
                <w:color w:val="000000"/>
                <w:lang w:val="es-UY" w:eastAsia="es-UY"/>
              </w:rPr>
              <w:t>343</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2</w:t>
            </w: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Servicios No Personales</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291</w:t>
            </w:r>
            <w:r>
              <w:rPr>
                <w:rFonts w:cs="Arial"/>
                <w:color w:val="000000"/>
                <w:lang w:val="es-UY" w:eastAsia="es-UY"/>
              </w:rPr>
              <w:t>.</w:t>
            </w:r>
            <w:r w:rsidRPr="00DB4BEF">
              <w:rPr>
                <w:rFonts w:cs="Arial"/>
                <w:color w:val="000000"/>
                <w:lang w:val="es-UY" w:eastAsia="es-UY"/>
              </w:rPr>
              <w:t>789</w:t>
            </w:r>
            <w:r>
              <w:rPr>
                <w:rFonts w:cs="Arial"/>
                <w:color w:val="000000"/>
                <w:lang w:val="es-UY" w:eastAsia="es-UY"/>
              </w:rPr>
              <w:t>.</w:t>
            </w:r>
            <w:r w:rsidRPr="00DB4BEF">
              <w:rPr>
                <w:rFonts w:cs="Arial"/>
                <w:color w:val="000000"/>
                <w:lang w:val="es-UY" w:eastAsia="es-UY"/>
              </w:rPr>
              <w:t>818</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5</w:t>
            </w: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 xml:space="preserve">Transferencias </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150</w:t>
            </w:r>
            <w:r>
              <w:rPr>
                <w:rFonts w:cs="Arial"/>
                <w:color w:val="000000"/>
                <w:lang w:val="es-UY" w:eastAsia="es-UY"/>
              </w:rPr>
              <w:t>.</w:t>
            </w:r>
            <w:r w:rsidRPr="00DB4BEF">
              <w:rPr>
                <w:rFonts w:cs="Arial"/>
                <w:color w:val="000000"/>
                <w:lang w:val="es-UY" w:eastAsia="es-UY"/>
              </w:rPr>
              <w:t>030</w:t>
            </w:r>
            <w:r>
              <w:rPr>
                <w:rFonts w:cs="Arial"/>
                <w:color w:val="000000"/>
                <w:lang w:val="es-UY" w:eastAsia="es-UY"/>
              </w:rPr>
              <w:t>.</w:t>
            </w:r>
            <w:r w:rsidRPr="00DB4BEF">
              <w:rPr>
                <w:rFonts w:cs="Arial"/>
                <w:color w:val="000000"/>
                <w:lang w:val="es-UY" w:eastAsia="es-UY"/>
              </w:rPr>
              <w:t>508</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7</w:t>
            </w: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Gastos</w:t>
            </w:r>
            <w:r>
              <w:rPr>
                <w:rFonts w:cs="Arial"/>
                <w:color w:val="000000"/>
                <w:lang w:val="es-UY" w:eastAsia="es-UY"/>
              </w:rPr>
              <w:t xml:space="preserve"> no</w:t>
            </w:r>
            <w:r w:rsidRPr="00DB4BEF">
              <w:rPr>
                <w:rFonts w:cs="Arial"/>
                <w:color w:val="000000"/>
                <w:lang w:val="es-UY" w:eastAsia="es-UY"/>
              </w:rPr>
              <w:t xml:space="preserve"> Clasificados</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1</w:t>
            </w:r>
            <w:r>
              <w:rPr>
                <w:rFonts w:cs="Arial"/>
                <w:color w:val="000000"/>
                <w:lang w:val="es-UY" w:eastAsia="es-UY"/>
              </w:rPr>
              <w:t>.</w:t>
            </w:r>
            <w:r w:rsidRPr="00DB4BEF">
              <w:rPr>
                <w:rFonts w:cs="Arial"/>
                <w:color w:val="000000"/>
                <w:lang w:val="es-UY" w:eastAsia="es-UY"/>
              </w:rPr>
              <w:t>936</w:t>
            </w:r>
            <w:r>
              <w:rPr>
                <w:rFonts w:cs="Arial"/>
                <w:color w:val="000000"/>
                <w:lang w:val="es-UY" w:eastAsia="es-UY"/>
              </w:rPr>
              <w:t>.</w:t>
            </w:r>
            <w:r w:rsidRPr="00DB4BEF">
              <w:rPr>
                <w:rFonts w:cs="Arial"/>
                <w:color w:val="000000"/>
                <w:lang w:val="es-UY" w:eastAsia="es-UY"/>
              </w:rPr>
              <w:t>019</w:t>
            </w:r>
          </w:p>
        </w:tc>
      </w:tr>
      <w:tr w:rsidR="00FC6F17" w:rsidRPr="00DB4BEF" w:rsidTr="00DB4BEF">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rPr>
                <w:rFonts w:cs="Arial"/>
                <w:b/>
                <w:bCs/>
                <w:color w:val="000000"/>
                <w:lang w:val="es-UY" w:eastAsia="es-UY"/>
              </w:rPr>
            </w:pPr>
          </w:p>
        </w:tc>
        <w:tc>
          <w:tcPr>
            <w:tcW w:w="5415"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4102CE">
            <w:pPr>
              <w:rPr>
                <w:rFonts w:cs="Arial"/>
                <w:b/>
                <w:bCs/>
                <w:color w:val="000000"/>
                <w:lang w:val="es-UY" w:eastAsia="es-UY"/>
              </w:rPr>
            </w:pPr>
            <w:r w:rsidRPr="00DB4BEF">
              <w:rPr>
                <w:rFonts w:cs="Arial"/>
                <w:b/>
                <w:bCs/>
                <w:color w:val="000000"/>
                <w:lang w:val="es-UY" w:eastAsia="es-UY"/>
              </w:rPr>
              <w:t> T</w:t>
            </w:r>
            <w:r>
              <w:rPr>
                <w:rFonts w:cs="Arial"/>
                <w:b/>
                <w:bCs/>
                <w:color w:val="000000"/>
                <w:lang w:val="es-UY" w:eastAsia="es-UY"/>
              </w:rPr>
              <w:t xml:space="preserve">otal </w:t>
            </w:r>
            <w:r w:rsidRPr="00DB4BEF">
              <w:rPr>
                <w:rFonts w:cs="Arial"/>
                <w:b/>
                <w:bCs/>
                <w:color w:val="000000"/>
                <w:lang w:val="es-UY" w:eastAsia="es-UY"/>
              </w:rPr>
              <w:t>P</w:t>
            </w:r>
            <w:r>
              <w:rPr>
                <w:rFonts w:cs="Arial"/>
                <w:b/>
                <w:bCs/>
                <w:color w:val="000000"/>
                <w:lang w:val="es-UY" w:eastAsia="es-UY"/>
              </w:rPr>
              <w:t xml:space="preserve">resupuesto </w:t>
            </w:r>
            <w:r w:rsidRPr="00DB4BEF">
              <w:rPr>
                <w:rFonts w:cs="Arial"/>
                <w:b/>
                <w:bCs/>
                <w:color w:val="000000"/>
                <w:lang w:val="es-UY" w:eastAsia="es-UY"/>
              </w:rPr>
              <w:t xml:space="preserve"> OPERATIVO</w:t>
            </w:r>
          </w:p>
        </w:tc>
        <w:tc>
          <w:tcPr>
            <w:tcW w:w="1970"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b/>
                <w:bCs/>
                <w:color w:val="000000"/>
                <w:lang w:val="es-UY" w:eastAsia="es-UY"/>
              </w:rPr>
            </w:pPr>
            <w:r w:rsidRPr="00DB4BEF">
              <w:rPr>
                <w:rFonts w:cs="Arial"/>
                <w:b/>
                <w:bCs/>
                <w:color w:val="000000"/>
                <w:lang w:val="es-UY" w:eastAsia="es-UY"/>
              </w:rPr>
              <w:t>982.700.479</w:t>
            </w:r>
          </w:p>
        </w:tc>
      </w:tr>
    </w:tbl>
    <w:p w:rsidR="00FC6F17" w:rsidRDefault="00FC6F17" w:rsidP="00276BC5">
      <w:pPr>
        <w:pStyle w:val="Encabezado"/>
        <w:tabs>
          <w:tab w:val="clear" w:pos="4252"/>
          <w:tab w:val="clear" w:pos="8504"/>
        </w:tabs>
        <w:rPr>
          <w:rFonts w:cs="Arial"/>
          <w:b/>
          <w:szCs w:val="24"/>
          <w:lang w:val="es-ES_tradnl"/>
        </w:rPr>
      </w:pPr>
    </w:p>
    <w:p w:rsidR="00FC6F17" w:rsidRPr="00E6701A" w:rsidRDefault="00FC6F17" w:rsidP="00276BC5">
      <w:pPr>
        <w:pStyle w:val="Encabezado"/>
        <w:tabs>
          <w:tab w:val="clear" w:pos="4252"/>
          <w:tab w:val="clear" w:pos="8504"/>
        </w:tabs>
        <w:rPr>
          <w:rFonts w:cs="Arial"/>
          <w:b/>
          <w:szCs w:val="24"/>
          <w:lang w:val="es-ES_tradnl"/>
        </w:rPr>
      </w:pPr>
      <w:r w:rsidRPr="00E6701A">
        <w:rPr>
          <w:rFonts w:cs="Arial"/>
          <w:b/>
          <w:szCs w:val="24"/>
          <w:lang w:val="es-ES_tradnl"/>
        </w:rPr>
        <w:t>Presupuesto de Operaciones Financieras</w:t>
      </w:r>
    </w:p>
    <w:tbl>
      <w:tblPr>
        <w:tblW w:w="8534" w:type="dxa"/>
        <w:tblInd w:w="55" w:type="dxa"/>
        <w:tblCellMar>
          <w:left w:w="70" w:type="dxa"/>
          <w:right w:w="70" w:type="dxa"/>
        </w:tblCellMar>
        <w:tblLook w:val="04A0" w:firstRow="1" w:lastRow="0" w:firstColumn="1" w:lastColumn="0" w:noHBand="0" w:noVBand="1"/>
      </w:tblPr>
      <w:tblGrid>
        <w:gridCol w:w="1149"/>
        <w:gridCol w:w="5434"/>
        <w:gridCol w:w="1951"/>
      </w:tblGrid>
      <w:tr w:rsidR="00FC6F17" w:rsidRPr="00DB4BEF" w:rsidTr="004102CE">
        <w:trPr>
          <w:trHeight w:val="31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Grupo</w:t>
            </w:r>
          </w:p>
        </w:tc>
        <w:tc>
          <w:tcPr>
            <w:tcW w:w="5434" w:type="dxa"/>
            <w:tcBorders>
              <w:top w:val="single" w:sz="4" w:space="0" w:color="auto"/>
              <w:left w:val="nil"/>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Concepto</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b/>
                <w:bCs/>
                <w:color w:val="000000"/>
                <w:lang w:val="es-UY" w:eastAsia="es-UY"/>
              </w:rPr>
            </w:pPr>
            <w:r w:rsidRPr="00DB4BEF">
              <w:rPr>
                <w:rFonts w:cs="Arial"/>
                <w:b/>
                <w:bCs/>
                <w:color w:val="000000"/>
                <w:lang w:val="es-UY" w:eastAsia="es-UY"/>
              </w:rPr>
              <w:t>Monto $</w:t>
            </w:r>
          </w:p>
        </w:tc>
      </w:tr>
      <w:tr w:rsidR="00FC6F17" w:rsidRPr="00DB4BEF" w:rsidTr="004102CE">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6</w:t>
            </w:r>
          </w:p>
        </w:tc>
        <w:tc>
          <w:tcPr>
            <w:tcW w:w="5434"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 xml:space="preserve">Intereses y Otros gastos de deuda </w:t>
            </w:r>
          </w:p>
        </w:tc>
        <w:tc>
          <w:tcPr>
            <w:tcW w:w="1951"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2.304.216</w:t>
            </w:r>
          </w:p>
        </w:tc>
      </w:tr>
      <w:tr w:rsidR="00FC6F17" w:rsidRPr="00DB4BEF" w:rsidTr="004102CE">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jc w:val="center"/>
              <w:rPr>
                <w:rFonts w:cs="Arial"/>
                <w:color w:val="000000"/>
                <w:lang w:val="es-UY" w:eastAsia="es-UY"/>
              </w:rPr>
            </w:pPr>
            <w:r w:rsidRPr="00DB4BEF">
              <w:rPr>
                <w:rFonts w:cs="Arial"/>
                <w:color w:val="000000"/>
                <w:lang w:val="es-UY" w:eastAsia="es-UY"/>
              </w:rPr>
              <w:t>8</w:t>
            </w:r>
          </w:p>
        </w:tc>
        <w:tc>
          <w:tcPr>
            <w:tcW w:w="5434"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 xml:space="preserve">Aplicaciones Financieras </w:t>
            </w:r>
          </w:p>
        </w:tc>
        <w:tc>
          <w:tcPr>
            <w:tcW w:w="1951"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color w:val="000000"/>
                <w:lang w:val="es-UY" w:eastAsia="es-UY"/>
              </w:rPr>
            </w:pPr>
            <w:r w:rsidRPr="00DB4BEF">
              <w:rPr>
                <w:rFonts w:cs="Arial"/>
                <w:color w:val="000000"/>
                <w:lang w:val="es-UY" w:eastAsia="es-UY"/>
              </w:rPr>
              <w:t>5.434.000</w:t>
            </w:r>
          </w:p>
        </w:tc>
      </w:tr>
      <w:tr w:rsidR="00FC6F17" w:rsidRPr="00DB4BEF" w:rsidTr="004102CE">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FC6F17" w:rsidRPr="00DB4BEF" w:rsidRDefault="00FC6F17" w:rsidP="00DB4BEF">
            <w:pPr>
              <w:rPr>
                <w:rFonts w:cs="Arial"/>
                <w:color w:val="000000"/>
                <w:lang w:val="es-UY" w:eastAsia="es-UY"/>
              </w:rPr>
            </w:pPr>
            <w:r w:rsidRPr="00DB4BEF">
              <w:rPr>
                <w:rFonts w:cs="Arial"/>
                <w:color w:val="000000"/>
                <w:lang w:val="es-UY" w:eastAsia="es-UY"/>
              </w:rPr>
              <w:t> </w:t>
            </w:r>
          </w:p>
        </w:tc>
        <w:tc>
          <w:tcPr>
            <w:tcW w:w="5434"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4102CE">
            <w:pPr>
              <w:rPr>
                <w:rFonts w:cs="Arial"/>
                <w:b/>
                <w:bCs/>
                <w:color w:val="000000"/>
                <w:lang w:val="es-UY" w:eastAsia="es-UY"/>
              </w:rPr>
            </w:pPr>
            <w:r w:rsidRPr="00DB4BEF">
              <w:rPr>
                <w:rFonts w:cs="Arial"/>
                <w:b/>
                <w:bCs/>
                <w:color w:val="000000"/>
                <w:lang w:val="es-UY" w:eastAsia="es-UY"/>
              </w:rPr>
              <w:t>T</w:t>
            </w:r>
            <w:r>
              <w:rPr>
                <w:rFonts w:cs="Arial"/>
                <w:b/>
                <w:bCs/>
                <w:color w:val="000000"/>
                <w:lang w:val="es-UY" w:eastAsia="es-UY"/>
              </w:rPr>
              <w:t>otal</w:t>
            </w:r>
            <w:r w:rsidRPr="00DB4BEF">
              <w:rPr>
                <w:rFonts w:cs="Arial"/>
                <w:b/>
                <w:bCs/>
                <w:color w:val="000000"/>
                <w:lang w:val="es-UY" w:eastAsia="es-UY"/>
              </w:rPr>
              <w:t xml:space="preserve"> P</w:t>
            </w:r>
            <w:r>
              <w:rPr>
                <w:rFonts w:cs="Arial"/>
                <w:b/>
                <w:bCs/>
                <w:color w:val="000000"/>
                <w:lang w:val="es-UY" w:eastAsia="es-UY"/>
              </w:rPr>
              <w:t xml:space="preserve">resupuesto de deuda </w:t>
            </w:r>
            <w:r w:rsidRPr="00DB4BEF">
              <w:rPr>
                <w:rFonts w:cs="Arial"/>
                <w:b/>
                <w:bCs/>
                <w:color w:val="000000"/>
                <w:lang w:val="es-UY" w:eastAsia="es-UY"/>
              </w:rPr>
              <w:t>$</w:t>
            </w:r>
          </w:p>
        </w:tc>
        <w:tc>
          <w:tcPr>
            <w:tcW w:w="1951" w:type="dxa"/>
            <w:tcBorders>
              <w:top w:val="nil"/>
              <w:left w:val="nil"/>
              <w:bottom w:val="single" w:sz="4" w:space="0" w:color="auto"/>
              <w:right w:val="single" w:sz="4" w:space="0" w:color="auto"/>
            </w:tcBorders>
            <w:shd w:val="clear" w:color="auto" w:fill="auto"/>
            <w:noWrap/>
            <w:vAlign w:val="bottom"/>
            <w:hideMark/>
          </w:tcPr>
          <w:p w:rsidR="00FC6F17" w:rsidRPr="00DB4BEF" w:rsidRDefault="00FC6F17" w:rsidP="00DB4BEF">
            <w:pPr>
              <w:jc w:val="right"/>
              <w:rPr>
                <w:rFonts w:cs="Arial"/>
                <w:b/>
                <w:bCs/>
                <w:color w:val="000000"/>
                <w:lang w:val="es-UY" w:eastAsia="es-UY"/>
              </w:rPr>
            </w:pPr>
            <w:r w:rsidRPr="00DB4BEF">
              <w:rPr>
                <w:rFonts w:cs="Arial"/>
                <w:b/>
                <w:bCs/>
                <w:color w:val="000000"/>
                <w:lang w:val="es-UY" w:eastAsia="es-UY"/>
              </w:rPr>
              <w:t>7.738.216</w:t>
            </w:r>
          </w:p>
        </w:tc>
      </w:tr>
    </w:tbl>
    <w:p w:rsidR="00FC6F17" w:rsidRPr="00E6701A" w:rsidRDefault="00FC6F17">
      <w:pPr>
        <w:pStyle w:val="Encabezado"/>
        <w:tabs>
          <w:tab w:val="clear" w:pos="4252"/>
          <w:tab w:val="clear" w:pos="8504"/>
        </w:tabs>
        <w:rPr>
          <w:rFonts w:cs="Arial"/>
          <w:b/>
          <w:szCs w:val="24"/>
          <w:lang w:val="es-ES_tradnl"/>
        </w:rPr>
      </w:pPr>
    </w:p>
    <w:p w:rsidR="00FC6F17" w:rsidRPr="00E6701A" w:rsidRDefault="00FC6F17">
      <w:pPr>
        <w:pStyle w:val="Encabezado"/>
        <w:tabs>
          <w:tab w:val="clear" w:pos="4252"/>
          <w:tab w:val="clear" w:pos="8504"/>
        </w:tabs>
        <w:rPr>
          <w:rFonts w:cs="Arial"/>
          <w:b/>
          <w:szCs w:val="24"/>
          <w:lang w:val="es-ES_tradnl"/>
        </w:rPr>
      </w:pPr>
      <w:r w:rsidRPr="00E6701A">
        <w:rPr>
          <w:rFonts w:cs="Arial"/>
          <w:b/>
          <w:szCs w:val="24"/>
          <w:lang w:val="es-ES_tradnl"/>
        </w:rPr>
        <w:t>Pr</w:t>
      </w:r>
      <w:r>
        <w:rPr>
          <w:rFonts w:cs="Arial"/>
          <w:b/>
          <w:szCs w:val="24"/>
          <w:lang w:val="es-ES_tradnl"/>
        </w:rPr>
        <w:t>esupuesto de Inversiones</w:t>
      </w:r>
    </w:p>
    <w:tbl>
      <w:tblPr>
        <w:tblW w:w="15044" w:type="dxa"/>
        <w:tblInd w:w="55" w:type="dxa"/>
        <w:tblCellMar>
          <w:left w:w="70" w:type="dxa"/>
          <w:right w:w="70" w:type="dxa"/>
        </w:tblCellMar>
        <w:tblLook w:val="04A0" w:firstRow="1" w:lastRow="0" w:firstColumn="1" w:lastColumn="0" w:noHBand="0" w:noVBand="1"/>
      </w:tblPr>
      <w:tblGrid>
        <w:gridCol w:w="8684"/>
        <w:gridCol w:w="3800"/>
        <w:gridCol w:w="2560"/>
      </w:tblGrid>
      <w:tr w:rsidR="00FC6F17" w:rsidRPr="00E6701A" w:rsidTr="004102CE">
        <w:trPr>
          <w:trHeight w:val="300"/>
        </w:trPr>
        <w:tc>
          <w:tcPr>
            <w:tcW w:w="8684" w:type="dxa"/>
            <w:tcBorders>
              <w:top w:val="nil"/>
              <w:left w:val="nil"/>
              <w:bottom w:val="nil"/>
              <w:right w:val="nil"/>
            </w:tcBorders>
            <w:shd w:val="clear" w:color="auto" w:fill="auto"/>
            <w:vAlign w:val="center"/>
          </w:tcPr>
          <w:tbl>
            <w:tblPr>
              <w:tblW w:w="8534" w:type="dxa"/>
              <w:tblCellMar>
                <w:left w:w="70" w:type="dxa"/>
                <w:right w:w="70" w:type="dxa"/>
              </w:tblCellMar>
              <w:tblLook w:val="04A0" w:firstRow="1" w:lastRow="0" w:firstColumn="1" w:lastColumn="0" w:noHBand="0" w:noVBand="1"/>
            </w:tblPr>
            <w:tblGrid>
              <w:gridCol w:w="1074"/>
              <w:gridCol w:w="5558"/>
              <w:gridCol w:w="1902"/>
            </w:tblGrid>
            <w:tr w:rsidR="00FC6F17" w:rsidRPr="004102CE" w:rsidTr="004102CE">
              <w:trPr>
                <w:trHeight w:val="315"/>
              </w:trPr>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F17" w:rsidRPr="004102CE" w:rsidRDefault="00FC6F17" w:rsidP="004102CE">
                  <w:pPr>
                    <w:rPr>
                      <w:rFonts w:cs="Arial"/>
                      <w:b/>
                      <w:bCs/>
                      <w:color w:val="000000"/>
                      <w:lang w:val="es-UY" w:eastAsia="es-UY"/>
                    </w:rPr>
                  </w:pPr>
                  <w:r w:rsidRPr="004102CE">
                    <w:rPr>
                      <w:rFonts w:cs="Arial"/>
                      <w:b/>
                      <w:bCs/>
                      <w:color w:val="000000"/>
                      <w:lang w:val="es-UY" w:eastAsia="es-UY"/>
                    </w:rPr>
                    <w:t>Grupo</w:t>
                  </w:r>
                </w:p>
              </w:tc>
              <w:tc>
                <w:tcPr>
                  <w:tcW w:w="5558" w:type="dxa"/>
                  <w:tcBorders>
                    <w:top w:val="single" w:sz="4" w:space="0" w:color="auto"/>
                    <w:left w:val="nil"/>
                    <w:bottom w:val="single" w:sz="4" w:space="0" w:color="auto"/>
                    <w:right w:val="single" w:sz="4" w:space="0" w:color="auto"/>
                  </w:tcBorders>
                  <w:shd w:val="clear" w:color="auto" w:fill="auto"/>
                  <w:noWrap/>
                  <w:vAlign w:val="bottom"/>
                  <w:hideMark/>
                </w:tcPr>
                <w:p w:rsidR="00FC6F17" w:rsidRPr="004102CE" w:rsidRDefault="00FC6F17" w:rsidP="004102CE">
                  <w:pPr>
                    <w:rPr>
                      <w:rFonts w:cs="Arial"/>
                      <w:b/>
                      <w:bCs/>
                      <w:color w:val="000000"/>
                      <w:lang w:val="es-UY" w:eastAsia="es-UY"/>
                    </w:rPr>
                  </w:pPr>
                  <w:r w:rsidRPr="004102CE">
                    <w:rPr>
                      <w:rFonts w:cs="Arial"/>
                      <w:b/>
                      <w:bCs/>
                      <w:color w:val="000000"/>
                      <w:lang w:val="es-UY" w:eastAsia="es-UY"/>
                    </w:rPr>
                    <w:t>Concepto</w:t>
                  </w:r>
                </w:p>
              </w:tc>
              <w:tc>
                <w:tcPr>
                  <w:tcW w:w="1902" w:type="dxa"/>
                  <w:tcBorders>
                    <w:top w:val="single" w:sz="4" w:space="0" w:color="auto"/>
                    <w:left w:val="nil"/>
                    <w:bottom w:val="single" w:sz="4" w:space="0" w:color="auto"/>
                    <w:right w:val="single" w:sz="4" w:space="0" w:color="auto"/>
                  </w:tcBorders>
                  <w:shd w:val="clear" w:color="auto" w:fill="auto"/>
                  <w:noWrap/>
                  <w:vAlign w:val="bottom"/>
                  <w:hideMark/>
                </w:tcPr>
                <w:p w:rsidR="00FC6F17" w:rsidRPr="004102CE" w:rsidRDefault="00FC6F17" w:rsidP="004102CE">
                  <w:pPr>
                    <w:rPr>
                      <w:rFonts w:cs="Arial"/>
                      <w:b/>
                      <w:bCs/>
                      <w:color w:val="000000"/>
                      <w:lang w:val="es-UY" w:eastAsia="es-UY"/>
                    </w:rPr>
                  </w:pPr>
                  <w:r w:rsidRPr="004102CE">
                    <w:rPr>
                      <w:rFonts w:cs="Arial"/>
                      <w:b/>
                      <w:bCs/>
                      <w:color w:val="000000"/>
                      <w:lang w:val="es-UY" w:eastAsia="es-UY"/>
                    </w:rPr>
                    <w:t>Monto $</w:t>
                  </w:r>
                </w:p>
              </w:tc>
            </w:tr>
            <w:tr w:rsidR="00FC6F17" w:rsidRPr="004102CE" w:rsidTr="004102CE">
              <w:trPr>
                <w:trHeight w:val="315"/>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FC6F17" w:rsidRPr="004102CE" w:rsidRDefault="00FC6F17" w:rsidP="004102CE">
                  <w:pPr>
                    <w:jc w:val="center"/>
                    <w:rPr>
                      <w:rFonts w:cs="Arial"/>
                      <w:color w:val="000000"/>
                      <w:lang w:val="es-UY" w:eastAsia="es-UY"/>
                    </w:rPr>
                  </w:pPr>
                  <w:r>
                    <w:rPr>
                      <w:rFonts w:cs="Arial"/>
                      <w:color w:val="000000"/>
                      <w:lang w:val="es-UY" w:eastAsia="es-UY"/>
                    </w:rPr>
                    <w:t>2</w:t>
                  </w:r>
                </w:p>
              </w:tc>
              <w:tc>
                <w:tcPr>
                  <w:tcW w:w="5558"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rPr>
                      <w:rFonts w:cs="Arial"/>
                      <w:color w:val="000000"/>
                      <w:lang w:val="es-UY" w:eastAsia="es-UY"/>
                    </w:rPr>
                  </w:pPr>
                  <w:r>
                    <w:rPr>
                      <w:rFonts w:cs="Arial"/>
                      <w:color w:val="000000"/>
                      <w:lang w:val="es-UY" w:eastAsia="es-UY"/>
                    </w:rPr>
                    <w:t>Servicios No Personales</w:t>
                  </w:r>
                </w:p>
              </w:tc>
              <w:tc>
                <w:tcPr>
                  <w:tcW w:w="1902"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jc w:val="right"/>
                    <w:rPr>
                      <w:rFonts w:cs="Arial"/>
                      <w:color w:val="000000"/>
                      <w:lang w:val="es-UY" w:eastAsia="es-UY"/>
                    </w:rPr>
                  </w:pPr>
                  <w:r w:rsidRPr="004102CE">
                    <w:rPr>
                      <w:rFonts w:cs="Arial"/>
                      <w:color w:val="000000"/>
                      <w:lang w:val="es-UY" w:eastAsia="es-UY"/>
                    </w:rPr>
                    <w:t>128.244.663</w:t>
                  </w:r>
                </w:p>
              </w:tc>
            </w:tr>
            <w:tr w:rsidR="00FC6F17" w:rsidRPr="004102CE" w:rsidTr="004102CE">
              <w:trPr>
                <w:trHeight w:val="315"/>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FC6F17" w:rsidRPr="004102CE" w:rsidRDefault="00FC6F17" w:rsidP="004102CE">
                  <w:pPr>
                    <w:jc w:val="center"/>
                    <w:rPr>
                      <w:rFonts w:cs="Arial"/>
                      <w:color w:val="000000"/>
                      <w:lang w:val="es-UY" w:eastAsia="es-UY"/>
                    </w:rPr>
                  </w:pPr>
                  <w:r>
                    <w:rPr>
                      <w:rFonts w:cs="Arial"/>
                      <w:color w:val="000000"/>
                      <w:lang w:val="es-UY" w:eastAsia="es-UY"/>
                    </w:rPr>
                    <w:t>3</w:t>
                  </w:r>
                </w:p>
              </w:tc>
              <w:tc>
                <w:tcPr>
                  <w:tcW w:w="5558"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rPr>
                      <w:rFonts w:cs="Arial"/>
                      <w:color w:val="000000"/>
                      <w:lang w:val="es-UY" w:eastAsia="es-UY"/>
                    </w:rPr>
                  </w:pPr>
                  <w:r>
                    <w:rPr>
                      <w:rFonts w:cs="Arial"/>
                      <w:color w:val="000000"/>
                      <w:lang w:val="es-UY" w:eastAsia="es-UY"/>
                    </w:rPr>
                    <w:t>Bienes de Uso</w:t>
                  </w:r>
                </w:p>
              </w:tc>
              <w:tc>
                <w:tcPr>
                  <w:tcW w:w="1902"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jc w:val="right"/>
                    <w:rPr>
                      <w:rFonts w:cs="Arial"/>
                      <w:color w:val="000000"/>
                      <w:lang w:val="es-UY" w:eastAsia="es-UY"/>
                    </w:rPr>
                  </w:pPr>
                  <w:r w:rsidRPr="004102CE">
                    <w:rPr>
                      <w:rFonts w:cs="Arial"/>
                      <w:color w:val="000000"/>
                      <w:lang w:val="es-UY" w:eastAsia="es-UY"/>
                    </w:rPr>
                    <w:t>84.843.625</w:t>
                  </w:r>
                </w:p>
              </w:tc>
            </w:tr>
            <w:tr w:rsidR="00FC6F17" w:rsidRPr="004102CE" w:rsidTr="004102CE">
              <w:trPr>
                <w:trHeight w:val="315"/>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rsidR="00FC6F17" w:rsidRPr="004102CE" w:rsidRDefault="00FC6F17" w:rsidP="004102CE">
                  <w:pPr>
                    <w:rPr>
                      <w:rFonts w:cs="Arial"/>
                      <w:color w:val="000000"/>
                      <w:lang w:val="es-UY" w:eastAsia="es-UY"/>
                    </w:rPr>
                  </w:pPr>
                  <w:r w:rsidRPr="004102CE">
                    <w:rPr>
                      <w:rFonts w:cs="Arial"/>
                      <w:color w:val="000000"/>
                      <w:lang w:val="es-UY" w:eastAsia="es-UY"/>
                    </w:rPr>
                    <w:t> </w:t>
                  </w:r>
                </w:p>
              </w:tc>
              <w:tc>
                <w:tcPr>
                  <w:tcW w:w="5558"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rPr>
                      <w:rFonts w:cs="Arial"/>
                      <w:b/>
                      <w:bCs/>
                      <w:color w:val="000000"/>
                      <w:lang w:val="es-UY" w:eastAsia="es-UY"/>
                    </w:rPr>
                  </w:pPr>
                  <w:r w:rsidRPr="004102CE">
                    <w:rPr>
                      <w:rFonts w:cs="Arial"/>
                      <w:b/>
                      <w:bCs/>
                      <w:color w:val="000000"/>
                      <w:lang w:val="es-UY" w:eastAsia="es-UY"/>
                    </w:rPr>
                    <w:t>T</w:t>
                  </w:r>
                  <w:r>
                    <w:rPr>
                      <w:rFonts w:cs="Arial"/>
                      <w:b/>
                      <w:bCs/>
                      <w:color w:val="000000"/>
                      <w:lang w:val="es-UY" w:eastAsia="es-UY"/>
                    </w:rPr>
                    <w:t>otal Presupuesto de Inversiones</w:t>
                  </w:r>
                  <w:r w:rsidRPr="004102CE">
                    <w:rPr>
                      <w:rFonts w:cs="Arial"/>
                      <w:b/>
                      <w:bCs/>
                      <w:color w:val="000000"/>
                      <w:lang w:val="es-UY" w:eastAsia="es-UY"/>
                    </w:rPr>
                    <w:t xml:space="preserve"> $</w:t>
                  </w:r>
                </w:p>
              </w:tc>
              <w:tc>
                <w:tcPr>
                  <w:tcW w:w="1902" w:type="dxa"/>
                  <w:tcBorders>
                    <w:top w:val="nil"/>
                    <w:left w:val="nil"/>
                    <w:bottom w:val="single" w:sz="4" w:space="0" w:color="auto"/>
                    <w:right w:val="single" w:sz="4" w:space="0" w:color="auto"/>
                  </w:tcBorders>
                  <w:shd w:val="clear" w:color="auto" w:fill="auto"/>
                  <w:noWrap/>
                  <w:vAlign w:val="bottom"/>
                  <w:hideMark/>
                </w:tcPr>
                <w:p w:rsidR="00FC6F17" w:rsidRPr="004102CE" w:rsidRDefault="00FC6F17" w:rsidP="004102CE">
                  <w:pPr>
                    <w:jc w:val="right"/>
                    <w:rPr>
                      <w:rFonts w:cs="Arial"/>
                      <w:b/>
                      <w:bCs/>
                      <w:color w:val="000000"/>
                      <w:lang w:val="es-UY" w:eastAsia="es-UY"/>
                    </w:rPr>
                  </w:pPr>
                  <w:r w:rsidRPr="004102CE">
                    <w:rPr>
                      <w:rFonts w:cs="Arial"/>
                      <w:b/>
                      <w:bCs/>
                      <w:color w:val="000000"/>
                      <w:lang w:val="es-UY" w:eastAsia="es-UY"/>
                    </w:rPr>
                    <w:t>213.088.288</w:t>
                  </w:r>
                </w:p>
              </w:tc>
            </w:tr>
          </w:tbl>
          <w:p w:rsidR="00FC6F17" w:rsidRDefault="00FC6F17" w:rsidP="00096F2D">
            <w:pPr>
              <w:rPr>
                <w:rFonts w:cs="Arial"/>
                <w:color w:val="000000"/>
                <w:lang w:val="es-UY" w:eastAsia="es-UY"/>
              </w:rPr>
            </w:pPr>
          </w:p>
          <w:p w:rsidR="00FC6F17" w:rsidRPr="00E6701A" w:rsidRDefault="00FC6F17" w:rsidP="00096F2D">
            <w:pPr>
              <w:rPr>
                <w:rFonts w:cs="Arial"/>
                <w:color w:val="000000"/>
                <w:lang w:val="es-UY" w:eastAsia="es-UY"/>
              </w:rPr>
            </w:pPr>
          </w:p>
        </w:tc>
        <w:tc>
          <w:tcPr>
            <w:tcW w:w="3800" w:type="dxa"/>
            <w:tcBorders>
              <w:top w:val="nil"/>
              <w:left w:val="nil"/>
              <w:bottom w:val="nil"/>
              <w:right w:val="nil"/>
            </w:tcBorders>
            <w:shd w:val="clear" w:color="auto" w:fill="auto"/>
            <w:vAlign w:val="center"/>
          </w:tcPr>
          <w:p w:rsidR="00FC6F17" w:rsidRPr="00E6701A" w:rsidRDefault="00FC6F17" w:rsidP="00096F2D">
            <w:pPr>
              <w:rPr>
                <w:rFonts w:cs="Arial"/>
                <w:b/>
                <w:bCs/>
                <w:color w:val="000000"/>
                <w:lang w:val="es-UY" w:eastAsia="es-UY"/>
              </w:rPr>
            </w:pPr>
          </w:p>
        </w:tc>
        <w:tc>
          <w:tcPr>
            <w:tcW w:w="2560" w:type="dxa"/>
            <w:tcBorders>
              <w:top w:val="nil"/>
              <w:left w:val="nil"/>
              <w:bottom w:val="nil"/>
              <w:right w:val="nil"/>
            </w:tcBorders>
            <w:shd w:val="clear" w:color="auto" w:fill="auto"/>
            <w:vAlign w:val="center"/>
          </w:tcPr>
          <w:p w:rsidR="00FC6F17" w:rsidRPr="00E6701A" w:rsidRDefault="00FC6F17" w:rsidP="00096F2D">
            <w:pPr>
              <w:jc w:val="center"/>
              <w:rPr>
                <w:rFonts w:cs="Arial"/>
                <w:b/>
                <w:bCs/>
                <w:color w:val="000000"/>
                <w:lang w:val="es-UY" w:eastAsia="es-UY"/>
              </w:rPr>
            </w:pPr>
          </w:p>
        </w:tc>
      </w:tr>
    </w:tbl>
    <w:p w:rsidR="00FC6F17" w:rsidRPr="00E6701A" w:rsidRDefault="00FC6F17" w:rsidP="00BE26BC">
      <w:pPr>
        <w:pStyle w:val="Ttulo6"/>
        <w:tabs>
          <w:tab w:val="right" w:pos="8504"/>
        </w:tabs>
        <w:rPr>
          <w:rFonts w:cs="Arial"/>
          <w:szCs w:val="24"/>
        </w:rPr>
      </w:pPr>
      <w:r>
        <w:rPr>
          <w:rFonts w:cs="Arial"/>
          <w:szCs w:val="24"/>
        </w:rPr>
        <w:t>1.3) Resumen</w:t>
      </w:r>
    </w:p>
    <w:tbl>
      <w:tblPr>
        <w:tblW w:w="12819" w:type="dxa"/>
        <w:tblInd w:w="55" w:type="dxa"/>
        <w:tblCellMar>
          <w:left w:w="70" w:type="dxa"/>
          <w:right w:w="70" w:type="dxa"/>
        </w:tblCellMar>
        <w:tblLook w:val="04A0" w:firstRow="1" w:lastRow="0" w:firstColumn="1" w:lastColumn="0" w:noHBand="0" w:noVBand="1"/>
      </w:tblPr>
      <w:tblGrid>
        <w:gridCol w:w="8463"/>
        <w:gridCol w:w="1406"/>
        <w:gridCol w:w="713"/>
        <w:gridCol w:w="1271"/>
        <w:gridCol w:w="1289"/>
        <w:gridCol w:w="554"/>
      </w:tblGrid>
      <w:tr w:rsidR="00FC6F17" w:rsidRPr="00E6701A" w:rsidTr="00687974">
        <w:trPr>
          <w:gridAfter w:val="1"/>
          <w:wAfter w:w="554" w:type="dxa"/>
          <w:trHeight w:val="300"/>
        </w:trPr>
        <w:tc>
          <w:tcPr>
            <w:tcW w:w="7711" w:type="dxa"/>
            <w:tcBorders>
              <w:top w:val="nil"/>
              <w:left w:val="nil"/>
              <w:bottom w:val="nil"/>
              <w:right w:val="nil"/>
            </w:tcBorders>
            <w:shd w:val="clear" w:color="auto" w:fill="auto"/>
            <w:noWrap/>
            <w:vAlign w:val="bottom"/>
          </w:tcPr>
          <w:p w:rsidR="00FC6F17" w:rsidRPr="00E6701A" w:rsidRDefault="00FC6F17" w:rsidP="00B64104">
            <w:pPr>
              <w:rPr>
                <w:rFonts w:cs="Arial"/>
                <w:color w:val="000000"/>
                <w:lang w:val="es-UY" w:eastAsia="es-UY"/>
              </w:rPr>
            </w:pPr>
          </w:p>
        </w:tc>
        <w:tc>
          <w:tcPr>
            <w:tcW w:w="1994" w:type="dxa"/>
            <w:gridSpan w:val="2"/>
            <w:tcBorders>
              <w:top w:val="nil"/>
              <w:left w:val="nil"/>
              <w:bottom w:val="nil"/>
              <w:right w:val="nil"/>
            </w:tcBorders>
            <w:shd w:val="clear" w:color="auto" w:fill="auto"/>
            <w:noWrap/>
            <w:vAlign w:val="bottom"/>
            <w:hideMark/>
          </w:tcPr>
          <w:p w:rsidR="00FC6F17" w:rsidRPr="00E6701A" w:rsidRDefault="00FC6F17" w:rsidP="000D100B">
            <w:pPr>
              <w:rPr>
                <w:rFonts w:cs="Arial"/>
                <w:color w:val="000000"/>
                <w:lang w:val="es-UY" w:eastAsia="es-UY"/>
              </w:rPr>
            </w:pPr>
          </w:p>
        </w:tc>
        <w:tc>
          <w:tcPr>
            <w:tcW w:w="2560" w:type="dxa"/>
            <w:gridSpan w:val="2"/>
            <w:tcBorders>
              <w:top w:val="nil"/>
              <w:left w:val="nil"/>
              <w:bottom w:val="nil"/>
              <w:right w:val="nil"/>
            </w:tcBorders>
            <w:shd w:val="clear" w:color="auto" w:fill="auto"/>
            <w:noWrap/>
            <w:vAlign w:val="bottom"/>
            <w:hideMark/>
          </w:tcPr>
          <w:p w:rsidR="00FC6F17" w:rsidRPr="00E6701A" w:rsidRDefault="00FC6F17" w:rsidP="000D100B">
            <w:pPr>
              <w:rPr>
                <w:rFonts w:cs="Arial"/>
                <w:color w:val="000000"/>
                <w:lang w:val="es-UY" w:eastAsia="es-UY"/>
              </w:rPr>
            </w:pPr>
          </w:p>
        </w:tc>
      </w:tr>
      <w:tr w:rsidR="00FC6F17" w:rsidRPr="00E6701A" w:rsidTr="00E6701A">
        <w:trPr>
          <w:trHeight w:val="300"/>
        </w:trPr>
        <w:tc>
          <w:tcPr>
            <w:tcW w:w="8992" w:type="dxa"/>
            <w:gridSpan w:val="2"/>
            <w:shd w:val="clear" w:color="auto" w:fill="auto"/>
            <w:noWrap/>
            <w:vAlign w:val="center"/>
          </w:tcPr>
          <w:tbl>
            <w:tblPr>
              <w:tblW w:w="8445" w:type="dxa"/>
              <w:tblCellMar>
                <w:left w:w="70" w:type="dxa"/>
                <w:right w:w="70" w:type="dxa"/>
              </w:tblCellMar>
              <w:tblLook w:val="04A0" w:firstRow="1" w:lastRow="0" w:firstColumn="1" w:lastColumn="0" w:noHBand="0" w:noVBand="1"/>
            </w:tblPr>
            <w:tblGrid>
              <w:gridCol w:w="3909"/>
              <w:gridCol w:w="2268"/>
              <w:gridCol w:w="3542"/>
            </w:tblGrid>
            <w:tr w:rsidR="00FC6F17" w:rsidRPr="00362B2A" w:rsidTr="004B5C74">
              <w:trPr>
                <w:trHeight w:val="315"/>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6F17" w:rsidRDefault="00FC6F17" w:rsidP="00362B2A">
                  <w:pPr>
                    <w:jc w:val="center"/>
                    <w:rPr>
                      <w:rFonts w:cs="Arial"/>
                      <w:b/>
                      <w:bCs/>
                      <w:color w:val="000000"/>
                      <w:lang w:val="es-UY" w:eastAsia="es-UY"/>
                    </w:rPr>
                  </w:pPr>
                  <w:r>
                    <w:rPr>
                      <w:rFonts w:cs="Arial"/>
                      <w:b/>
                      <w:bCs/>
                      <w:color w:val="000000"/>
                      <w:lang w:val="es-UY" w:eastAsia="es-UY"/>
                    </w:rPr>
                    <w:t>Concepto</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FC6F17" w:rsidRPr="00362B2A" w:rsidRDefault="00FC6F17" w:rsidP="00362B2A">
                  <w:pPr>
                    <w:jc w:val="center"/>
                    <w:rPr>
                      <w:rFonts w:cs="Arial"/>
                      <w:color w:val="000000"/>
                      <w:lang w:val="es-UY" w:eastAsia="es-UY"/>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FC6F17" w:rsidRPr="00362B2A" w:rsidRDefault="00FC6F17" w:rsidP="00362B2A">
                  <w:pPr>
                    <w:jc w:val="center"/>
                    <w:rPr>
                      <w:rFonts w:cs="Arial"/>
                      <w:b/>
                      <w:bCs/>
                      <w:color w:val="000000"/>
                      <w:lang w:val="es-UY" w:eastAsia="es-UY"/>
                    </w:rPr>
                  </w:pPr>
                  <w:r>
                    <w:rPr>
                      <w:rFonts w:cs="Arial"/>
                      <w:b/>
                      <w:bCs/>
                      <w:color w:val="000000"/>
                      <w:lang w:val="es-UY" w:eastAsia="es-UY"/>
                    </w:rPr>
                    <w:t>Monto $</w:t>
                  </w:r>
                </w:p>
              </w:tc>
            </w:tr>
            <w:tr w:rsidR="00FC6F17" w:rsidRPr="00362B2A" w:rsidTr="004B5C74">
              <w:trPr>
                <w:trHeight w:val="315"/>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b/>
                      <w:bCs/>
                      <w:color w:val="000000"/>
                      <w:lang w:val="es-UY" w:eastAsia="es-UY"/>
                    </w:rPr>
                  </w:pPr>
                  <w:r>
                    <w:rPr>
                      <w:rFonts w:cs="Arial"/>
                      <w:b/>
                      <w:bCs/>
                      <w:color w:val="000000"/>
                      <w:lang w:val="es-UY" w:eastAsia="es-UY"/>
                    </w:rPr>
                    <w:t xml:space="preserve">Total de </w:t>
                  </w:r>
                  <w:r w:rsidRPr="00362B2A">
                    <w:rPr>
                      <w:rFonts w:cs="Arial"/>
                      <w:b/>
                      <w:bCs/>
                      <w:color w:val="000000"/>
                      <w:lang w:val="es-UY" w:eastAsia="es-UY"/>
                    </w:rPr>
                    <w:t>Ingresos</w:t>
                  </w:r>
                  <w:r>
                    <w:rPr>
                      <w:rFonts w:cs="Arial"/>
                      <w:b/>
                      <w:bCs/>
                      <w:color w:val="000000"/>
                      <w:lang w:val="es-UY" w:eastAsia="es-UY"/>
                    </w:rPr>
                    <w:t xml:space="preserve"> Propios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b/>
                      <w:bCs/>
                      <w:color w:val="000000"/>
                      <w:lang w:val="es-UY" w:eastAsia="es-UY"/>
                    </w:rPr>
                  </w:pPr>
                  <w:r w:rsidRPr="00362B2A">
                    <w:rPr>
                      <w:rFonts w:cs="Arial"/>
                      <w:b/>
                      <w:bCs/>
                      <w:color w:val="000000"/>
                      <w:lang w:val="es-UY" w:eastAsia="es-UY"/>
                    </w:rPr>
                    <w:t>177.149.994</w:t>
                  </w: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xml:space="preserve">Presupuesto Operativo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color w:val="000000"/>
                      <w:lang w:val="es-UY" w:eastAsia="es-UY"/>
                    </w:rPr>
                  </w:pPr>
                  <w:r w:rsidRPr="00362B2A">
                    <w:rPr>
                      <w:rFonts w:cs="Arial"/>
                      <w:color w:val="000000"/>
                      <w:lang w:val="es-UY" w:eastAsia="es-UY"/>
                    </w:rPr>
                    <w:t>982.700.479</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xml:space="preserve">Presupuesto de Deuda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color w:val="000000"/>
                      <w:lang w:val="es-UY" w:eastAsia="es-UY"/>
                    </w:rPr>
                  </w:pPr>
                  <w:r w:rsidRPr="00362B2A">
                    <w:rPr>
                      <w:rFonts w:cs="Arial"/>
                      <w:color w:val="000000"/>
                      <w:lang w:val="es-UY" w:eastAsia="es-UY"/>
                    </w:rPr>
                    <w:t>7.738.216</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Presupuesto de Inversiones</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color w:val="000000"/>
                      <w:lang w:val="es-UY" w:eastAsia="es-UY"/>
                    </w:rPr>
                  </w:pPr>
                  <w:r w:rsidRPr="00362B2A">
                    <w:rPr>
                      <w:rFonts w:cs="Arial"/>
                      <w:color w:val="000000"/>
                      <w:lang w:val="es-UY" w:eastAsia="es-UY"/>
                    </w:rPr>
                    <w:t>213</w:t>
                  </w:r>
                  <w:r>
                    <w:rPr>
                      <w:rFonts w:cs="Arial"/>
                      <w:color w:val="000000"/>
                      <w:lang w:val="es-UY" w:eastAsia="es-UY"/>
                    </w:rPr>
                    <w:t>.</w:t>
                  </w:r>
                  <w:r w:rsidRPr="00362B2A">
                    <w:rPr>
                      <w:rFonts w:cs="Arial"/>
                      <w:color w:val="000000"/>
                      <w:lang w:val="es-UY" w:eastAsia="es-UY"/>
                    </w:rPr>
                    <w:t>088</w:t>
                  </w:r>
                  <w:r>
                    <w:rPr>
                      <w:rFonts w:cs="Arial"/>
                      <w:color w:val="000000"/>
                      <w:lang w:val="es-UY" w:eastAsia="es-UY"/>
                    </w:rPr>
                    <w:t>.</w:t>
                  </w:r>
                  <w:r w:rsidRPr="00362B2A">
                    <w:rPr>
                      <w:rFonts w:cs="Arial"/>
                      <w:color w:val="000000"/>
                      <w:lang w:val="es-UY" w:eastAsia="es-UY"/>
                    </w:rPr>
                    <w:t>288</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color w:val="000000"/>
                      <w:lang w:val="es-UY" w:eastAsia="es-UY"/>
                    </w:rPr>
                  </w:pP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4B5C74" w:rsidRDefault="00FC6F17" w:rsidP="00362B2A">
                  <w:pPr>
                    <w:rPr>
                      <w:rFonts w:cs="Arial"/>
                      <w:b/>
                      <w:color w:val="000000"/>
                      <w:sz w:val="18"/>
                      <w:szCs w:val="18"/>
                      <w:lang w:val="es-UY" w:eastAsia="es-UY"/>
                    </w:rPr>
                  </w:pPr>
                  <w:r w:rsidRPr="004B5C74">
                    <w:rPr>
                      <w:rFonts w:cs="Arial"/>
                      <w:b/>
                      <w:color w:val="000000"/>
                      <w:sz w:val="18"/>
                      <w:szCs w:val="18"/>
                      <w:lang w:val="es-UY" w:eastAsia="es-UY"/>
                    </w:rPr>
                    <w:t>TOTAL Presupuesto Operativo, Deuda e Inversiones</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10747C" w:rsidRDefault="00FC6F17" w:rsidP="0010747C">
                  <w:pPr>
                    <w:jc w:val="right"/>
                    <w:rPr>
                      <w:rFonts w:cs="Arial"/>
                      <w:b/>
                      <w:color w:val="000000"/>
                      <w:lang w:val="es-UY" w:eastAsia="es-UY"/>
                    </w:rPr>
                  </w:pPr>
                  <w:r w:rsidRPr="00362B2A">
                    <w:rPr>
                      <w:rFonts w:cs="Arial"/>
                      <w:color w:val="000000"/>
                      <w:lang w:val="es-UY" w:eastAsia="es-UY"/>
                    </w:rPr>
                    <w:t> </w:t>
                  </w:r>
                  <w:r>
                    <w:rPr>
                      <w:rFonts w:cs="Arial"/>
                      <w:color w:val="000000"/>
                      <w:lang w:val="es-UY" w:eastAsia="es-UY"/>
                    </w:rPr>
                    <w:t xml:space="preserve">                           </w:t>
                  </w:r>
                  <w:r w:rsidRPr="0010747C">
                    <w:rPr>
                      <w:rFonts w:cs="Arial"/>
                      <w:b/>
                      <w:color w:val="000000"/>
                      <w:lang w:val="es-UY" w:eastAsia="es-UY"/>
                    </w:rPr>
                    <w:t>1.203.526.983</w:t>
                  </w: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b/>
                      <w:bCs/>
                      <w:color w:val="000000"/>
                      <w:lang w:val="es-UY" w:eastAsia="es-UY"/>
                    </w:rPr>
                  </w:pPr>
                  <w:r w:rsidRPr="00362B2A">
                    <w:rPr>
                      <w:rFonts w:cs="Arial"/>
                      <w:b/>
                      <w:bCs/>
                      <w:color w:val="000000"/>
                      <w:lang w:val="es-UY" w:eastAsia="es-UY"/>
                    </w:rPr>
                    <w:t>DEFICIT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7767F">
                  <w:pPr>
                    <w:jc w:val="right"/>
                    <w:rPr>
                      <w:rFonts w:cs="Arial"/>
                      <w:b/>
                      <w:bCs/>
                      <w:color w:val="000000"/>
                      <w:lang w:val="es-UY" w:eastAsia="es-UY"/>
                    </w:rPr>
                  </w:pPr>
                  <w:r>
                    <w:rPr>
                      <w:rFonts w:cs="Arial"/>
                      <w:b/>
                      <w:bCs/>
                      <w:color w:val="000000"/>
                      <w:lang w:val="es-UY" w:eastAsia="es-UY"/>
                    </w:rPr>
                    <w:t>-1.026.376.989</w:t>
                  </w:r>
                </w:p>
              </w:tc>
            </w:tr>
            <w:tr w:rsidR="00FC6F17" w:rsidRPr="00362B2A" w:rsidTr="004B5C74">
              <w:trPr>
                <w:trHeight w:val="315"/>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rsidR="00FC6F17" w:rsidRPr="00362B2A" w:rsidRDefault="00FC6F17" w:rsidP="00362B2A">
                  <w:pPr>
                    <w:rPr>
                      <w:rFonts w:cs="Arial"/>
                      <w:b/>
                      <w:bCs/>
                      <w:color w:val="000000"/>
                      <w:lang w:val="es-UY" w:eastAsia="es-UY"/>
                    </w:rPr>
                  </w:pPr>
                  <w:r w:rsidRPr="00362B2A">
                    <w:rPr>
                      <w:rFonts w:cs="Arial"/>
                      <w:b/>
                      <w:bCs/>
                      <w:color w:val="000000"/>
                      <w:lang w:val="es-UY" w:eastAsia="es-UY"/>
                    </w:rPr>
                    <w:t>Financiación</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rPr>
                      <w:rFonts w:cs="Arial"/>
                      <w:color w:val="000000"/>
                      <w:lang w:val="es-UY" w:eastAsia="es-UY"/>
                    </w:rPr>
                  </w:pPr>
                  <w:r w:rsidRPr="00362B2A">
                    <w:rPr>
                      <w:rFonts w:cs="Arial"/>
                      <w:color w:val="000000"/>
                      <w:lang w:val="es-UY"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FC6F17" w:rsidRPr="00362B2A" w:rsidRDefault="00FC6F17" w:rsidP="00362B2A">
                  <w:pPr>
                    <w:jc w:val="right"/>
                    <w:rPr>
                      <w:rFonts w:cs="Arial"/>
                      <w:b/>
                      <w:bCs/>
                      <w:color w:val="000000"/>
                      <w:lang w:val="es-UY" w:eastAsia="es-UY"/>
                    </w:rPr>
                  </w:pPr>
                  <w:r>
                    <w:rPr>
                      <w:rFonts w:cs="Arial"/>
                      <w:b/>
                      <w:bCs/>
                      <w:color w:val="000000"/>
                      <w:lang w:val="es-UY" w:eastAsia="es-UY"/>
                    </w:rPr>
                    <w:t>1.026.376.992</w:t>
                  </w:r>
                </w:p>
              </w:tc>
            </w:tr>
          </w:tbl>
          <w:p w:rsidR="00FC6F17" w:rsidRPr="00E6701A" w:rsidRDefault="00FC6F17" w:rsidP="00B64104">
            <w:pPr>
              <w:jc w:val="both"/>
              <w:rPr>
                <w:rFonts w:cs="Arial"/>
                <w:b/>
                <w:bCs/>
                <w:color w:val="000000"/>
                <w:lang w:val="es-UY" w:eastAsia="es-UY"/>
              </w:rPr>
            </w:pPr>
          </w:p>
        </w:tc>
        <w:tc>
          <w:tcPr>
            <w:tcW w:w="1984" w:type="dxa"/>
            <w:gridSpan w:val="2"/>
            <w:shd w:val="clear" w:color="auto" w:fill="auto"/>
            <w:noWrap/>
            <w:vAlign w:val="bottom"/>
          </w:tcPr>
          <w:p w:rsidR="00FC6F17" w:rsidRPr="00E6701A" w:rsidRDefault="00FC6F17" w:rsidP="00B64104">
            <w:pPr>
              <w:rPr>
                <w:rFonts w:cs="Arial"/>
                <w:color w:val="000000"/>
                <w:lang w:val="es-UY" w:eastAsia="es-UY"/>
              </w:rPr>
            </w:pPr>
          </w:p>
        </w:tc>
        <w:tc>
          <w:tcPr>
            <w:tcW w:w="1843" w:type="dxa"/>
            <w:gridSpan w:val="2"/>
            <w:shd w:val="clear" w:color="auto" w:fill="auto"/>
            <w:noWrap/>
            <w:vAlign w:val="center"/>
          </w:tcPr>
          <w:p w:rsidR="00FC6F17" w:rsidRPr="00E6701A" w:rsidRDefault="00FC6F17" w:rsidP="00380B48">
            <w:pPr>
              <w:jc w:val="right"/>
              <w:rPr>
                <w:rFonts w:cs="Arial"/>
                <w:b/>
                <w:color w:val="000000"/>
                <w:lang w:val="es-UY" w:eastAsia="es-UY"/>
              </w:rPr>
            </w:pPr>
          </w:p>
        </w:tc>
      </w:tr>
      <w:tr w:rsidR="00FC6F17" w:rsidRPr="00B64104" w:rsidTr="00E6701A">
        <w:trPr>
          <w:trHeight w:val="300"/>
        </w:trPr>
        <w:tc>
          <w:tcPr>
            <w:tcW w:w="8992" w:type="dxa"/>
            <w:gridSpan w:val="2"/>
            <w:tcBorders>
              <w:top w:val="nil"/>
              <w:left w:val="nil"/>
              <w:right w:val="nil"/>
            </w:tcBorders>
            <w:shd w:val="clear" w:color="auto" w:fill="auto"/>
            <w:noWrap/>
            <w:vAlign w:val="bottom"/>
          </w:tcPr>
          <w:p w:rsidR="00FC6F17" w:rsidRPr="00B64104" w:rsidRDefault="00FC6F17" w:rsidP="00B64104">
            <w:pPr>
              <w:rPr>
                <w:rFonts w:ascii="Times New Roman" w:hAnsi="Times New Roman"/>
                <w:color w:val="000000"/>
                <w:sz w:val="20"/>
                <w:szCs w:val="20"/>
                <w:lang w:val="es-UY" w:eastAsia="es-UY"/>
              </w:rPr>
            </w:pPr>
          </w:p>
        </w:tc>
        <w:tc>
          <w:tcPr>
            <w:tcW w:w="1984" w:type="dxa"/>
            <w:gridSpan w:val="2"/>
            <w:tcBorders>
              <w:top w:val="nil"/>
              <w:left w:val="nil"/>
              <w:right w:val="nil"/>
            </w:tcBorders>
            <w:shd w:val="clear" w:color="auto" w:fill="auto"/>
            <w:noWrap/>
            <w:vAlign w:val="bottom"/>
          </w:tcPr>
          <w:p w:rsidR="00FC6F17" w:rsidRPr="00B64104" w:rsidRDefault="00FC6F17" w:rsidP="00B64104">
            <w:pPr>
              <w:rPr>
                <w:rFonts w:ascii="Times New Roman" w:hAnsi="Times New Roman"/>
                <w:color w:val="000000"/>
                <w:sz w:val="20"/>
                <w:szCs w:val="20"/>
                <w:lang w:val="es-UY" w:eastAsia="es-UY"/>
              </w:rPr>
            </w:pPr>
          </w:p>
        </w:tc>
        <w:tc>
          <w:tcPr>
            <w:tcW w:w="1843" w:type="dxa"/>
            <w:gridSpan w:val="2"/>
            <w:tcBorders>
              <w:top w:val="nil"/>
              <w:left w:val="nil"/>
              <w:right w:val="nil"/>
            </w:tcBorders>
            <w:shd w:val="clear" w:color="auto" w:fill="auto"/>
            <w:noWrap/>
            <w:vAlign w:val="bottom"/>
          </w:tcPr>
          <w:p w:rsidR="00FC6F17" w:rsidRPr="00B64104" w:rsidRDefault="00FC6F17" w:rsidP="00B64104">
            <w:pPr>
              <w:rPr>
                <w:rFonts w:ascii="Times New Roman" w:hAnsi="Times New Roman"/>
                <w:color w:val="000000"/>
                <w:sz w:val="20"/>
                <w:szCs w:val="20"/>
                <w:lang w:val="es-UY" w:eastAsia="es-UY"/>
              </w:rPr>
            </w:pPr>
          </w:p>
        </w:tc>
      </w:tr>
    </w:tbl>
    <w:p w:rsidR="00FC6F17" w:rsidRPr="00C25E16" w:rsidRDefault="00FC6F17" w:rsidP="00EE3A50">
      <w:pPr>
        <w:spacing w:line="360" w:lineRule="auto"/>
        <w:jc w:val="both"/>
        <w:rPr>
          <w:b/>
        </w:rPr>
      </w:pPr>
      <w:r w:rsidRPr="00A9720E">
        <w:rPr>
          <w:b/>
        </w:rPr>
        <w:t>1.4)</w:t>
      </w:r>
      <w:r>
        <w:t xml:space="preserve"> </w:t>
      </w:r>
      <w:r w:rsidRPr="00C25E16">
        <w:rPr>
          <w:b/>
        </w:rPr>
        <w:t>FINANCIAMIENTO</w:t>
      </w:r>
    </w:p>
    <w:p w:rsidR="00FC6F17" w:rsidRDefault="00FC6F17" w:rsidP="00EE3A50">
      <w:pPr>
        <w:pStyle w:val="Encabezado"/>
        <w:tabs>
          <w:tab w:val="clear" w:pos="4252"/>
          <w:tab w:val="clear" w:pos="8504"/>
        </w:tabs>
      </w:pPr>
      <w:r>
        <w:t xml:space="preserve">El Déficit Presupuestal de $ 1.026.376.989, se presenta financiado por el Gobierno Central a través de la Ley de Presupuesto Nacional N° 19.355 (Anexo Tomo III) de </w:t>
      </w:r>
      <w:r w:rsidRPr="00836C7B">
        <w:t>19/12/</w:t>
      </w:r>
      <w:r w:rsidRPr="00A90E26">
        <w:t>2015</w:t>
      </w:r>
      <w:r>
        <w:t>, aprobando para AFE un subsidio de Rentas Generales de $ 441.062.000 para el Ejercicio 2018.</w:t>
      </w:r>
    </w:p>
    <w:p w:rsidR="00FC6F17" w:rsidRDefault="00FC6F17" w:rsidP="002C5721">
      <w:pPr>
        <w:tabs>
          <w:tab w:val="left" w:pos="3480"/>
        </w:tabs>
        <w:spacing w:line="360" w:lineRule="auto"/>
        <w:jc w:val="both"/>
      </w:pPr>
      <w:r>
        <w:t>El Artículo 2 de la Ley N° 19.355,  expresa que los créditos establecidos para gastos corrientes, inversiones, subsidios y subvenciones están cuantificados a valores de 1 de enero de 2015 y se ajustarán en la forma dispuesta por los Artículos 68, 69, 70 y 82 de la Ley 15.809 de fecha 8 de abril de 1986 y sus modificativas.</w:t>
      </w:r>
    </w:p>
    <w:p w:rsidR="00FC6F17" w:rsidRPr="002C5721" w:rsidRDefault="00FC6F17" w:rsidP="002C5721">
      <w:pPr>
        <w:tabs>
          <w:tab w:val="left" w:pos="3480"/>
        </w:tabs>
        <w:spacing w:line="360" w:lineRule="auto"/>
        <w:jc w:val="both"/>
      </w:pPr>
      <w:r>
        <w:t>Dado que a la fecha del presente dictamen, no se conoce el ajuste (la  variación del Índice general de los precios al consumo elaborado por la Dirección Nacional de Estadísticas y Censos y las disponibilidades del Tesoro Nacional), para actualizar el subsidio para Ejercicio 2018, no se puede establecer si el  presupuesto está desfinanciado.</w:t>
      </w:r>
    </w:p>
    <w:p w:rsidR="00FC6F17" w:rsidRDefault="00FC6F17" w:rsidP="002C5721">
      <w:pPr>
        <w:pStyle w:val="Encabezado"/>
        <w:tabs>
          <w:tab w:val="clear" w:pos="4252"/>
          <w:tab w:val="clear" w:pos="8504"/>
        </w:tabs>
      </w:pPr>
    </w:p>
    <w:p w:rsidR="00FC6F17" w:rsidRDefault="00FC6F17">
      <w:pPr>
        <w:pStyle w:val="Encabezado"/>
        <w:tabs>
          <w:tab w:val="clear" w:pos="4252"/>
          <w:tab w:val="clear" w:pos="8504"/>
        </w:tabs>
        <w:rPr>
          <w:b/>
          <w:lang w:val="es-ES_tradnl"/>
        </w:rPr>
      </w:pPr>
      <w:r>
        <w:rPr>
          <w:b/>
        </w:rPr>
        <w:t>2</w:t>
      </w:r>
      <w:r>
        <w:rPr>
          <w:b/>
          <w:lang w:val="es-ES_tradnl"/>
        </w:rPr>
        <w:t>)  CUMPLIMIENTO DE NORMAS CONSTITUCIONALES, LEGALES Y REGLAMENTARIAS</w:t>
      </w:r>
    </w:p>
    <w:p w:rsidR="00FC6F17" w:rsidRPr="00E655D7" w:rsidRDefault="00FC6F17" w:rsidP="00FC6F17">
      <w:pPr>
        <w:pStyle w:val="Encabezado"/>
        <w:numPr>
          <w:ilvl w:val="1"/>
          <w:numId w:val="3"/>
        </w:numPr>
        <w:tabs>
          <w:tab w:val="clear" w:pos="4252"/>
          <w:tab w:val="clear" w:pos="8504"/>
        </w:tabs>
        <w:ind w:left="0" w:firstLine="0"/>
      </w:pPr>
      <w:r>
        <w:rPr>
          <w:lang w:val="es-ES_tradnl"/>
        </w:rPr>
        <w:t>El p</w:t>
      </w:r>
      <w:r w:rsidRPr="00E655D7">
        <w:rPr>
          <w:lang w:val="es-ES_tradnl"/>
        </w:rPr>
        <w:t xml:space="preserve">royecto de Presupuesto remitido fue aprobado por el Directorio de </w:t>
      </w:r>
      <w:r>
        <w:rPr>
          <w:lang w:val="es-ES_tradnl"/>
        </w:rPr>
        <w:t>la Administración de Ferrocarriles del Estado por Resolución N°</w:t>
      </w:r>
      <w:r w:rsidRPr="00E655D7">
        <w:rPr>
          <w:lang w:val="es-ES_tradnl"/>
        </w:rPr>
        <w:t xml:space="preserve"> </w:t>
      </w:r>
      <w:r>
        <w:rPr>
          <w:lang w:val="es-ES_tradnl"/>
        </w:rPr>
        <w:t>159</w:t>
      </w:r>
      <w:r w:rsidRPr="00E655D7">
        <w:rPr>
          <w:lang w:val="es-ES_tradnl"/>
        </w:rPr>
        <w:t>/1</w:t>
      </w:r>
      <w:r>
        <w:rPr>
          <w:lang w:val="es-ES_tradnl"/>
        </w:rPr>
        <w:t>7</w:t>
      </w:r>
      <w:r w:rsidRPr="00E655D7">
        <w:rPr>
          <w:lang w:val="es-ES_tradnl"/>
        </w:rPr>
        <w:t xml:space="preserve">  de fecha 27/07/1</w:t>
      </w:r>
      <w:r>
        <w:rPr>
          <w:lang w:val="es-ES_tradnl"/>
        </w:rPr>
        <w:t>7</w:t>
      </w:r>
      <w:r w:rsidRPr="00E655D7">
        <w:rPr>
          <w:lang w:val="es-ES_tradnl"/>
        </w:rPr>
        <w:t xml:space="preserve"> e ingresó a este Tribunal de Cuentas para su consideración el </w:t>
      </w:r>
      <w:r>
        <w:rPr>
          <w:lang w:val="es-ES_tradnl"/>
        </w:rPr>
        <w:t>31</w:t>
      </w:r>
      <w:r w:rsidRPr="00E655D7">
        <w:rPr>
          <w:lang w:val="es-ES_tradnl"/>
        </w:rPr>
        <w:t>/07/1</w:t>
      </w:r>
      <w:r>
        <w:rPr>
          <w:lang w:val="es-ES_tradnl"/>
        </w:rPr>
        <w:t>7</w:t>
      </w:r>
      <w:r w:rsidRPr="00E655D7">
        <w:rPr>
          <w:lang w:val="es-ES_tradnl"/>
        </w:rPr>
        <w:t>, dentro del</w:t>
      </w:r>
      <w:r>
        <w:rPr>
          <w:lang w:val="es-ES_tradnl"/>
        </w:rPr>
        <w:t xml:space="preserve"> plazo previsto por el A</w:t>
      </w:r>
      <w:r w:rsidRPr="00E655D7">
        <w:rPr>
          <w:lang w:val="es-ES_tradnl"/>
        </w:rPr>
        <w:t>rtículo 221 (Inciso 1º in fine) de la Constitución de la República</w:t>
      </w:r>
      <w:r>
        <w:rPr>
          <w:lang w:val="es-ES_tradnl"/>
        </w:rPr>
        <w:t>.</w:t>
      </w:r>
    </w:p>
    <w:p w:rsidR="00FC6F17" w:rsidRDefault="00FC6F17" w:rsidP="00FC6F17">
      <w:pPr>
        <w:pStyle w:val="Encabezado"/>
        <w:numPr>
          <w:ilvl w:val="1"/>
          <w:numId w:val="3"/>
        </w:numPr>
        <w:tabs>
          <w:tab w:val="clear" w:pos="4252"/>
          <w:tab w:val="clear" w:pos="8504"/>
        </w:tabs>
        <w:ind w:left="0" w:firstLine="0"/>
      </w:pPr>
      <w:r w:rsidRPr="00E655D7">
        <w:rPr>
          <w:lang w:val="es-ES_tradnl"/>
        </w:rPr>
        <w:t>E</w:t>
      </w:r>
      <w:r>
        <w:t xml:space="preserve">l proyecto de Presupuesto se presenta en forma comparativa con el Presupuesto </w:t>
      </w:r>
      <w:r w:rsidRPr="00180A11">
        <w:t>2017</w:t>
      </w:r>
      <w:r>
        <w:t xml:space="preserve"> actualmente vigente, de acuerdo con lo dispuesto por el Inciso 3) del Artículo 216 de la Constitución de la República.</w:t>
      </w:r>
    </w:p>
    <w:p w:rsidR="00FC6F17" w:rsidRDefault="00FC6F17" w:rsidP="000D66FB">
      <w:pPr>
        <w:pStyle w:val="Encabezado"/>
        <w:tabs>
          <w:tab w:val="clear" w:pos="4252"/>
          <w:tab w:val="clear" w:pos="8504"/>
        </w:tabs>
        <w:rPr>
          <w:lang w:val="es-ES_tradnl"/>
        </w:rPr>
      </w:pPr>
      <w:r>
        <w:rPr>
          <w:b/>
        </w:rPr>
        <w:t>2.3</w:t>
      </w:r>
      <w:r w:rsidRPr="00626A35">
        <w:rPr>
          <w:b/>
          <w:lang w:val="es-ES_tradnl"/>
        </w:rPr>
        <w:t>)</w:t>
      </w:r>
      <w:r>
        <w:rPr>
          <w:b/>
          <w:lang w:val="es-ES_tradnl"/>
        </w:rPr>
        <w:t xml:space="preserve"> </w:t>
      </w:r>
      <w:r w:rsidRPr="00AD1B29">
        <w:rPr>
          <w:lang w:val="es-ES_tradnl"/>
        </w:rPr>
        <w:t xml:space="preserve">No </w:t>
      </w:r>
      <w:r>
        <w:rPr>
          <w:lang w:val="es-ES_tradnl"/>
        </w:rPr>
        <w:t>presenta</w:t>
      </w:r>
      <w:r w:rsidRPr="00F35A09">
        <w:rPr>
          <w:lang w:val="es-ES_tradnl"/>
        </w:rPr>
        <w:t xml:space="preserve"> el Informe </w:t>
      </w:r>
      <w:r>
        <w:rPr>
          <w:lang w:val="es-ES_tradnl"/>
        </w:rPr>
        <w:t xml:space="preserve">Circunstanciado sobre el cumplimiento </w:t>
      </w:r>
      <w:r w:rsidRPr="00F35A09">
        <w:rPr>
          <w:lang w:val="es-ES_tradnl"/>
        </w:rPr>
        <w:t xml:space="preserve">metas y </w:t>
      </w:r>
      <w:r>
        <w:rPr>
          <w:lang w:val="es-ES_tradnl"/>
        </w:rPr>
        <w:t>programas, requerido por el Artículo N°</w:t>
      </w:r>
      <w:r w:rsidRPr="00F35A09">
        <w:rPr>
          <w:lang w:val="es-ES_tradnl"/>
        </w:rPr>
        <w:t xml:space="preserve"> 4 de la Ley N</w:t>
      </w:r>
      <w:r w:rsidRPr="00F35A09">
        <w:t xml:space="preserve">° </w:t>
      </w:r>
      <w:r w:rsidRPr="00F35A09">
        <w:rPr>
          <w:lang w:val="es-ES_tradnl"/>
        </w:rPr>
        <w:t>16.211 de  10/10/91.</w:t>
      </w:r>
    </w:p>
    <w:p w:rsidR="00FC6F17" w:rsidRPr="00C32AC6" w:rsidRDefault="00FC6F17" w:rsidP="00032ECD">
      <w:pPr>
        <w:pStyle w:val="Encabezado"/>
        <w:tabs>
          <w:tab w:val="clear" w:pos="4252"/>
          <w:tab w:val="clear" w:pos="8504"/>
        </w:tabs>
        <w:rPr>
          <w:color w:val="B8CCE4"/>
          <w:lang w:val="es-ES_tradnl"/>
        </w:rPr>
      </w:pPr>
      <w:r>
        <w:rPr>
          <w:b/>
          <w:spacing w:val="8"/>
          <w:lang w:val="es-ES_tradnl"/>
        </w:rPr>
        <w:lastRenderedPageBreak/>
        <w:t>2.4</w:t>
      </w:r>
      <w:r>
        <w:rPr>
          <w:b/>
          <w:spacing w:val="8"/>
        </w:rPr>
        <w:t>)</w:t>
      </w:r>
      <w:r>
        <w:rPr>
          <w:spacing w:val="8"/>
          <w:lang w:val="es-ES_tradnl"/>
        </w:rPr>
        <w:t xml:space="preserve"> </w:t>
      </w:r>
      <w:r>
        <w:t>No se ha dado cumplimiento con lo dispuesto por el A</w:t>
      </w:r>
      <w:r w:rsidRPr="00F41FD5">
        <w:t>rtículo 752 de la Ley    N° 18.719 en lo que respecta a que se deben suscribir los Compromisos de Gestión con la Oficina de Presupuesto y Planeamiento (OPP) y el Ministerio de Economía y Finanzas (MEF), debiéndose contar con informe previo y favorable de estos últimos Organismos.</w:t>
      </w:r>
    </w:p>
    <w:p w:rsidR="00FC6F17" w:rsidRPr="00AF5A4E" w:rsidRDefault="00FC6F17" w:rsidP="001170E0">
      <w:pPr>
        <w:adjustRightInd w:val="0"/>
        <w:spacing w:line="360" w:lineRule="auto"/>
        <w:jc w:val="both"/>
        <w:rPr>
          <w:spacing w:val="6"/>
          <w:lang w:val="es-ES_tradnl"/>
        </w:rPr>
      </w:pPr>
      <w:r w:rsidRPr="0017405E">
        <w:rPr>
          <w:b/>
          <w:spacing w:val="6"/>
          <w:lang w:val="es-ES_tradnl"/>
        </w:rPr>
        <w:t>2.5)</w:t>
      </w:r>
      <w:r w:rsidRPr="0017405E">
        <w:rPr>
          <w:spacing w:val="6"/>
          <w:lang w:val="es-ES_tradnl"/>
        </w:rPr>
        <w:t xml:space="preserve"> </w:t>
      </w:r>
      <w:r>
        <w:rPr>
          <w:spacing w:val="6"/>
          <w:lang w:val="es-ES_tradnl"/>
        </w:rPr>
        <w:t xml:space="preserve">El Organismo no presenta el cuadro exponiendo la </w:t>
      </w:r>
      <w:r w:rsidRPr="00AF5A4E">
        <w:rPr>
          <w:spacing w:val="-3"/>
          <w:lang w:val="es-ES_tradnl"/>
        </w:rPr>
        <w:t>Relación de vacantes existentes a la fecha de presentación del Proyecto, de acu</w:t>
      </w:r>
      <w:r>
        <w:rPr>
          <w:spacing w:val="-3"/>
          <w:lang w:val="es-ES_tradnl"/>
        </w:rPr>
        <w:t>erdo con lo establecido en el Decreto 452/967 de 25/07/67.</w:t>
      </w:r>
    </w:p>
    <w:p w:rsidR="00FC6F17" w:rsidRPr="00E96FF4" w:rsidRDefault="00FC6F17" w:rsidP="001170E0">
      <w:pPr>
        <w:adjustRightInd w:val="0"/>
        <w:spacing w:line="360" w:lineRule="auto"/>
        <w:jc w:val="both"/>
      </w:pPr>
      <w:r>
        <w:rPr>
          <w:b/>
        </w:rPr>
        <w:t xml:space="preserve">2.6) </w:t>
      </w:r>
      <w:r w:rsidRPr="00E96FF4">
        <w:t>Las horas extras</w:t>
      </w:r>
      <w:r w:rsidRPr="00767A4D">
        <w:t xml:space="preserve"> </w:t>
      </w:r>
      <w:r w:rsidRPr="00E96FF4">
        <w:t>presupuestadas, que se exponen</w:t>
      </w:r>
      <w:r>
        <w:t xml:space="preserve"> en el R</w:t>
      </w:r>
      <w:r w:rsidRPr="00E96FF4">
        <w:t xml:space="preserve">englón 058.000, </w:t>
      </w:r>
      <w:r>
        <w:t xml:space="preserve">las cuales </w:t>
      </w:r>
      <w:r w:rsidRPr="00E96FF4">
        <w:t>totalizan $ 20.569.922, sup</w:t>
      </w:r>
      <w:r>
        <w:t>eran el tope establecido en el A</w:t>
      </w:r>
      <w:r w:rsidRPr="00E96FF4">
        <w:t>rtículo 765 de la Ley 19.355.</w:t>
      </w:r>
    </w:p>
    <w:p w:rsidR="00FC6F17" w:rsidRDefault="00FC6F17" w:rsidP="001170E0">
      <w:pPr>
        <w:adjustRightInd w:val="0"/>
        <w:spacing w:line="360" w:lineRule="auto"/>
        <w:jc w:val="both"/>
        <w:rPr>
          <w:spacing w:val="6"/>
          <w:lang w:val="es-ES_tradnl"/>
        </w:rPr>
      </w:pPr>
      <w:r>
        <w:rPr>
          <w:b/>
        </w:rPr>
        <w:t>2.7</w:t>
      </w:r>
      <w:r w:rsidRPr="00D31DAB">
        <w:rPr>
          <w:b/>
        </w:rPr>
        <w:t>)</w:t>
      </w:r>
      <w:r>
        <w:t xml:space="preserve"> </w:t>
      </w:r>
      <w:r w:rsidRPr="00F0633F">
        <w:rPr>
          <w:spacing w:val="6"/>
          <w:lang w:val="es-ES_tradnl"/>
        </w:rPr>
        <w:t>El régimen de horas extras previsto en el</w:t>
      </w:r>
      <w:r>
        <w:rPr>
          <w:spacing w:val="6"/>
          <w:lang w:val="es-ES_tradnl"/>
        </w:rPr>
        <w:t xml:space="preserve"> A</w:t>
      </w:r>
      <w:r w:rsidRPr="00F0633F">
        <w:rPr>
          <w:spacing w:val="6"/>
          <w:lang w:val="es-ES_tradnl"/>
        </w:rPr>
        <w:t>rtículo 14</w:t>
      </w:r>
      <w:r w:rsidRPr="00FC19ED">
        <w:rPr>
          <w:spacing w:val="6"/>
          <w:lang w:val="es-ES_tradnl"/>
        </w:rPr>
        <w:t xml:space="preserve"> </w:t>
      </w:r>
      <w:r w:rsidRPr="00F0633F">
        <w:rPr>
          <w:spacing w:val="6"/>
          <w:lang w:val="es-ES_tradnl"/>
        </w:rPr>
        <w:t>c),</w:t>
      </w:r>
      <w:r w:rsidRPr="00440A1E">
        <w:rPr>
          <w:color w:val="4F81BD"/>
          <w:spacing w:val="6"/>
          <w:lang w:val="es-ES_tradnl"/>
        </w:rPr>
        <w:t xml:space="preserve"> </w:t>
      </w:r>
      <w:r w:rsidRPr="00F0633F">
        <w:rPr>
          <w:spacing w:val="6"/>
          <w:lang w:val="es-ES_tradnl"/>
        </w:rPr>
        <w:t xml:space="preserve">deberá </w:t>
      </w:r>
      <w:r>
        <w:rPr>
          <w:spacing w:val="6"/>
          <w:lang w:val="es-ES_tradnl"/>
        </w:rPr>
        <w:t xml:space="preserve">ajustarse a las previsiones del Artículo 588 del Decreto - Ley 14.189 en la redacción dada por el Artículo 765 de la Ley 19.355 y </w:t>
      </w:r>
      <w:r w:rsidRPr="00F0633F">
        <w:rPr>
          <w:spacing w:val="6"/>
          <w:lang w:val="es-ES_tradnl"/>
        </w:rPr>
        <w:t>respeta</w:t>
      </w:r>
      <w:r>
        <w:rPr>
          <w:spacing w:val="6"/>
          <w:lang w:val="es-ES_tradnl"/>
        </w:rPr>
        <w:t>r</w:t>
      </w:r>
      <w:r w:rsidRPr="00F0633F">
        <w:rPr>
          <w:spacing w:val="6"/>
          <w:lang w:val="es-ES_tradnl"/>
        </w:rPr>
        <w:t xml:space="preserve"> los topes máximos de ejecución de horas</w:t>
      </w:r>
      <w:r w:rsidRPr="00440A1E">
        <w:rPr>
          <w:color w:val="4F81BD"/>
          <w:spacing w:val="6"/>
          <w:lang w:val="es-ES_tradnl"/>
        </w:rPr>
        <w:t xml:space="preserve"> </w:t>
      </w:r>
      <w:r w:rsidRPr="00F0633F">
        <w:rPr>
          <w:spacing w:val="6"/>
          <w:lang w:val="es-ES_tradnl"/>
        </w:rPr>
        <w:t>extras diarias</w:t>
      </w:r>
      <w:r>
        <w:rPr>
          <w:spacing w:val="6"/>
          <w:lang w:val="es-ES_tradnl"/>
        </w:rPr>
        <w:t>, semanales</w:t>
      </w:r>
      <w:r w:rsidRPr="00F0633F">
        <w:rPr>
          <w:spacing w:val="6"/>
          <w:lang w:val="es-ES_tradnl"/>
        </w:rPr>
        <w:t xml:space="preserve"> y mensuales, establecidos en las normas legales y en los Convenios Internacionales de Trabajo.</w:t>
      </w:r>
    </w:p>
    <w:p w:rsidR="00FC6F17" w:rsidRDefault="00FC6F17" w:rsidP="001170E0">
      <w:pPr>
        <w:adjustRightInd w:val="0"/>
        <w:spacing w:line="360" w:lineRule="auto"/>
        <w:jc w:val="both"/>
      </w:pPr>
      <w:r w:rsidRPr="00D3511B">
        <w:rPr>
          <w:b/>
        </w:rPr>
        <w:t>2.8)</w:t>
      </w:r>
      <w:r w:rsidRPr="00F0633F">
        <w:t xml:space="preserve"> </w:t>
      </w:r>
      <w:r>
        <w:t>El A</w:t>
      </w:r>
      <w:r w:rsidRPr="00F0633F">
        <w:t>rtículo 12 que regula la percepción de partidas por concepto de Quebranto de Caja,</w:t>
      </w:r>
      <w:r w:rsidRPr="00440A1E">
        <w:rPr>
          <w:color w:val="4F81BD"/>
        </w:rPr>
        <w:t xml:space="preserve"> </w:t>
      </w:r>
      <w:r w:rsidRPr="00F0633F">
        <w:t>refiere</w:t>
      </w:r>
      <w:r>
        <w:t xml:space="preserve"> al régimen establecido por el A</w:t>
      </w:r>
      <w:r w:rsidRPr="00F0633F">
        <w:t>rt</w:t>
      </w:r>
      <w:r>
        <w:t>ículo 103 de la Ley Especial N°</w:t>
      </w:r>
      <w:r w:rsidRPr="00F0633F">
        <w:t xml:space="preserve"> 7.</w:t>
      </w:r>
      <w:r w:rsidRPr="00440A1E">
        <w:rPr>
          <w:color w:val="4F81BD"/>
        </w:rPr>
        <w:t xml:space="preserve"> </w:t>
      </w:r>
      <w:r w:rsidRPr="00F0633F">
        <w:t>E</w:t>
      </w:r>
      <w:r>
        <w:t xml:space="preserve">s del caso señalar que </w:t>
      </w:r>
      <w:r w:rsidRPr="00F0633F">
        <w:t>la apertura de la cuenta en el BHU, prevista por dicha norma,</w:t>
      </w:r>
      <w:r w:rsidRPr="00440A1E">
        <w:rPr>
          <w:color w:val="4F81BD"/>
        </w:rPr>
        <w:t xml:space="preserve"> </w:t>
      </w:r>
      <w:r w:rsidRPr="00E76E38">
        <w:t>podrá e</w:t>
      </w:r>
      <w:r w:rsidRPr="00F0633F">
        <w:t>fectuarse únicamente a nom</w:t>
      </w:r>
      <w:r>
        <w:t>bre del funcionario, ya que el O</w:t>
      </w:r>
      <w:r w:rsidRPr="00F0633F">
        <w:t>rganismo está solamente habilitado a depositar fondos en el Banco de la República Oriental del Uruguay, de a</w:t>
      </w:r>
      <w:r>
        <w:t>cuerdo con lo dispuesto por el Artículo 80 de la Ley N°</w:t>
      </w:r>
      <w:r w:rsidRPr="00F0633F">
        <w:t xml:space="preserve"> 17.555.</w:t>
      </w:r>
    </w:p>
    <w:p w:rsidR="00FC6F17" w:rsidRPr="00F0633F" w:rsidRDefault="00FC6F17">
      <w:pPr>
        <w:pStyle w:val="Encabezado"/>
        <w:tabs>
          <w:tab w:val="clear" w:pos="4252"/>
          <w:tab w:val="clear" w:pos="8504"/>
        </w:tabs>
      </w:pPr>
      <w:r w:rsidRPr="00D3511B">
        <w:rPr>
          <w:b/>
        </w:rPr>
        <w:t>2.9)</w:t>
      </w:r>
      <w:r>
        <w:t xml:space="preserve"> Las partidas reguladas en los A</w:t>
      </w:r>
      <w:r w:rsidRPr="00F0633F">
        <w:t>rtículos 10 y siguientes tienen naturaleza</w:t>
      </w:r>
      <w:r w:rsidRPr="00440A1E">
        <w:rPr>
          <w:color w:val="4F81BD"/>
        </w:rPr>
        <w:t xml:space="preserve"> </w:t>
      </w:r>
      <w:r w:rsidRPr="00F0633F">
        <w:t xml:space="preserve">retributiva, por lo que deben ser consideradas para la aplicación de los topes remunerativos </w:t>
      </w:r>
      <w:r>
        <w:t>vigentes (Artículo 21 de la Ley N° 17.556, en la redacción dada por el Artículo 10 de la Ley N° 19.438)</w:t>
      </w:r>
      <w:r w:rsidRPr="00F0633F">
        <w:t xml:space="preserve"> y a los efectos impositivos.</w:t>
      </w:r>
    </w:p>
    <w:p w:rsidR="00FC6F17" w:rsidRPr="00F0633F" w:rsidRDefault="00FC6F17">
      <w:pPr>
        <w:pStyle w:val="Encabezado"/>
        <w:tabs>
          <w:tab w:val="clear" w:pos="4252"/>
          <w:tab w:val="clear" w:pos="8504"/>
        </w:tabs>
      </w:pPr>
      <w:r w:rsidRPr="00B046B4">
        <w:rPr>
          <w:b/>
        </w:rPr>
        <w:lastRenderedPageBreak/>
        <w:t>2.</w:t>
      </w:r>
      <w:r>
        <w:rPr>
          <w:b/>
        </w:rPr>
        <w:t>10</w:t>
      </w:r>
      <w:r w:rsidRPr="00B046B4">
        <w:rPr>
          <w:b/>
        </w:rPr>
        <w:t xml:space="preserve">) </w:t>
      </w:r>
      <w:r>
        <w:t>Las partidas previstas en el A</w:t>
      </w:r>
      <w:r w:rsidRPr="00F0633F">
        <w:t>rtículo 18 y caracterizadas como viáticos, no t</w:t>
      </w:r>
      <w:r>
        <w:t>ienen naturaleza indemnizatoria en tanto</w:t>
      </w:r>
      <w:r w:rsidRPr="00F0633F">
        <w:t xml:space="preserve"> no están sometidas a rendición de cuentas, y</w:t>
      </w:r>
      <w:r w:rsidRPr="00440A1E">
        <w:rPr>
          <w:color w:val="4F81BD"/>
        </w:rPr>
        <w:t xml:space="preserve"> </w:t>
      </w:r>
      <w:r w:rsidRPr="00F0633F">
        <w:t>si bien se reconoce este hecho por cuanto se dispone que estarán sujetas a aportes a la seguridad social, se mantiene la denominación errónea y no se prevé que deban computarse a todos los efectos impositivos y</w:t>
      </w:r>
      <w:r w:rsidRPr="00440A1E">
        <w:rPr>
          <w:color w:val="4F81BD"/>
        </w:rPr>
        <w:t xml:space="preserve"> </w:t>
      </w:r>
      <w:r w:rsidRPr="00F0633F">
        <w:t>para la determinación de los topes salariales legalmente establecidos</w:t>
      </w:r>
      <w:r>
        <w:t xml:space="preserve"> (Artículo 21 de la Ley 17.556, en la redacción dada por el Artículo 10 de la Ley N° 19.438)</w:t>
      </w:r>
      <w:r w:rsidRPr="00F0633F">
        <w:t>.</w:t>
      </w:r>
    </w:p>
    <w:p w:rsidR="00FC6F17" w:rsidRPr="000D6448" w:rsidRDefault="00FC6F17" w:rsidP="000D6448">
      <w:pPr>
        <w:pStyle w:val="Encabezado"/>
        <w:tabs>
          <w:tab w:val="clear" w:pos="4252"/>
          <w:tab w:val="clear" w:pos="8504"/>
        </w:tabs>
      </w:pPr>
      <w:r>
        <w:rPr>
          <w:b/>
        </w:rPr>
        <w:t xml:space="preserve">2.11) </w:t>
      </w:r>
      <w:r w:rsidRPr="006765DA">
        <w:t>Al efectuar la provisión d</w:t>
      </w:r>
      <w:r>
        <w:t>e las vacantes previstas en el P</w:t>
      </w:r>
      <w:r w:rsidR="00984B6B">
        <w:t>r</w:t>
      </w:r>
      <w:r w:rsidRPr="006765DA">
        <w:t>esupuesto o al disponer la supresión de vacantes</w:t>
      </w:r>
      <w:r>
        <w:t xml:space="preserve"> (Artículo 27), deberá darse cumplimiento con lo establecido por los A</w:t>
      </w:r>
      <w:r w:rsidRPr="006765DA">
        <w:t xml:space="preserve">rtículos 49 y 50 de la Ley N° 18.651 de 09/03/10 (Ley de protección integral de las personas con discapacidad) </w:t>
      </w:r>
      <w:r>
        <w:t>y por el A</w:t>
      </w:r>
      <w:r w:rsidRPr="000D6448">
        <w:t>rtículo 4 de la Ley 19.122 (Protección del personal afrodescendiente).</w:t>
      </w:r>
    </w:p>
    <w:p w:rsidR="00FC6F17" w:rsidRDefault="00FC6F17">
      <w:pPr>
        <w:pStyle w:val="Encabezado"/>
        <w:tabs>
          <w:tab w:val="clear" w:pos="4252"/>
          <w:tab w:val="clear" w:pos="8504"/>
        </w:tabs>
      </w:pPr>
      <w:r>
        <w:rPr>
          <w:b/>
        </w:rPr>
        <w:t>2.12</w:t>
      </w:r>
      <w:r w:rsidRPr="006765DA">
        <w:rPr>
          <w:b/>
        </w:rPr>
        <w:t xml:space="preserve">) </w:t>
      </w:r>
      <w:r>
        <w:t>Si bien se incorpora una norma programática en el Artículo 21, no consta en el Presupuesto remitido la proyección de acciones tendientes a hacer efectiva la igualdad de género.</w:t>
      </w:r>
    </w:p>
    <w:p w:rsidR="00FC6F17" w:rsidRPr="00DC6621" w:rsidRDefault="00FC6F17" w:rsidP="00A616A9">
      <w:pPr>
        <w:pStyle w:val="Encabezado"/>
        <w:shd w:val="clear" w:color="auto" w:fill="FFFFFF"/>
        <w:tabs>
          <w:tab w:val="clear" w:pos="4252"/>
          <w:tab w:val="clear" w:pos="8504"/>
        </w:tabs>
        <w:rPr>
          <w:b/>
        </w:rPr>
      </w:pPr>
      <w:r w:rsidRPr="000D6448">
        <w:rPr>
          <w:b/>
        </w:rPr>
        <w:t>2.13)</w:t>
      </w:r>
      <w:r>
        <w:rPr>
          <w:b/>
        </w:rPr>
        <w:t xml:space="preserve"> </w:t>
      </w:r>
      <w:r w:rsidRPr="00900AA9">
        <w:t xml:space="preserve">Respecto al </w:t>
      </w:r>
      <w:r>
        <w:t>cumplimiento de la Ordenanza N°</w:t>
      </w:r>
      <w:r w:rsidRPr="00900AA9">
        <w:t xml:space="preserve"> 88 de este Tribunal, relativa a la conformidad técnica de los proyectos en la etapa de preinversión</w:t>
      </w:r>
      <w:r w:rsidRPr="00440A1E">
        <w:rPr>
          <w:color w:val="4F81BD"/>
        </w:rPr>
        <w:t xml:space="preserve">, </w:t>
      </w:r>
      <w:r w:rsidRPr="00DC6621">
        <w:t>se verificó</w:t>
      </w:r>
      <w:r w:rsidRPr="00440A1E">
        <w:rPr>
          <w:color w:val="4F81BD"/>
        </w:rPr>
        <w:t xml:space="preserve"> </w:t>
      </w:r>
      <w:r w:rsidRPr="00CF4E4D">
        <w:t>que la  totalidad de los proyectos en curso (10) en</w:t>
      </w:r>
      <w:r w:rsidRPr="00DC6621">
        <w:t xml:space="preserve"> la Administración  de Ferrocarriles del Estado, cuentan con informe de Conformidad Técnica  (CT) de la Oficina de Planeamiento y Presupuesto y se verificaron los importes correspondientes.</w:t>
      </w:r>
    </w:p>
    <w:p w:rsidR="00FC6F17" w:rsidRDefault="00FC6F17" w:rsidP="006765DA">
      <w:pPr>
        <w:pStyle w:val="Encabezado"/>
        <w:tabs>
          <w:tab w:val="clear" w:pos="4252"/>
          <w:tab w:val="clear" w:pos="8504"/>
        </w:tabs>
      </w:pPr>
      <w:r w:rsidRPr="00AF5A4E">
        <w:rPr>
          <w:b/>
        </w:rPr>
        <w:t>2.14)</w:t>
      </w:r>
      <w:r>
        <w:rPr>
          <w:b/>
        </w:rPr>
        <w:t xml:space="preserve"> </w:t>
      </w:r>
      <w:r>
        <w:t>Este</w:t>
      </w:r>
      <w:r w:rsidRPr="006765DA">
        <w:t xml:space="preserve"> Tribunal</w:t>
      </w:r>
      <w:r>
        <w:t xml:space="preserve"> emite su Dictamen sobre el p</w:t>
      </w:r>
      <w:r w:rsidRPr="001C6B30">
        <w:t>royecto de Presupuesto para la Administraci</w:t>
      </w:r>
      <w:r>
        <w:t>ón de Ferrocarriles del Estado para el E</w:t>
      </w:r>
      <w:r w:rsidRPr="001C6B30">
        <w:t>jercicio 201</w:t>
      </w:r>
      <w:r>
        <w:t>8</w:t>
      </w:r>
      <w:r w:rsidRPr="001C6B30">
        <w:t>, en el plazo constitucionalmente previsto y con las mayorías requeridas a tales efectos</w:t>
      </w:r>
      <w:r>
        <w:t>.</w:t>
      </w:r>
    </w:p>
    <w:p w:rsidR="00FC6F17" w:rsidRPr="001C6B30" w:rsidRDefault="00FC6F17" w:rsidP="006765DA">
      <w:pPr>
        <w:pStyle w:val="Encabezado"/>
        <w:tabs>
          <w:tab w:val="clear" w:pos="4252"/>
          <w:tab w:val="clear" w:pos="8504"/>
        </w:tabs>
      </w:pPr>
      <w:r w:rsidRPr="00E96FF4">
        <w:rPr>
          <w:b/>
        </w:rPr>
        <w:t>2.15)</w:t>
      </w:r>
      <w:r>
        <w:t xml:space="preserve"> </w:t>
      </w:r>
      <w:r w:rsidRPr="00702B7D">
        <w:t>De</w:t>
      </w:r>
      <w:r>
        <w:t xml:space="preserve"> acuerdo con</w:t>
      </w:r>
      <w:r w:rsidRPr="001C6B30">
        <w:t xml:space="preserve"> la normativa constitucional vigente el Directorio de la Adm</w:t>
      </w:r>
      <w:r>
        <w:t>inistración de Ferrocarriles del Estado, luego de aprobado el P</w:t>
      </w:r>
      <w:r w:rsidRPr="001C6B30">
        <w:t xml:space="preserve">resupuesto no </w:t>
      </w:r>
      <w:r>
        <w:t xml:space="preserve">se </w:t>
      </w:r>
      <w:r w:rsidRPr="001C6B30">
        <w:t>puede modificarlo hasta la nueva instancia presupuestal.</w:t>
      </w:r>
    </w:p>
    <w:p w:rsidR="00FC6F17" w:rsidRDefault="00FC6F17">
      <w:pPr>
        <w:spacing w:line="360" w:lineRule="auto"/>
        <w:ind w:left="480" w:hanging="480"/>
        <w:rPr>
          <w:b/>
        </w:rPr>
      </w:pPr>
    </w:p>
    <w:p w:rsidR="00FC6F17" w:rsidRDefault="00FC6F17">
      <w:pPr>
        <w:spacing w:line="360" w:lineRule="auto"/>
        <w:ind w:left="480" w:hanging="480"/>
        <w:rPr>
          <w:b/>
        </w:rPr>
      </w:pPr>
      <w:r>
        <w:rPr>
          <w:b/>
        </w:rPr>
        <w:lastRenderedPageBreak/>
        <w:t>3) OPINION</w:t>
      </w:r>
    </w:p>
    <w:p w:rsidR="00FC6F17" w:rsidRDefault="00FC6F17">
      <w:pPr>
        <w:pStyle w:val="Textoindependiente"/>
      </w:pPr>
      <w:r w:rsidRPr="00032ECD">
        <w:t>En opin</w:t>
      </w:r>
      <w:r>
        <w:t>ión del Tribunal de Cuentas el p</w:t>
      </w:r>
      <w:r w:rsidRPr="00032ECD">
        <w:t xml:space="preserve">royecto de Presupuesto de la Administración  de </w:t>
      </w:r>
      <w:r>
        <w:t>Ferrocarriles del Estado</w:t>
      </w:r>
      <w:r w:rsidRPr="00032ECD">
        <w:t xml:space="preserve"> correspondiente al Ejercicio 201</w:t>
      </w:r>
      <w:r>
        <w:t>8</w:t>
      </w:r>
      <w:r w:rsidRPr="00032ECD">
        <w:t>, ha sido preparado en forma razonable de acuerdo con los supuestos efectuados por el Organismo y se presenta de conformidad con las disposiciones constituciona</w:t>
      </w:r>
      <w:r>
        <w:softHyphen/>
      </w:r>
      <w:r w:rsidRPr="00032ECD">
        <w:t>les, legales y reglamentarias vigentes, excepto por lo expresado en l</w:t>
      </w:r>
      <w:r>
        <w:t>os</w:t>
      </w:r>
      <w:r w:rsidRPr="00032ECD">
        <w:t xml:space="preserve"> </w:t>
      </w:r>
      <w:r w:rsidRPr="00012EF9">
        <w:t xml:space="preserve">párrafos  </w:t>
      </w:r>
      <w:r>
        <w:t xml:space="preserve">  2.3), </w:t>
      </w:r>
      <w:r w:rsidRPr="00012EF9">
        <w:t>2.</w:t>
      </w:r>
      <w:r>
        <w:t>4</w:t>
      </w:r>
      <w:r w:rsidRPr="00012EF9">
        <w:t>)</w:t>
      </w:r>
      <w:r>
        <w:t xml:space="preserve">, 2.5) y 2.6) </w:t>
      </w:r>
      <w:r w:rsidRPr="00032ECD">
        <w:t>del Dictamen.</w:t>
      </w:r>
    </w:p>
    <w:p w:rsidR="00FC6F17" w:rsidRDefault="00FC6F17">
      <w:pPr>
        <w:jc w:val="right"/>
      </w:pPr>
      <w:r>
        <w:t>Montevideo, 24 de agosto de 2017</w:t>
      </w:r>
    </w:p>
    <w:p w:rsidR="00FC6F17" w:rsidRDefault="00FC6F17">
      <w:pPr>
        <w:jc w:val="right"/>
      </w:pPr>
    </w:p>
    <w:p w:rsidR="00FC6F17" w:rsidRDefault="00FC6F17">
      <w:pPr>
        <w:jc w:val="right"/>
      </w:pPr>
    </w:p>
    <w:p w:rsidR="00FC6F17" w:rsidRDefault="00FC6F17">
      <w:pPr>
        <w:jc w:val="right"/>
      </w:pPr>
    </w:p>
    <w:p w:rsidR="00FC6F17" w:rsidRDefault="00FC6F17">
      <w:pPr>
        <w:jc w:val="right"/>
      </w:pPr>
    </w:p>
    <w:p w:rsidR="00FC6F17" w:rsidRDefault="00FC6F17">
      <w:pPr>
        <w:jc w:val="right"/>
      </w:pPr>
    </w:p>
    <w:p w:rsidR="00FC6F17" w:rsidRDefault="00FC6F17">
      <w:pPr>
        <w:jc w:val="right"/>
      </w:pPr>
    </w:p>
    <w:p w:rsidR="00FC6F17" w:rsidRPr="00FC6F17" w:rsidRDefault="00FC6F17" w:rsidP="00FC6F17">
      <w:pPr>
        <w:ind w:hanging="426"/>
        <w:rPr>
          <w:rFonts w:cs="Arial"/>
          <w:sz w:val="20"/>
          <w:szCs w:val="20"/>
        </w:rPr>
      </w:pPr>
      <w:proofErr w:type="gramStart"/>
      <w:r>
        <w:t>dc</w:t>
      </w:r>
      <w:proofErr w:type="gramEnd"/>
    </w:p>
    <w:sectPr w:rsidR="00FC6F17" w:rsidRPr="00FC6F17" w:rsidSect="00B13B4F">
      <w:footerReference w:type="even" r:id="rId8"/>
      <w:footerReference w:type="default" r:id="rId9"/>
      <w:pgSz w:w="11906" w:h="16838" w:code="9"/>
      <w:pgMar w:top="3289" w:right="1701" w:bottom="1701" w:left="1701" w:header="567" w:footer="567"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1F" w:rsidRDefault="00FC6F17">
      <w:r>
        <w:separator/>
      </w:r>
    </w:p>
  </w:endnote>
  <w:endnote w:type="continuationSeparator" w:id="0">
    <w:p w:rsidR="00DE721F" w:rsidRDefault="00FC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5" w:rsidRDefault="00B13B4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B0605" w:rsidRDefault="00984B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974" w:rsidRDefault="00B13B4F">
    <w:pPr>
      <w:pStyle w:val="Piedepgina"/>
      <w:jc w:val="center"/>
    </w:pPr>
    <w:r>
      <w:fldChar w:fldCharType="begin"/>
    </w:r>
    <w:r>
      <w:instrText>PAGE   \* MERGEFORMAT</w:instrText>
    </w:r>
    <w:r>
      <w:fldChar w:fldCharType="separate"/>
    </w:r>
    <w:r w:rsidR="00984B6B">
      <w:rPr>
        <w:noProof/>
      </w:rPr>
      <w:t>1</w:t>
    </w:r>
    <w:r>
      <w:fldChar w:fldCharType="end"/>
    </w:r>
  </w:p>
  <w:p w:rsidR="008B0605" w:rsidRDefault="00984B6B">
    <w:pPr>
      <w:pStyle w:val="Piedepgina"/>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1F" w:rsidRDefault="00FC6F17">
      <w:r>
        <w:separator/>
      </w:r>
    </w:p>
  </w:footnote>
  <w:footnote w:type="continuationSeparator" w:id="0">
    <w:p w:rsidR="00DE721F" w:rsidRDefault="00FC6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B4B1B"/>
    <w:multiLevelType w:val="hybridMultilevel"/>
    <w:tmpl w:val="A48879B6"/>
    <w:lvl w:ilvl="0" w:tplc="5E5A01AC">
      <w:start w:val="1"/>
      <w:numFmt w:val="decimal"/>
      <w:lvlText w:val="%1)"/>
      <w:lvlJc w:val="left"/>
      <w:pPr>
        <w:ind w:left="1500" w:hanging="360"/>
      </w:pPr>
      <w:rPr>
        <w:rFonts w:hint="default"/>
      </w:rPr>
    </w:lvl>
    <w:lvl w:ilvl="1" w:tplc="380A0019" w:tentative="1">
      <w:start w:val="1"/>
      <w:numFmt w:val="lowerLetter"/>
      <w:lvlText w:val="%2."/>
      <w:lvlJc w:val="left"/>
      <w:pPr>
        <w:ind w:left="2220" w:hanging="360"/>
      </w:pPr>
    </w:lvl>
    <w:lvl w:ilvl="2" w:tplc="380A001B" w:tentative="1">
      <w:start w:val="1"/>
      <w:numFmt w:val="lowerRoman"/>
      <w:lvlText w:val="%3."/>
      <w:lvlJc w:val="right"/>
      <w:pPr>
        <w:ind w:left="2940" w:hanging="180"/>
      </w:pPr>
    </w:lvl>
    <w:lvl w:ilvl="3" w:tplc="380A000F" w:tentative="1">
      <w:start w:val="1"/>
      <w:numFmt w:val="decimal"/>
      <w:lvlText w:val="%4."/>
      <w:lvlJc w:val="left"/>
      <w:pPr>
        <w:ind w:left="3660" w:hanging="360"/>
      </w:pPr>
    </w:lvl>
    <w:lvl w:ilvl="4" w:tplc="380A0019" w:tentative="1">
      <w:start w:val="1"/>
      <w:numFmt w:val="lowerLetter"/>
      <w:lvlText w:val="%5."/>
      <w:lvlJc w:val="left"/>
      <w:pPr>
        <w:ind w:left="4380" w:hanging="360"/>
      </w:pPr>
    </w:lvl>
    <w:lvl w:ilvl="5" w:tplc="380A001B" w:tentative="1">
      <w:start w:val="1"/>
      <w:numFmt w:val="lowerRoman"/>
      <w:lvlText w:val="%6."/>
      <w:lvlJc w:val="right"/>
      <w:pPr>
        <w:ind w:left="5100" w:hanging="180"/>
      </w:pPr>
    </w:lvl>
    <w:lvl w:ilvl="6" w:tplc="380A000F" w:tentative="1">
      <w:start w:val="1"/>
      <w:numFmt w:val="decimal"/>
      <w:lvlText w:val="%7."/>
      <w:lvlJc w:val="left"/>
      <w:pPr>
        <w:ind w:left="5820" w:hanging="360"/>
      </w:pPr>
    </w:lvl>
    <w:lvl w:ilvl="7" w:tplc="380A0019" w:tentative="1">
      <w:start w:val="1"/>
      <w:numFmt w:val="lowerLetter"/>
      <w:lvlText w:val="%8."/>
      <w:lvlJc w:val="left"/>
      <w:pPr>
        <w:ind w:left="6540" w:hanging="360"/>
      </w:pPr>
    </w:lvl>
    <w:lvl w:ilvl="8" w:tplc="380A001B" w:tentative="1">
      <w:start w:val="1"/>
      <w:numFmt w:val="lowerRoman"/>
      <w:lvlText w:val="%9."/>
      <w:lvlJc w:val="right"/>
      <w:pPr>
        <w:ind w:left="7260" w:hanging="180"/>
      </w:pPr>
    </w:lvl>
  </w:abstractNum>
  <w:abstractNum w:abstractNumId="1">
    <w:nsid w:val="577D2791"/>
    <w:multiLevelType w:val="multilevel"/>
    <w:tmpl w:val="4E1CE17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B7E14E4"/>
    <w:multiLevelType w:val="multilevel"/>
    <w:tmpl w:val="444A1A58"/>
    <w:lvl w:ilvl="0">
      <w:start w:val="1"/>
      <w:numFmt w:val="decimal"/>
      <w:lvlText w:val="%1)"/>
      <w:lvlJc w:val="left"/>
      <w:pPr>
        <w:tabs>
          <w:tab w:val="num" w:pos="360"/>
        </w:tabs>
        <w:ind w:left="340" w:hanging="340"/>
      </w:pPr>
      <w:rPr>
        <w:rFonts w:ascii="Arial" w:hAnsi="Arial" w:hint="default"/>
        <w:b/>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8A107C1"/>
    <w:multiLevelType w:val="multilevel"/>
    <w:tmpl w:val="0574AB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4F"/>
    <w:rsid w:val="00330727"/>
    <w:rsid w:val="00984B6B"/>
    <w:rsid w:val="009D365A"/>
    <w:rsid w:val="00B13B4F"/>
    <w:rsid w:val="00DE721F"/>
    <w:rsid w:val="00F86359"/>
    <w:rsid w:val="00FC6F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4F"/>
    <w:rPr>
      <w:rFonts w:ascii="Arial" w:hAnsi="Arial"/>
      <w:sz w:val="24"/>
      <w:szCs w:val="24"/>
      <w:lang w:val="es-ES" w:eastAsia="es-ES"/>
    </w:rPr>
  </w:style>
  <w:style w:type="paragraph" w:styleId="Ttulo1">
    <w:name w:val="heading 1"/>
    <w:basedOn w:val="Normal"/>
    <w:next w:val="Normal"/>
    <w:link w:val="Ttulo1Car"/>
    <w:qFormat/>
    <w:rsid w:val="00B13B4F"/>
    <w:pPr>
      <w:keepNext/>
      <w:tabs>
        <w:tab w:val="left" w:pos="-720"/>
      </w:tabs>
      <w:suppressAutoHyphens/>
      <w:jc w:val="center"/>
      <w:outlineLvl w:val="0"/>
    </w:pPr>
    <w:rPr>
      <w:b/>
      <w:spacing w:val="-1"/>
      <w:szCs w:val="20"/>
      <w:lang w:val="es-ES_tradnl"/>
    </w:rPr>
  </w:style>
  <w:style w:type="paragraph" w:styleId="Ttulo2">
    <w:name w:val="heading 2"/>
    <w:basedOn w:val="Normal"/>
    <w:next w:val="Normal"/>
    <w:link w:val="Ttulo2Car"/>
    <w:qFormat/>
    <w:rsid w:val="00B13B4F"/>
    <w:pPr>
      <w:keepNext/>
      <w:spacing w:line="360" w:lineRule="auto"/>
      <w:ind w:firstLine="708"/>
      <w:jc w:val="center"/>
      <w:outlineLvl w:val="1"/>
    </w:pPr>
    <w:rPr>
      <w:b/>
      <w:lang w:val="es-ES_tradnl"/>
    </w:rPr>
  </w:style>
  <w:style w:type="paragraph" w:styleId="Ttulo6">
    <w:name w:val="heading 6"/>
    <w:basedOn w:val="Normal"/>
    <w:next w:val="Normal"/>
    <w:link w:val="Ttulo6Car"/>
    <w:qFormat/>
    <w:rsid w:val="00FC6F17"/>
    <w:pPr>
      <w:keepNext/>
      <w:spacing w:line="360" w:lineRule="auto"/>
      <w:jc w:val="both"/>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3B4F"/>
    <w:rPr>
      <w:rFonts w:ascii="Arial" w:hAnsi="Arial"/>
      <w:b/>
      <w:spacing w:val="-1"/>
      <w:sz w:val="24"/>
      <w:lang w:val="es-ES_tradnl" w:eastAsia="es-ES"/>
    </w:rPr>
  </w:style>
  <w:style w:type="character" w:customStyle="1" w:styleId="Ttulo2Car">
    <w:name w:val="Título 2 Car"/>
    <w:basedOn w:val="Fuentedeprrafopredeter"/>
    <w:link w:val="Ttulo2"/>
    <w:rsid w:val="00B13B4F"/>
    <w:rPr>
      <w:rFonts w:ascii="Arial" w:hAnsi="Arial"/>
      <w:b/>
      <w:sz w:val="24"/>
      <w:szCs w:val="24"/>
      <w:lang w:val="es-ES_tradnl" w:eastAsia="es-ES"/>
    </w:rPr>
  </w:style>
  <w:style w:type="character" w:styleId="Nmerodepgina">
    <w:name w:val="page number"/>
    <w:basedOn w:val="Fuentedeprrafopredeter"/>
    <w:semiHidden/>
    <w:rsid w:val="00B13B4F"/>
  </w:style>
  <w:style w:type="paragraph" w:styleId="Piedepgina">
    <w:name w:val="footer"/>
    <w:basedOn w:val="Normal"/>
    <w:link w:val="PiedepginaCar"/>
    <w:uiPriority w:val="99"/>
    <w:rsid w:val="00B13B4F"/>
    <w:pPr>
      <w:tabs>
        <w:tab w:val="center" w:pos="4252"/>
        <w:tab w:val="right" w:pos="8504"/>
      </w:tabs>
    </w:pPr>
    <w:rPr>
      <w:rFonts w:ascii="Times New Roman" w:hAnsi="Times New Roman"/>
    </w:rPr>
  </w:style>
  <w:style w:type="character" w:customStyle="1" w:styleId="PiedepginaCar">
    <w:name w:val="Pie de página Car"/>
    <w:basedOn w:val="Fuentedeprrafopredeter"/>
    <w:link w:val="Piedepgina"/>
    <w:uiPriority w:val="99"/>
    <w:rsid w:val="00B13B4F"/>
    <w:rPr>
      <w:sz w:val="24"/>
      <w:szCs w:val="24"/>
      <w:lang w:val="es-ES" w:eastAsia="es-ES"/>
    </w:rPr>
  </w:style>
  <w:style w:type="character" w:customStyle="1" w:styleId="Ttulo6Car">
    <w:name w:val="Título 6 Car"/>
    <w:basedOn w:val="Fuentedeprrafopredeter"/>
    <w:link w:val="Ttulo6"/>
    <w:rsid w:val="00FC6F17"/>
    <w:rPr>
      <w:rFonts w:ascii="Arial" w:hAnsi="Arial"/>
      <w:b/>
      <w:sz w:val="24"/>
      <w:lang w:val="es-ES" w:eastAsia="es-ES"/>
    </w:rPr>
  </w:style>
  <w:style w:type="paragraph" w:styleId="Ttulo">
    <w:name w:val="Title"/>
    <w:basedOn w:val="Normal"/>
    <w:link w:val="TtuloCar"/>
    <w:qFormat/>
    <w:rsid w:val="00FC6F17"/>
    <w:pPr>
      <w:tabs>
        <w:tab w:val="left" w:pos="-720"/>
      </w:tabs>
      <w:suppressAutoHyphens/>
      <w:jc w:val="center"/>
    </w:pPr>
    <w:rPr>
      <w:b/>
      <w:spacing w:val="-3"/>
      <w:szCs w:val="20"/>
      <w:lang w:val="es-ES_tradnl"/>
    </w:rPr>
  </w:style>
  <w:style w:type="character" w:customStyle="1" w:styleId="TtuloCar">
    <w:name w:val="Título Car"/>
    <w:basedOn w:val="Fuentedeprrafopredeter"/>
    <w:link w:val="Ttulo"/>
    <w:rsid w:val="00FC6F17"/>
    <w:rPr>
      <w:rFonts w:ascii="Arial" w:hAnsi="Arial"/>
      <w:b/>
      <w:spacing w:val="-3"/>
      <w:sz w:val="24"/>
      <w:lang w:val="es-ES_tradnl" w:eastAsia="es-ES"/>
    </w:rPr>
  </w:style>
  <w:style w:type="paragraph" w:styleId="Encabezado">
    <w:name w:val="header"/>
    <w:basedOn w:val="Normal"/>
    <w:link w:val="EncabezadoCar"/>
    <w:semiHidden/>
    <w:rsid w:val="00FC6F17"/>
    <w:pPr>
      <w:tabs>
        <w:tab w:val="center" w:pos="4252"/>
        <w:tab w:val="right" w:pos="8504"/>
      </w:tabs>
      <w:spacing w:line="360" w:lineRule="auto"/>
      <w:jc w:val="both"/>
    </w:pPr>
    <w:rPr>
      <w:szCs w:val="20"/>
    </w:rPr>
  </w:style>
  <w:style w:type="character" w:customStyle="1" w:styleId="EncabezadoCar">
    <w:name w:val="Encabezado Car"/>
    <w:basedOn w:val="Fuentedeprrafopredeter"/>
    <w:link w:val="Encabezado"/>
    <w:semiHidden/>
    <w:rsid w:val="00FC6F17"/>
    <w:rPr>
      <w:rFonts w:ascii="Arial" w:hAnsi="Arial"/>
      <w:sz w:val="24"/>
      <w:lang w:val="es-ES" w:eastAsia="es-ES"/>
    </w:rPr>
  </w:style>
  <w:style w:type="paragraph" w:styleId="Textoindependiente3">
    <w:name w:val="Body Text 3"/>
    <w:basedOn w:val="Normal"/>
    <w:link w:val="Textoindependiente3Car"/>
    <w:semiHidden/>
    <w:rsid w:val="00FC6F17"/>
    <w:pPr>
      <w:tabs>
        <w:tab w:val="left" w:pos="-720"/>
      </w:tabs>
      <w:suppressAutoHyphens/>
      <w:spacing w:line="360" w:lineRule="auto"/>
      <w:jc w:val="both"/>
    </w:pPr>
    <w:rPr>
      <w:b/>
      <w:szCs w:val="20"/>
    </w:rPr>
  </w:style>
  <w:style w:type="character" w:customStyle="1" w:styleId="Textoindependiente3Car">
    <w:name w:val="Texto independiente 3 Car"/>
    <w:basedOn w:val="Fuentedeprrafopredeter"/>
    <w:link w:val="Textoindependiente3"/>
    <w:semiHidden/>
    <w:rsid w:val="00FC6F17"/>
    <w:rPr>
      <w:rFonts w:ascii="Arial" w:hAnsi="Arial"/>
      <w:b/>
      <w:sz w:val="24"/>
      <w:lang w:val="es-ES" w:eastAsia="es-ES"/>
    </w:rPr>
  </w:style>
  <w:style w:type="paragraph" w:styleId="Textoindependiente">
    <w:name w:val="Body Text"/>
    <w:basedOn w:val="Normal"/>
    <w:link w:val="TextoindependienteCar"/>
    <w:semiHidden/>
    <w:rsid w:val="00FC6F17"/>
    <w:pPr>
      <w:spacing w:line="360" w:lineRule="auto"/>
      <w:jc w:val="both"/>
    </w:pPr>
    <w:rPr>
      <w:spacing w:val="-3"/>
      <w:szCs w:val="20"/>
      <w:lang w:val="es-ES_tradnl"/>
    </w:rPr>
  </w:style>
  <w:style w:type="character" w:customStyle="1" w:styleId="TextoindependienteCar">
    <w:name w:val="Texto independiente Car"/>
    <w:basedOn w:val="Fuentedeprrafopredeter"/>
    <w:link w:val="Textoindependiente"/>
    <w:semiHidden/>
    <w:rsid w:val="00FC6F17"/>
    <w:rPr>
      <w:rFonts w:ascii="Arial" w:hAnsi="Arial"/>
      <w:spacing w:val="-3"/>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4F"/>
    <w:rPr>
      <w:rFonts w:ascii="Arial" w:hAnsi="Arial"/>
      <w:sz w:val="24"/>
      <w:szCs w:val="24"/>
      <w:lang w:val="es-ES" w:eastAsia="es-ES"/>
    </w:rPr>
  </w:style>
  <w:style w:type="paragraph" w:styleId="Ttulo1">
    <w:name w:val="heading 1"/>
    <w:basedOn w:val="Normal"/>
    <w:next w:val="Normal"/>
    <w:link w:val="Ttulo1Car"/>
    <w:qFormat/>
    <w:rsid w:val="00B13B4F"/>
    <w:pPr>
      <w:keepNext/>
      <w:tabs>
        <w:tab w:val="left" w:pos="-720"/>
      </w:tabs>
      <w:suppressAutoHyphens/>
      <w:jc w:val="center"/>
      <w:outlineLvl w:val="0"/>
    </w:pPr>
    <w:rPr>
      <w:b/>
      <w:spacing w:val="-1"/>
      <w:szCs w:val="20"/>
      <w:lang w:val="es-ES_tradnl"/>
    </w:rPr>
  </w:style>
  <w:style w:type="paragraph" w:styleId="Ttulo2">
    <w:name w:val="heading 2"/>
    <w:basedOn w:val="Normal"/>
    <w:next w:val="Normal"/>
    <w:link w:val="Ttulo2Car"/>
    <w:qFormat/>
    <w:rsid w:val="00B13B4F"/>
    <w:pPr>
      <w:keepNext/>
      <w:spacing w:line="360" w:lineRule="auto"/>
      <w:ind w:firstLine="708"/>
      <w:jc w:val="center"/>
      <w:outlineLvl w:val="1"/>
    </w:pPr>
    <w:rPr>
      <w:b/>
      <w:lang w:val="es-ES_tradnl"/>
    </w:rPr>
  </w:style>
  <w:style w:type="paragraph" w:styleId="Ttulo6">
    <w:name w:val="heading 6"/>
    <w:basedOn w:val="Normal"/>
    <w:next w:val="Normal"/>
    <w:link w:val="Ttulo6Car"/>
    <w:qFormat/>
    <w:rsid w:val="00FC6F17"/>
    <w:pPr>
      <w:keepNext/>
      <w:spacing w:line="360" w:lineRule="auto"/>
      <w:jc w:val="both"/>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3B4F"/>
    <w:rPr>
      <w:rFonts w:ascii="Arial" w:hAnsi="Arial"/>
      <w:b/>
      <w:spacing w:val="-1"/>
      <w:sz w:val="24"/>
      <w:lang w:val="es-ES_tradnl" w:eastAsia="es-ES"/>
    </w:rPr>
  </w:style>
  <w:style w:type="character" w:customStyle="1" w:styleId="Ttulo2Car">
    <w:name w:val="Título 2 Car"/>
    <w:basedOn w:val="Fuentedeprrafopredeter"/>
    <w:link w:val="Ttulo2"/>
    <w:rsid w:val="00B13B4F"/>
    <w:rPr>
      <w:rFonts w:ascii="Arial" w:hAnsi="Arial"/>
      <w:b/>
      <w:sz w:val="24"/>
      <w:szCs w:val="24"/>
      <w:lang w:val="es-ES_tradnl" w:eastAsia="es-ES"/>
    </w:rPr>
  </w:style>
  <w:style w:type="character" w:styleId="Nmerodepgina">
    <w:name w:val="page number"/>
    <w:basedOn w:val="Fuentedeprrafopredeter"/>
    <w:semiHidden/>
    <w:rsid w:val="00B13B4F"/>
  </w:style>
  <w:style w:type="paragraph" w:styleId="Piedepgina">
    <w:name w:val="footer"/>
    <w:basedOn w:val="Normal"/>
    <w:link w:val="PiedepginaCar"/>
    <w:uiPriority w:val="99"/>
    <w:rsid w:val="00B13B4F"/>
    <w:pPr>
      <w:tabs>
        <w:tab w:val="center" w:pos="4252"/>
        <w:tab w:val="right" w:pos="8504"/>
      </w:tabs>
    </w:pPr>
    <w:rPr>
      <w:rFonts w:ascii="Times New Roman" w:hAnsi="Times New Roman"/>
    </w:rPr>
  </w:style>
  <w:style w:type="character" w:customStyle="1" w:styleId="PiedepginaCar">
    <w:name w:val="Pie de página Car"/>
    <w:basedOn w:val="Fuentedeprrafopredeter"/>
    <w:link w:val="Piedepgina"/>
    <w:uiPriority w:val="99"/>
    <w:rsid w:val="00B13B4F"/>
    <w:rPr>
      <w:sz w:val="24"/>
      <w:szCs w:val="24"/>
      <w:lang w:val="es-ES" w:eastAsia="es-ES"/>
    </w:rPr>
  </w:style>
  <w:style w:type="character" w:customStyle="1" w:styleId="Ttulo6Car">
    <w:name w:val="Título 6 Car"/>
    <w:basedOn w:val="Fuentedeprrafopredeter"/>
    <w:link w:val="Ttulo6"/>
    <w:rsid w:val="00FC6F17"/>
    <w:rPr>
      <w:rFonts w:ascii="Arial" w:hAnsi="Arial"/>
      <w:b/>
      <w:sz w:val="24"/>
      <w:lang w:val="es-ES" w:eastAsia="es-ES"/>
    </w:rPr>
  </w:style>
  <w:style w:type="paragraph" w:styleId="Ttulo">
    <w:name w:val="Title"/>
    <w:basedOn w:val="Normal"/>
    <w:link w:val="TtuloCar"/>
    <w:qFormat/>
    <w:rsid w:val="00FC6F17"/>
    <w:pPr>
      <w:tabs>
        <w:tab w:val="left" w:pos="-720"/>
      </w:tabs>
      <w:suppressAutoHyphens/>
      <w:jc w:val="center"/>
    </w:pPr>
    <w:rPr>
      <w:b/>
      <w:spacing w:val="-3"/>
      <w:szCs w:val="20"/>
      <w:lang w:val="es-ES_tradnl"/>
    </w:rPr>
  </w:style>
  <w:style w:type="character" w:customStyle="1" w:styleId="TtuloCar">
    <w:name w:val="Título Car"/>
    <w:basedOn w:val="Fuentedeprrafopredeter"/>
    <w:link w:val="Ttulo"/>
    <w:rsid w:val="00FC6F17"/>
    <w:rPr>
      <w:rFonts w:ascii="Arial" w:hAnsi="Arial"/>
      <w:b/>
      <w:spacing w:val="-3"/>
      <w:sz w:val="24"/>
      <w:lang w:val="es-ES_tradnl" w:eastAsia="es-ES"/>
    </w:rPr>
  </w:style>
  <w:style w:type="paragraph" w:styleId="Encabezado">
    <w:name w:val="header"/>
    <w:basedOn w:val="Normal"/>
    <w:link w:val="EncabezadoCar"/>
    <w:semiHidden/>
    <w:rsid w:val="00FC6F17"/>
    <w:pPr>
      <w:tabs>
        <w:tab w:val="center" w:pos="4252"/>
        <w:tab w:val="right" w:pos="8504"/>
      </w:tabs>
      <w:spacing w:line="360" w:lineRule="auto"/>
      <w:jc w:val="both"/>
    </w:pPr>
    <w:rPr>
      <w:szCs w:val="20"/>
    </w:rPr>
  </w:style>
  <w:style w:type="character" w:customStyle="1" w:styleId="EncabezadoCar">
    <w:name w:val="Encabezado Car"/>
    <w:basedOn w:val="Fuentedeprrafopredeter"/>
    <w:link w:val="Encabezado"/>
    <w:semiHidden/>
    <w:rsid w:val="00FC6F17"/>
    <w:rPr>
      <w:rFonts w:ascii="Arial" w:hAnsi="Arial"/>
      <w:sz w:val="24"/>
      <w:lang w:val="es-ES" w:eastAsia="es-ES"/>
    </w:rPr>
  </w:style>
  <w:style w:type="paragraph" w:styleId="Textoindependiente3">
    <w:name w:val="Body Text 3"/>
    <w:basedOn w:val="Normal"/>
    <w:link w:val="Textoindependiente3Car"/>
    <w:semiHidden/>
    <w:rsid w:val="00FC6F17"/>
    <w:pPr>
      <w:tabs>
        <w:tab w:val="left" w:pos="-720"/>
      </w:tabs>
      <w:suppressAutoHyphens/>
      <w:spacing w:line="360" w:lineRule="auto"/>
      <w:jc w:val="both"/>
    </w:pPr>
    <w:rPr>
      <w:b/>
      <w:szCs w:val="20"/>
    </w:rPr>
  </w:style>
  <w:style w:type="character" w:customStyle="1" w:styleId="Textoindependiente3Car">
    <w:name w:val="Texto independiente 3 Car"/>
    <w:basedOn w:val="Fuentedeprrafopredeter"/>
    <w:link w:val="Textoindependiente3"/>
    <w:semiHidden/>
    <w:rsid w:val="00FC6F17"/>
    <w:rPr>
      <w:rFonts w:ascii="Arial" w:hAnsi="Arial"/>
      <w:b/>
      <w:sz w:val="24"/>
      <w:lang w:val="es-ES" w:eastAsia="es-ES"/>
    </w:rPr>
  </w:style>
  <w:style w:type="paragraph" w:styleId="Textoindependiente">
    <w:name w:val="Body Text"/>
    <w:basedOn w:val="Normal"/>
    <w:link w:val="TextoindependienteCar"/>
    <w:semiHidden/>
    <w:rsid w:val="00FC6F17"/>
    <w:pPr>
      <w:spacing w:line="360" w:lineRule="auto"/>
      <w:jc w:val="both"/>
    </w:pPr>
    <w:rPr>
      <w:spacing w:val="-3"/>
      <w:szCs w:val="20"/>
      <w:lang w:val="es-ES_tradnl"/>
    </w:rPr>
  </w:style>
  <w:style w:type="character" w:customStyle="1" w:styleId="TextoindependienteCar">
    <w:name w:val="Texto independiente Car"/>
    <w:basedOn w:val="Fuentedeprrafopredeter"/>
    <w:link w:val="Textoindependiente"/>
    <w:semiHidden/>
    <w:rsid w:val="00FC6F17"/>
    <w:rPr>
      <w:rFonts w:ascii="Arial" w:hAnsi="Arial"/>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1449</Words>
  <Characters>7928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2017-09-01T17:04:00Z</cp:lastPrinted>
  <dcterms:created xsi:type="dcterms:W3CDTF">2017-09-01T16:56:00Z</dcterms:created>
  <dcterms:modified xsi:type="dcterms:W3CDTF">2017-11-20T20:31:00Z</dcterms:modified>
</cp:coreProperties>
</file>