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1F" w:rsidRPr="009A4018" w:rsidRDefault="00F07806">
      <w:pPr>
        <w:pStyle w:val="Ttulo2"/>
        <w:spacing w:line="360" w:lineRule="auto"/>
        <w:jc w:val="right"/>
        <w:rPr>
          <w:rFonts w:ascii="Arial" w:hAnsi="Arial" w:cs="Arial"/>
          <w:b w:val="0"/>
          <w:bCs/>
        </w:rPr>
      </w:pPr>
      <w:bookmarkStart w:id="0" w:name="_GoBack"/>
      <w:bookmarkEnd w:id="0"/>
      <w:r>
        <w:rPr>
          <w:rFonts w:ascii="Arial" w:hAnsi="Arial" w:cs="Arial"/>
          <w:b w:val="0"/>
          <w:bCs/>
        </w:rPr>
        <w:t>Montevideo, 6 de setiembre de 2017</w:t>
      </w:r>
    </w:p>
    <w:p w:rsidR="00A3616F" w:rsidRPr="00C85A8C" w:rsidRDefault="00C85A8C" w:rsidP="004B512B">
      <w:pPr>
        <w:spacing w:line="360" w:lineRule="auto"/>
        <w:jc w:val="both"/>
        <w:rPr>
          <w:rFonts w:ascii="Arial" w:hAnsi="Arial" w:cs="Arial"/>
        </w:rPr>
      </w:pPr>
      <w:r w:rsidRPr="00C85A8C">
        <w:rPr>
          <w:rFonts w:ascii="Arial" w:hAnsi="Arial" w:cs="Arial"/>
        </w:rPr>
        <w:t>Sra. Presidente de la</w:t>
      </w:r>
    </w:p>
    <w:p w:rsidR="00485117" w:rsidRDefault="00B06870" w:rsidP="004B51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Administración Nacional de</w:t>
      </w:r>
    </w:p>
    <w:p w:rsidR="00C85A8C" w:rsidRPr="00C85A8C" w:rsidRDefault="00C85A8C" w:rsidP="004B512B">
      <w:pPr>
        <w:spacing w:line="360" w:lineRule="auto"/>
        <w:jc w:val="both"/>
        <w:rPr>
          <w:rFonts w:ascii="Arial" w:hAnsi="Arial" w:cs="Arial"/>
        </w:rPr>
      </w:pPr>
      <w:r w:rsidRPr="00C85A8C">
        <w:rPr>
          <w:rFonts w:ascii="Arial" w:hAnsi="Arial" w:cs="Arial"/>
        </w:rPr>
        <w:t>Combustible, Alcohol y Portland</w:t>
      </w:r>
    </w:p>
    <w:p w:rsidR="00A3616F" w:rsidRDefault="00C85A8C" w:rsidP="004B51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Quim</w:t>
      </w:r>
      <w:proofErr w:type="spellEnd"/>
      <w:r>
        <w:rPr>
          <w:rFonts w:ascii="Arial" w:hAnsi="Arial" w:cs="Arial"/>
        </w:rPr>
        <w:t>. Marta Jara</w:t>
      </w:r>
    </w:p>
    <w:p w:rsidR="00F07806" w:rsidRDefault="00F07806" w:rsidP="00F0780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E.</w:t>
      </w:r>
      <w:r w:rsidR="00B0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E.</w:t>
      </w:r>
      <w:r w:rsidR="00B0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 2017-17-1-0003160</w:t>
      </w:r>
    </w:p>
    <w:p w:rsidR="00F07806" w:rsidRDefault="00F07806" w:rsidP="00F0780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Entrada Nº 2335/17</w:t>
      </w:r>
    </w:p>
    <w:p w:rsidR="00F07806" w:rsidRDefault="00F07806" w:rsidP="00F0780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Oficio Nº 6637/17</w:t>
      </w:r>
    </w:p>
    <w:p w:rsidR="00E45300" w:rsidRDefault="00E45300" w:rsidP="004B512B">
      <w:pPr>
        <w:spacing w:line="360" w:lineRule="auto"/>
        <w:jc w:val="both"/>
        <w:rPr>
          <w:rFonts w:ascii="Arial" w:hAnsi="Arial" w:cs="Arial"/>
          <w:b/>
        </w:rPr>
      </w:pPr>
    </w:p>
    <w:p w:rsidR="00C32A1E" w:rsidRDefault="004C5862" w:rsidP="00F0780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57159">
        <w:rPr>
          <w:rFonts w:ascii="Arial" w:hAnsi="Arial" w:cs="Arial"/>
        </w:rPr>
        <w:t xml:space="preserve">or </w:t>
      </w:r>
      <w:r w:rsidR="00F30B53">
        <w:rPr>
          <w:rFonts w:ascii="Arial" w:hAnsi="Arial" w:cs="Arial"/>
        </w:rPr>
        <w:t>O</w:t>
      </w:r>
      <w:r w:rsidR="009601E7">
        <w:rPr>
          <w:rFonts w:ascii="Arial" w:hAnsi="Arial" w:cs="Arial"/>
        </w:rPr>
        <w:t xml:space="preserve">ficio 80-2017-D/242737/19 </w:t>
      </w:r>
      <w:r w:rsidR="00A3616F">
        <w:rPr>
          <w:rFonts w:ascii="Arial" w:hAnsi="Arial" w:cs="Arial"/>
        </w:rPr>
        <w:t xml:space="preserve">de fecha </w:t>
      </w:r>
      <w:r w:rsidR="009601E7">
        <w:rPr>
          <w:rFonts w:ascii="Arial" w:hAnsi="Arial" w:cs="Arial"/>
        </w:rPr>
        <w:t>3</w:t>
      </w:r>
      <w:r w:rsidR="00A3616F">
        <w:rPr>
          <w:rFonts w:ascii="Arial" w:hAnsi="Arial" w:cs="Arial"/>
        </w:rPr>
        <w:t xml:space="preserve"> de </w:t>
      </w:r>
      <w:r w:rsidR="009601E7">
        <w:rPr>
          <w:rFonts w:ascii="Arial" w:hAnsi="Arial" w:cs="Arial"/>
        </w:rPr>
        <w:t>mayo</w:t>
      </w:r>
      <w:r w:rsidR="00A3616F">
        <w:rPr>
          <w:rFonts w:ascii="Arial" w:hAnsi="Arial" w:cs="Arial"/>
        </w:rPr>
        <w:t xml:space="preserve"> de 201</w:t>
      </w:r>
      <w:r w:rsidR="009601E7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A57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nos solicitó información relativa a los puntos que se detallan:</w:t>
      </w:r>
    </w:p>
    <w:p w:rsidR="009601E7" w:rsidRPr="00F07806" w:rsidRDefault="009601E7" w:rsidP="009601E7">
      <w:pPr>
        <w:spacing w:line="360" w:lineRule="auto"/>
        <w:jc w:val="both"/>
        <w:rPr>
          <w:rFonts w:ascii="Arial" w:hAnsi="Arial" w:cs="Arial"/>
          <w:szCs w:val="24"/>
        </w:rPr>
      </w:pPr>
      <w:r w:rsidRPr="00C62826">
        <w:rPr>
          <w:rFonts w:ascii="Arial" w:hAnsi="Arial" w:cs="Arial"/>
          <w:b/>
        </w:rPr>
        <w:t>1)</w:t>
      </w:r>
      <w:r w:rsidRPr="00C62826">
        <w:rPr>
          <w:rFonts w:ascii="Arial" w:hAnsi="Arial" w:cs="Arial"/>
          <w:b/>
          <w:szCs w:val="24"/>
        </w:rPr>
        <w:t xml:space="preserve"> </w:t>
      </w:r>
      <w:r w:rsidRPr="00F30B53">
        <w:rPr>
          <w:rFonts w:ascii="Arial" w:hAnsi="Arial" w:cs="Arial"/>
          <w:szCs w:val="24"/>
        </w:rPr>
        <w:t xml:space="preserve">“Según surge de estas actuaciones, se realizó por parte de un equipo de Contadores Auditores pertenecientes </w:t>
      </w:r>
      <w:r w:rsidR="001F7DE2">
        <w:rPr>
          <w:rFonts w:ascii="Arial" w:hAnsi="Arial" w:cs="Arial"/>
          <w:szCs w:val="24"/>
        </w:rPr>
        <w:t xml:space="preserve">a ese Tribunal </w:t>
      </w:r>
      <w:r w:rsidRPr="00F30B53">
        <w:rPr>
          <w:rFonts w:ascii="Arial" w:hAnsi="Arial" w:cs="Arial"/>
          <w:szCs w:val="24"/>
        </w:rPr>
        <w:t>(</w:t>
      </w:r>
      <w:proofErr w:type="spellStart"/>
      <w:r w:rsidRPr="00F30B53">
        <w:rPr>
          <w:rFonts w:ascii="Arial" w:hAnsi="Arial" w:cs="Arial"/>
          <w:szCs w:val="24"/>
        </w:rPr>
        <w:t>Cra.</w:t>
      </w:r>
      <w:r w:rsidR="00485117" w:rsidRPr="00F30B53">
        <w:rPr>
          <w:rFonts w:ascii="Arial" w:hAnsi="Arial" w:cs="Arial"/>
          <w:szCs w:val="24"/>
        </w:rPr>
        <w:t>Isabel</w:t>
      </w:r>
      <w:proofErr w:type="spellEnd"/>
      <w:r w:rsidRPr="00F30B53">
        <w:rPr>
          <w:rFonts w:ascii="Arial" w:hAnsi="Arial" w:cs="Arial"/>
          <w:szCs w:val="24"/>
        </w:rPr>
        <w:t xml:space="preserve"> </w:t>
      </w:r>
      <w:proofErr w:type="spellStart"/>
      <w:r w:rsidRPr="00F30B53">
        <w:rPr>
          <w:rFonts w:ascii="Arial" w:hAnsi="Arial" w:cs="Arial"/>
          <w:szCs w:val="24"/>
        </w:rPr>
        <w:t>Lombide</w:t>
      </w:r>
      <w:proofErr w:type="spellEnd"/>
      <w:r w:rsidRPr="00F30B53">
        <w:rPr>
          <w:rFonts w:ascii="Arial" w:hAnsi="Arial" w:cs="Arial"/>
          <w:szCs w:val="24"/>
        </w:rPr>
        <w:t>)</w:t>
      </w:r>
      <w:r w:rsidR="001F7DE2">
        <w:rPr>
          <w:rFonts w:ascii="Arial" w:hAnsi="Arial" w:cs="Arial"/>
          <w:szCs w:val="24"/>
        </w:rPr>
        <w:t>,</w:t>
      </w:r>
      <w:r w:rsidRPr="00F30B53">
        <w:rPr>
          <w:rFonts w:ascii="Arial" w:hAnsi="Arial" w:cs="Arial"/>
          <w:szCs w:val="24"/>
        </w:rPr>
        <w:t xml:space="preserve"> una auditoría </w:t>
      </w:r>
      <w:r w:rsidR="004C5862" w:rsidRPr="00F30B53">
        <w:rPr>
          <w:rFonts w:ascii="Arial" w:hAnsi="Arial" w:cs="Arial"/>
          <w:szCs w:val="24"/>
        </w:rPr>
        <w:t>durante</w:t>
      </w:r>
      <w:r w:rsidRPr="00F30B53">
        <w:rPr>
          <w:rFonts w:ascii="Arial" w:hAnsi="Arial" w:cs="Arial"/>
          <w:szCs w:val="24"/>
        </w:rPr>
        <w:t xml:space="preserve"> el año 2012, referente a la intervención preventiva en los pagos de los Contadores Delegados de ANCAP en la</w:t>
      </w:r>
      <w:r w:rsidR="00485117" w:rsidRPr="00F30B53">
        <w:rPr>
          <w:rFonts w:ascii="Arial" w:hAnsi="Arial" w:cs="Arial"/>
          <w:szCs w:val="24"/>
        </w:rPr>
        <w:t>s</w:t>
      </w:r>
      <w:r w:rsidRPr="00F30B53">
        <w:rPr>
          <w:rFonts w:ascii="Arial" w:hAnsi="Arial" w:cs="Arial"/>
          <w:szCs w:val="24"/>
        </w:rPr>
        <w:t xml:space="preserve"> planta</w:t>
      </w:r>
      <w:r w:rsidR="00485117" w:rsidRPr="00F30B53">
        <w:rPr>
          <w:rFonts w:ascii="Arial" w:hAnsi="Arial" w:cs="Arial"/>
          <w:szCs w:val="24"/>
        </w:rPr>
        <w:t>s</w:t>
      </w:r>
      <w:r w:rsidRPr="00F30B53">
        <w:rPr>
          <w:rFonts w:ascii="Arial" w:hAnsi="Arial" w:cs="Arial"/>
          <w:szCs w:val="24"/>
        </w:rPr>
        <w:t xml:space="preserve"> de Minas y Paysandú de la Gerencia de </w:t>
      </w:r>
      <w:r w:rsidR="004C5862" w:rsidRPr="00F30B53">
        <w:rPr>
          <w:rFonts w:ascii="Arial" w:hAnsi="Arial" w:cs="Arial"/>
          <w:szCs w:val="24"/>
        </w:rPr>
        <w:t xml:space="preserve">Portland de </w:t>
      </w:r>
      <w:r w:rsidRPr="00F30B53">
        <w:rPr>
          <w:rFonts w:ascii="Arial" w:hAnsi="Arial" w:cs="Arial"/>
          <w:szCs w:val="24"/>
        </w:rPr>
        <w:t xml:space="preserve">ANCAP. En caso afirmativo </w:t>
      </w:r>
      <w:r w:rsidR="00485117" w:rsidRPr="00F30B53">
        <w:rPr>
          <w:rFonts w:ascii="Arial" w:hAnsi="Arial" w:cs="Arial"/>
          <w:szCs w:val="24"/>
        </w:rPr>
        <w:t xml:space="preserve">del </w:t>
      </w:r>
      <w:r w:rsidR="00F07806" w:rsidRPr="00F30B53">
        <w:rPr>
          <w:rFonts w:ascii="Arial" w:hAnsi="Arial" w:cs="Arial"/>
          <w:szCs w:val="24"/>
        </w:rPr>
        <w:t xml:space="preserve">resultado </w:t>
      </w:r>
      <w:r w:rsidR="00485117" w:rsidRPr="00F30B53">
        <w:rPr>
          <w:rFonts w:ascii="Arial" w:hAnsi="Arial" w:cs="Arial"/>
          <w:szCs w:val="24"/>
        </w:rPr>
        <w:t xml:space="preserve">que </w:t>
      </w:r>
      <w:r w:rsidR="00F07806" w:rsidRPr="00F30B53">
        <w:rPr>
          <w:rFonts w:ascii="Arial" w:hAnsi="Arial" w:cs="Arial"/>
          <w:szCs w:val="24"/>
        </w:rPr>
        <w:t>proporcionó la misma</w:t>
      </w:r>
      <w:r w:rsidRPr="00F30B53">
        <w:rPr>
          <w:rFonts w:ascii="Arial" w:hAnsi="Arial" w:cs="Arial"/>
          <w:szCs w:val="24"/>
        </w:rPr>
        <w:t>”</w:t>
      </w:r>
      <w:r w:rsidR="00F07806" w:rsidRPr="00F30B53">
        <w:rPr>
          <w:rFonts w:ascii="Arial" w:hAnsi="Arial" w:cs="Arial"/>
          <w:szCs w:val="24"/>
        </w:rPr>
        <w:t>.</w:t>
      </w:r>
    </w:p>
    <w:p w:rsidR="00F07806" w:rsidRDefault="000D051D" w:rsidP="00F0780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 </w:t>
      </w:r>
      <w:r w:rsidR="009601E7">
        <w:rPr>
          <w:rFonts w:ascii="Arial" w:hAnsi="Arial" w:cs="Arial"/>
          <w:szCs w:val="24"/>
        </w:rPr>
        <w:t>equipo auditor realizó una investigación de los hechos</w:t>
      </w:r>
      <w:r>
        <w:rPr>
          <w:rFonts w:ascii="Arial" w:hAnsi="Arial" w:cs="Arial"/>
          <w:szCs w:val="24"/>
        </w:rPr>
        <w:t>, realizándose las siguientes</w:t>
      </w:r>
      <w:r w:rsidR="009601E7">
        <w:rPr>
          <w:rFonts w:ascii="Arial" w:hAnsi="Arial" w:cs="Arial"/>
          <w:szCs w:val="24"/>
        </w:rPr>
        <w:t xml:space="preserve"> </w:t>
      </w:r>
      <w:r w:rsidR="00F07806">
        <w:rPr>
          <w:rFonts w:ascii="Arial" w:hAnsi="Arial" w:cs="Arial"/>
          <w:szCs w:val="24"/>
        </w:rPr>
        <w:t>acciones:</w:t>
      </w:r>
    </w:p>
    <w:p w:rsidR="000D051D" w:rsidRDefault="000D051D" w:rsidP="00F07806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a)</w:t>
      </w:r>
      <w:r w:rsidRPr="000D051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 fecha 15/11/2012 se labró Acta con preguntas realizadas a la funcionaria Graciela Ochoa en relación al funcionamiento del sistema in</w:t>
      </w:r>
      <w:r w:rsidR="00F07806">
        <w:rPr>
          <w:rFonts w:ascii="Arial" w:hAnsi="Arial" w:cs="Arial"/>
          <w:szCs w:val="24"/>
        </w:rPr>
        <w:t>formático SAP (se adjunta Acta);</w:t>
      </w:r>
    </w:p>
    <w:p w:rsidR="000D051D" w:rsidRDefault="000D051D" w:rsidP="009601E7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b)</w:t>
      </w:r>
      <w:r w:rsidR="009601E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 fecha 16/11/2012 se labró</w:t>
      </w:r>
      <w:r w:rsidR="009601E7">
        <w:rPr>
          <w:rFonts w:ascii="Arial" w:hAnsi="Arial" w:cs="Arial"/>
          <w:szCs w:val="24"/>
        </w:rPr>
        <w:t xml:space="preserve"> </w:t>
      </w:r>
      <w:r w:rsidR="004C5862">
        <w:rPr>
          <w:rFonts w:ascii="Arial" w:hAnsi="Arial" w:cs="Arial"/>
          <w:szCs w:val="24"/>
        </w:rPr>
        <w:t>A</w:t>
      </w:r>
      <w:r w:rsidR="009601E7">
        <w:rPr>
          <w:rFonts w:ascii="Arial" w:hAnsi="Arial" w:cs="Arial"/>
          <w:szCs w:val="24"/>
        </w:rPr>
        <w:t xml:space="preserve">cta </w:t>
      </w:r>
      <w:r>
        <w:rPr>
          <w:rFonts w:ascii="Arial" w:hAnsi="Arial" w:cs="Arial"/>
          <w:szCs w:val="24"/>
        </w:rPr>
        <w:t>con preguntas realizadas</w:t>
      </w:r>
      <w:r w:rsidR="009601E7">
        <w:rPr>
          <w:rFonts w:ascii="Arial" w:hAnsi="Arial" w:cs="Arial"/>
          <w:szCs w:val="24"/>
        </w:rPr>
        <w:t xml:space="preserve"> a la </w:t>
      </w:r>
      <w:proofErr w:type="spellStart"/>
      <w:r w:rsidR="009601E7">
        <w:rPr>
          <w:rFonts w:ascii="Arial" w:hAnsi="Arial" w:cs="Arial"/>
          <w:szCs w:val="24"/>
        </w:rPr>
        <w:t>Cra</w:t>
      </w:r>
      <w:proofErr w:type="spellEnd"/>
      <w:r w:rsidR="009601E7">
        <w:rPr>
          <w:rFonts w:ascii="Arial" w:hAnsi="Arial" w:cs="Arial"/>
          <w:szCs w:val="24"/>
        </w:rPr>
        <w:t xml:space="preserve">. María del Carmen </w:t>
      </w:r>
      <w:proofErr w:type="spellStart"/>
      <w:r w:rsidR="009601E7">
        <w:rPr>
          <w:rFonts w:ascii="Arial" w:hAnsi="Arial" w:cs="Arial"/>
          <w:szCs w:val="24"/>
        </w:rPr>
        <w:t>Giraldez</w:t>
      </w:r>
      <w:proofErr w:type="spellEnd"/>
      <w:r w:rsidR="009601E7">
        <w:rPr>
          <w:rFonts w:ascii="Arial" w:hAnsi="Arial" w:cs="Arial"/>
          <w:szCs w:val="24"/>
        </w:rPr>
        <w:t xml:space="preserve">, Gerente Económico Financiero y a la </w:t>
      </w:r>
      <w:proofErr w:type="spellStart"/>
      <w:r w:rsidR="009601E7">
        <w:rPr>
          <w:rFonts w:ascii="Arial" w:hAnsi="Arial" w:cs="Arial"/>
          <w:szCs w:val="24"/>
        </w:rPr>
        <w:t>Cra</w:t>
      </w:r>
      <w:proofErr w:type="spellEnd"/>
      <w:r w:rsidR="009601E7">
        <w:rPr>
          <w:rFonts w:ascii="Arial" w:hAnsi="Arial" w:cs="Arial"/>
          <w:szCs w:val="24"/>
        </w:rPr>
        <w:t xml:space="preserve">. Laura Campo profesional en la Gerencia de Planificación y Logística  del Negocio Portland en la Planta </w:t>
      </w:r>
      <w:r w:rsidR="00485117">
        <w:rPr>
          <w:rFonts w:ascii="Arial" w:hAnsi="Arial" w:cs="Arial"/>
          <w:szCs w:val="24"/>
        </w:rPr>
        <w:t>M</w:t>
      </w:r>
      <w:r w:rsidR="009601E7">
        <w:rPr>
          <w:rFonts w:ascii="Arial" w:hAnsi="Arial" w:cs="Arial"/>
          <w:szCs w:val="24"/>
        </w:rPr>
        <w:t>anga</w:t>
      </w:r>
      <w:r w:rsidR="004C5862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s</w:t>
      </w:r>
      <w:r w:rsidR="004C5862">
        <w:rPr>
          <w:rFonts w:ascii="Arial" w:hAnsi="Arial" w:cs="Arial"/>
          <w:szCs w:val="24"/>
        </w:rPr>
        <w:t>e adjunta A</w:t>
      </w:r>
      <w:r>
        <w:rPr>
          <w:rFonts w:ascii="Arial" w:hAnsi="Arial" w:cs="Arial"/>
          <w:szCs w:val="24"/>
        </w:rPr>
        <w:t>cta</w:t>
      </w:r>
      <w:r w:rsidR="009601E7">
        <w:rPr>
          <w:rFonts w:ascii="Arial" w:hAnsi="Arial" w:cs="Arial"/>
          <w:szCs w:val="24"/>
        </w:rPr>
        <w:t>)</w:t>
      </w:r>
      <w:r w:rsidR="00F07806">
        <w:rPr>
          <w:rFonts w:ascii="Arial" w:hAnsi="Arial" w:cs="Arial"/>
          <w:szCs w:val="24"/>
        </w:rPr>
        <w:t>;</w:t>
      </w:r>
    </w:p>
    <w:p w:rsidR="0033076A" w:rsidRDefault="000D051D" w:rsidP="009601E7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c)</w:t>
      </w:r>
      <w:r>
        <w:rPr>
          <w:rFonts w:ascii="Arial" w:hAnsi="Arial" w:cs="Arial"/>
          <w:szCs w:val="24"/>
        </w:rPr>
        <w:t xml:space="preserve"> c</w:t>
      </w:r>
      <w:r w:rsidR="009601E7">
        <w:rPr>
          <w:rFonts w:ascii="Arial" w:hAnsi="Arial" w:cs="Arial"/>
          <w:szCs w:val="24"/>
        </w:rPr>
        <w:t xml:space="preserve">on fecha 10/12/2012 </w:t>
      </w:r>
      <w:r>
        <w:rPr>
          <w:rFonts w:ascii="Arial" w:hAnsi="Arial" w:cs="Arial"/>
          <w:szCs w:val="24"/>
        </w:rPr>
        <w:t>se</w:t>
      </w:r>
      <w:r w:rsidR="009601E7">
        <w:rPr>
          <w:rFonts w:ascii="Arial" w:hAnsi="Arial" w:cs="Arial"/>
          <w:szCs w:val="24"/>
        </w:rPr>
        <w:t xml:space="preserve"> concurrió a la pla</w:t>
      </w:r>
      <w:r w:rsidR="00485117">
        <w:rPr>
          <w:rFonts w:ascii="Arial" w:hAnsi="Arial" w:cs="Arial"/>
          <w:szCs w:val="24"/>
        </w:rPr>
        <w:t>nta de Portland de ANCAP en Minas - D</w:t>
      </w:r>
      <w:r w:rsidR="009601E7">
        <w:rPr>
          <w:rFonts w:ascii="Arial" w:hAnsi="Arial" w:cs="Arial"/>
          <w:szCs w:val="24"/>
        </w:rPr>
        <w:t xml:space="preserve">epartamento de </w:t>
      </w:r>
      <w:r w:rsidR="00485117">
        <w:rPr>
          <w:rFonts w:ascii="Arial" w:hAnsi="Arial" w:cs="Arial"/>
          <w:szCs w:val="24"/>
        </w:rPr>
        <w:t>Lavalleja,</w:t>
      </w:r>
      <w:r w:rsidR="009601E7">
        <w:rPr>
          <w:rFonts w:ascii="Arial" w:hAnsi="Arial" w:cs="Arial"/>
          <w:szCs w:val="24"/>
        </w:rPr>
        <w:t xml:space="preserve"> a los efectos de evaluar una muestra de facturas </w:t>
      </w:r>
      <w:r w:rsidR="009601E7">
        <w:rPr>
          <w:rFonts w:ascii="Arial" w:hAnsi="Arial" w:cs="Arial"/>
          <w:szCs w:val="24"/>
        </w:rPr>
        <w:lastRenderedPageBreak/>
        <w:t>aportadas por el Cr</w:t>
      </w:r>
      <w:r>
        <w:rPr>
          <w:rFonts w:ascii="Arial" w:hAnsi="Arial" w:cs="Arial"/>
          <w:szCs w:val="24"/>
        </w:rPr>
        <w:t>.</w:t>
      </w:r>
      <w:r w:rsidR="009601E7">
        <w:rPr>
          <w:rFonts w:ascii="Arial" w:hAnsi="Arial" w:cs="Arial"/>
          <w:szCs w:val="24"/>
        </w:rPr>
        <w:t xml:space="preserve"> Delegado J.</w:t>
      </w:r>
      <w:r>
        <w:rPr>
          <w:rFonts w:ascii="Arial" w:hAnsi="Arial" w:cs="Arial"/>
          <w:szCs w:val="24"/>
        </w:rPr>
        <w:t xml:space="preserve"> </w:t>
      </w:r>
      <w:r w:rsidR="009601E7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é</w:t>
      </w:r>
      <w:r w:rsidR="009601E7">
        <w:rPr>
          <w:rFonts w:ascii="Arial" w:hAnsi="Arial" w:cs="Arial"/>
          <w:szCs w:val="24"/>
        </w:rPr>
        <w:t>rez</w:t>
      </w:r>
      <w:r w:rsidR="0033076A">
        <w:rPr>
          <w:rFonts w:ascii="Arial" w:hAnsi="Arial" w:cs="Arial"/>
          <w:szCs w:val="24"/>
        </w:rPr>
        <w:t>,</w:t>
      </w:r>
      <w:r w:rsidR="009601E7">
        <w:rPr>
          <w:rFonts w:ascii="Arial" w:hAnsi="Arial" w:cs="Arial"/>
          <w:szCs w:val="24"/>
        </w:rPr>
        <w:t xml:space="preserve"> así como otra documentación del período de su actuación </w:t>
      </w:r>
      <w:r w:rsidR="0092281B">
        <w:rPr>
          <w:rFonts w:ascii="Arial" w:hAnsi="Arial" w:cs="Arial"/>
          <w:szCs w:val="24"/>
        </w:rPr>
        <w:t xml:space="preserve">en los </w:t>
      </w:r>
      <w:r w:rsidR="009601E7">
        <w:rPr>
          <w:rFonts w:ascii="Arial" w:hAnsi="Arial" w:cs="Arial"/>
          <w:szCs w:val="24"/>
        </w:rPr>
        <w:t>año</w:t>
      </w:r>
      <w:r w:rsidR="0092281B">
        <w:rPr>
          <w:rFonts w:ascii="Arial" w:hAnsi="Arial" w:cs="Arial"/>
          <w:szCs w:val="24"/>
        </w:rPr>
        <w:t>s</w:t>
      </w:r>
      <w:r w:rsidR="009601E7">
        <w:rPr>
          <w:rFonts w:ascii="Arial" w:hAnsi="Arial" w:cs="Arial"/>
          <w:szCs w:val="24"/>
        </w:rPr>
        <w:t xml:space="preserve"> 2011 y 2012</w:t>
      </w:r>
      <w:r w:rsidR="00F07806">
        <w:rPr>
          <w:rFonts w:ascii="Arial" w:hAnsi="Arial" w:cs="Arial"/>
          <w:szCs w:val="24"/>
        </w:rPr>
        <w:t>;</w:t>
      </w:r>
    </w:p>
    <w:p w:rsidR="009601E7" w:rsidRDefault="0033076A" w:rsidP="009601E7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d)</w:t>
      </w:r>
      <w:r>
        <w:rPr>
          <w:rFonts w:ascii="Arial" w:hAnsi="Arial" w:cs="Arial"/>
          <w:szCs w:val="24"/>
        </w:rPr>
        <w:t xml:space="preserve"> </w:t>
      </w:r>
      <w:r w:rsidR="009601E7">
        <w:rPr>
          <w:rFonts w:ascii="Arial" w:hAnsi="Arial" w:cs="Arial"/>
          <w:szCs w:val="24"/>
        </w:rPr>
        <w:t xml:space="preserve">como resultado de las </w:t>
      </w:r>
      <w:r>
        <w:rPr>
          <w:rFonts w:ascii="Arial" w:hAnsi="Arial" w:cs="Arial"/>
          <w:szCs w:val="24"/>
        </w:rPr>
        <w:t>Actas mencionadas,</w:t>
      </w:r>
      <w:r w:rsidR="009601E7">
        <w:rPr>
          <w:rFonts w:ascii="Arial" w:hAnsi="Arial" w:cs="Arial"/>
          <w:szCs w:val="24"/>
        </w:rPr>
        <w:t xml:space="preserve"> y de la visita realizada </w:t>
      </w:r>
      <w:r>
        <w:rPr>
          <w:rFonts w:ascii="Arial" w:hAnsi="Arial" w:cs="Arial"/>
          <w:szCs w:val="24"/>
        </w:rPr>
        <w:t xml:space="preserve"> a la Planta de Portland en Minas, </w:t>
      </w:r>
      <w:r w:rsidR="009601E7">
        <w:rPr>
          <w:rFonts w:ascii="Arial" w:hAnsi="Arial" w:cs="Arial"/>
          <w:szCs w:val="24"/>
        </w:rPr>
        <w:t xml:space="preserve">se concluye con lo expresado en el </w:t>
      </w:r>
      <w:r w:rsidR="0092281B">
        <w:rPr>
          <w:rFonts w:ascii="Arial" w:hAnsi="Arial" w:cs="Arial"/>
          <w:szCs w:val="24"/>
        </w:rPr>
        <w:t>O</w:t>
      </w:r>
      <w:r w:rsidR="009601E7">
        <w:rPr>
          <w:rFonts w:ascii="Arial" w:hAnsi="Arial" w:cs="Arial"/>
          <w:szCs w:val="24"/>
        </w:rPr>
        <w:t>ficio N° 6058/</w:t>
      </w:r>
      <w:r w:rsidR="00F07806">
        <w:rPr>
          <w:rFonts w:ascii="Arial" w:hAnsi="Arial" w:cs="Arial"/>
          <w:szCs w:val="24"/>
        </w:rPr>
        <w:t>20</w:t>
      </w:r>
      <w:r w:rsidR="009601E7">
        <w:rPr>
          <w:rFonts w:ascii="Arial" w:hAnsi="Arial" w:cs="Arial"/>
          <w:szCs w:val="24"/>
        </w:rPr>
        <w:t xml:space="preserve">13 de </w:t>
      </w:r>
      <w:r w:rsidR="00F07806">
        <w:rPr>
          <w:rFonts w:ascii="Arial" w:hAnsi="Arial" w:cs="Arial"/>
          <w:szCs w:val="24"/>
        </w:rPr>
        <w:t>0</w:t>
      </w:r>
      <w:r w:rsidR="009601E7">
        <w:rPr>
          <w:rFonts w:ascii="Arial" w:hAnsi="Arial" w:cs="Arial"/>
          <w:szCs w:val="24"/>
        </w:rPr>
        <w:t>5/</w:t>
      </w:r>
      <w:r w:rsidR="00F07806">
        <w:rPr>
          <w:rFonts w:ascii="Arial" w:hAnsi="Arial" w:cs="Arial"/>
          <w:szCs w:val="24"/>
        </w:rPr>
        <w:t>0</w:t>
      </w:r>
      <w:r w:rsidR="009601E7">
        <w:rPr>
          <w:rFonts w:ascii="Arial" w:hAnsi="Arial" w:cs="Arial"/>
          <w:szCs w:val="24"/>
        </w:rPr>
        <w:t>8/13</w:t>
      </w:r>
      <w:r>
        <w:rPr>
          <w:rFonts w:ascii="Arial" w:hAnsi="Arial" w:cs="Arial"/>
          <w:szCs w:val="24"/>
        </w:rPr>
        <w:t xml:space="preserve"> de este Tribunal (se adjunta</w:t>
      </w:r>
      <w:r w:rsidR="0092281B">
        <w:rPr>
          <w:rFonts w:ascii="Arial" w:hAnsi="Arial" w:cs="Arial"/>
          <w:szCs w:val="24"/>
        </w:rPr>
        <w:t xml:space="preserve"> Oficio</w:t>
      </w:r>
      <w:r w:rsidR="00F07806">
        <w:rPr>
          <w:rFonts w:ascii="Arial" w:hAnsi="Arial" w:cs="Arial"/>
          <w:szCs w:val="24"/>
        </w:rPr>
        <w:t>);</w:t>
      </w:r>
    </w:p>
    <w:p w:rsidR="009601E7" w:rsidRPr="00F30B53" w:rsidRDefault="009601E7" w:rsidP="00F07806">
      <w:pPr>
        <w:spacing w:line="360" w:lineRule="auto"/>
        <w:jc w:val="both"/>
        <w:rPr>
          <w:rFonts w:ascii="Arial" w:hAnsi="Arial" w:cs="Arial"/>
          <w:szCs w:val="24"/>
        </w:rPr>
      </w:pPr>
      <w:r w:rsidRPr="00C62826">
        <w:rPr>
          <w:rFonts w:ascii="Arial" w:hAnsi="Arial" w:cs="Arial"/>
          <w:b/>
          <w:szCs w:val="24"/>
        </w:rPr>
        <w:t xml:space="preserve">2) </w:t>
      </w:r>
      <w:r w:rsidRPr="00F30B53">
        <w:rPr>
          <w:rFonts w:ascii="Arial" w:hAnsi="Arial" w:cs="Arial"/>
          <w:szCs w:val="24"/>
        </w:rPr>
        <w:t xml:space="preserve">“Si se realizó algún tipo de </w:t>
      </w:r>
      <w:r w:rsidR="0033076A" w:rsidRPr="00F30B53">
        <w:rPr>
          <w:rFonts w:ascii="Arial" w:hAnsi="Arial" w:cs="Arial"/>
          <w:szCs w:val="24"/>
        </w:rPr>
        <w:t>o</w:t>
      </w:r>
      <w:r w:rsidRPr="00F30B53">
        <w:rPr>
          <w:rFonts w:ascii="Arial" w:hAnsi="Arial" w:cs="Arial"/>
          <w:szCs w:val="24"/>
        </w:rPr>
        <w:t xml:space="preserve">bservaciones por parte del o los Contadores </w:t>
      </w:r>
      <w:r w:rsidR="0033076A" w:rsidRPr="00F30B53">
        <w:rPr>
          <w:rFonts w:ascii="Arial" w:hAnsi="Arial" w:cs="Arial"/>
          <w:szCs w:val="24"/>
        </w:rPr>
        <w:t>A</w:t>
      </w:r>
      <w:r w:rsidRPr="00F30B53">
        <w:rPr>
          <w:rFonts w:ascii="Arial" w:hAnsi="Arial" w:cs="Arial"/>
          <w:szCs w:val="24"/>
        </w:rPr>
        <w:t>uditores intervinientes</w:t>
      </w:r>
      <w:r w:rsidR="00F07806" w:rsidRPr="00F30B53">
        <w:rPr>
          <w:rFonts w:ascii="Arial" w:hAnsi="Arial" w:cs="Arial"/>
          <w:szCs w:val="24"/>
        </w:rPr>
        <w:t>,</w:t>
      </w:r>
      <w:r w:rsidRPr="00F30B53">
        <w:rPr>
          <w:rFonts w:ascii="Arial" w:hAnsi="Arial" w:cs="Arial"/>
          <w:szCs w:val="24"/>
        </w:rPr>
        <w:t xml:space="preserve"> en referencia a la actuación de los </w:t>
      </w:r>
      <w:r w:rsidR="0033076A" w:rsidRPr="00F30B53">
        <w:rPr>
          <w:rFonts w:ascii="Arial" w:hAnsi="Arial" w:cs="Arial"/>
          <w:szCs w:val="24"/>
        </w:rPr>
        <w:t>C</w:t>
      </w:r>
      <w:r w:rsidRPr="00F30B53">
        <w:rPr>
          <w:rFonts w:ascii="Arial" w:hAnsi="Arial" w:cs="Arial"/>
          <w:szCs w:val="24"/>
        </w:rPr>
        <w:t xml:space="preserve">ontadores </w:t>
      </w:r>
      <w:r w:rsidR="0033076A" w:rsidRPr="00F30B53">
        <w:rPr>
          <w:rFonts w:ascii="Arial" w:hAnsi="Arial" w:cs="Arial"/>
          <w:szCs w:val="24"/>
        </w:rPr>
        <w:t>D</w:t>
      </w:r>
      <w:r w:rsidRPr="00F30B53">
        <w:rPr>
          <w:rFonts w:ascii="Arial" w:hAnsi="Arial" w:cs="Arial"/>
          <w:szCs w:val="24"/>
        </w:rPr>
        <w:t xml:space="preserve">elegados que realizaban la tarea de intervención de los pagos en las mencionadas </w:t>
      </w:r>
      <w:r w:rsidR="0033076A" w:rsidRPr="00F30B53">
        <w:rPr>
          <w:rFonts w:ascii="Arial" w:hAnsi="Arial" w:cs="Arial"/>
          <w:szCs w:val="24"/>
        </w:rPr>
        <w:t>P</w:t>
      </w:r>
      <w:r w:rsidRPr="00F30B53">
        <w:rPr>
          <w:rFonts w:ascii="Arial" w:hAnsi="Arial" w:cs="Arial"/>
          <w:szCs w:val="24"/>
        </w:rPr>
        <w:t>lantas de ANCAP”.</w:t>
      </w:r>
    </w:p>
    <w:p w:rsidR="009601E7" w:rsidRDefault="0033076A" w:rsidP="00F0780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</w:t>
      </w:r>
      <w:r w:rsidR="009601E7">
        <w:rPr>
          <w:rFonts w:ascii="Arial" w:hAnsi="Arial" w:cs="Arial"/>
          <w:szCs w:val="24"/>
        </w:rPr>
        <w:t xml:space="preserve"> equipo auditor</w:t>
      </w:r>
      <w:r>
        <w:rPr>
          <w:rFonts w:ascii="Arial" w:hAnsi="Arial" w:cs="Arial"/>
          <w:szCs w:val="24"/>
        </w:rPr>
        <w:t xml:space="preserve"> </w:t>
      </w:r>
      <w:r w:rsidR="009601E7">
        <w:rPr>
          <w:rFonts w:ascii="Arial" w:hAnsi="Arial" w:cs="Arial"/>
          <w:szCs w:val="24"/>
        </w:rPr>
        <w:t xml:space="preserve">realizó un relevamiento de información y de verificación de la actuación de los contadores delegados, lo que concluyó con el </w:t>
      </w:r>
      <w:r w:rsidR="0092281B">
        <w:rPr>
          <w:rFonts w:ascii="Arial" w:hAnsi="Arial" w:cs="Arial"/>
          <w:szCs w:val="24"/>
        </w:rPr>
        <w:t>O</w:t>
      </w:r>
      <w:r w:rsidR="009601E7">
        <w:rPr>
          <w:rFonts w:ascii="Arial" w:hAnsi="Arial" w:cs="Arial"/>
          <w:szCs w:val="24"/>
        </w:rPr>
        <w:t>ficio 6058/13 de fecha 5/8/2013</w:t>
      </w:r>
      <w:r w:rsidR="009D5BF5">
        <w:rPr>
          <w:rFonts w:ascii="Arial" w:hAnsi="Arial" w:cs="Arial"/>
          <w:szCs w:val="24"/>
        </w:rPr>
        <w:t xml:space="preserve"> mencionado en el punto anterior.</w:t>
      </w:r>
    </w:p>
    <w:p w:rsidR="009601E7" w:rsidRPr="00C62826" w:rsidRDefault="009601E7" w:rsidP="009601E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2826">
        <w:rPr>
          <w:rFonts w:ascii="Arial" w:hAnsi="Arial" w:cs="Arial"/>
          <w:b/>
          <w:szCs w:val="24"/>
        </w:rPr>
        <w:t xml:space="preserve">3) </w:t>
      </w:r>
      <w:r w:rsidR="009D5BF5" w:rsidRPr="00F30B53">
        <w:rPr>
          <w:rFonts w:ascii="Arial" w:hAnsi="Arial" w:cs="Arial"/>
          <w:szCs w:val="24"/>
        </w:rPr>
        <w:t>“</w:t>
      </w:r>
      <w:r w:rsidRPr="00F30B53">
        <w:rPr>
          <w:rFonts w:ascii="Arial" w:hAnsi="Arial" w:cs="Arial"/>
          <w:szCs w:val="24"/>
        </w:rPr>
        <w:t>Según surge de las actuaciones, se realizó una consulta en el año 2012</w:t>
      </w:r>
      <w:r w:rsidR="009D5BF5" w:rsidRPr="00F30B53">
        <w:rPr>
          <w:rFonts w:ascii="Arial" w:hAnsi="Arial" w:cs="Arial"/>
          <w:szCs w:val="24"/>
        </w:rPr>
        <w:t>,</w:t>
      </w:r>
      <w:r w:rsidRPr="00F30B53">
        <w:rPr>
          <w:rFonts w:ascii="Arial" w:hAnsi="Arial" w:cs="Arial"/>
          <w:szCs w:val="24"/>
        </w:rPr>
        <w:t xml:space="preserve"> por parte de los </w:t>
      </w:r>
      <w:r w:rsidR="009D5BF5" w:rsidRPr="00F30B53">
        <w:rPr>
          <w:rFonts w:ascii="Arial" w:hAnsi="Arial" w:cs="Arial"/>
          <w:szCs w:val="24"/>
        </w:rPr>
        <w:t>Contadores D</w:t>
      </w:r>
      <w:r w:rsidRPr="00F30B53">
        <w:rPr>
          <w:rFonts w:ascii="Arial" w:hAnsi="Arial" w:cs="Arial"/>
          <w:szCs w:val="24"/>
        </w:rPr>
        <w:t>elegados de ANCAP, con refere</w:t>
      </w:r>
      <w:r w:rsidR="009D5BF5" w:rsidRPr="00F30B53">
        <w:rPr>
          <w:rFonts w:ascii="Arial" w:hAnsi="Arial" w:cs="Arial"/>
          <w:szCs w:val="24"/>
        </w:rPr>
        <w:t>ncia a có</w:t>
      </w:r>
      <w:r w:rsidRPr="00F30B53">
        <w:rPr>
          <w:rFonts w:ascii="Arial" w:hAnsi="Arial" w:cs="Arial"/>
          <w:szCs w:val="24"/>
        </w:rPr>
        <w:t xml:space="preserve">mo proceder a </w:t>
      </w:r>
      <w:r w:rsidR="009D5BF5" w:rsidRPr="00F30B53">
        <w:rPr>
          <w:rFonts w:ascii="Arial" w:hAnsi="Arial" w:cs="Arial"/>
          <w:szCs w:val="24"/>
        </w:rPr>
        <w:t>i</w:t>
      </w:r>
      <w:r w:rsidRPr="00F30B53">
        <w:rPr>
          <w:rFonts w:ascii="Arial" w:hAnsi="Arial" w:cs="Arial"/>
          <w:szCs w:val="24"/>
        </w:rPr>
        <w:t>ntervenir preventivamente en l</w:t>
      </w:r>
      <w:r w:rsidR="009D5BF5" w:rsidRPr="00F30B53">
        <w:rPr>
          <w:rFonts w:ascii="Arial" w:hAnsi="Arial" w:cs="Arial"/>
          <w:szCs w:val="24"/>
        </w:rPr>
        <w:t>os</w:t>
      </w:r>
      <w:r w:rsidRPr="00F30B53">
        <w:rPr>
          <w:rFonts w:ascii="Arial" w:hAnsi="Arial" w:cs="Arial"/>
          <w:szCs w:val="24"/>
        </w:rPr>
        <w:t xml:space="preserve"> pago</w:t>
      </w:r>
      <w:r w:rsidR="009D5BF5" w:rsidRPr="00F30B53">
        <w:rPr>
          <w:rFonts w:ascii="Arial" w:hAnsi="Arial" w:cs="Arial"/>
          <w:szCs w:val="24"/>
        </w:rPr>
        <w:t>s</w:t>
      </w:r>
      <w:r w:rsidRPr="00F30B53">
        <w:rPr>
          <w:rFonts w:ascii="Arial" w:hAnsi="Arial" w:cs="Arial"/>
          <w:szCs w:val="24"/>
        </w:rPr>
        <w:t xml:space="preserve"> de las </w:t>
      </w:r>
      <w:r w:rsidR="009D5BF5" w:rsidRPr="00F30B53">
        <w:rPr>
          <w:rFonts w:ascii="Arial" w:hAnsi="Arial" w:cs="Arial"/>
          <w:szCs w:val="24"/>
        </w:rPr>
        <w:t>F</w:t>
      </w:r>
      <w:r w:rsidRPr="00F30B53">
        <w:rPr>
          <w:rFonts w:ascii="Arial" w:hAnsi="Arial" w:cs="Arial"/>
          <w:szCs w:val="24"/>
        </w:rPr>
        <w:t>acturas</w:t>
      </w:r>
      <w:r w:rsidR="009D5BF5" w:rsidRPr="00F30B53">
        <w:rPr>
          <w:rFonts w:ascii="Arial" w:hAnsi="Arial" w:cs="Arial"/>
          <w:szCs w:val="24"/>
        </w:rPr>
        <w:t xml:space="preserve"> de compras de las mencionadas P</w:t>
      </w:r>
      <w:r w:rsidRPr="00F30B53">
        <w:rPr>
          <w:rFonts w:ascii="Arial" w:hAnsi="Arial" w:cs="Arial"/>
          <w:szCs w:val="24"/>
        </w:rPr>
        <w:t xml:space="preserve">lantas de </w:t>
      </w:r>
      <w:r w:rsidR="00F07806" w:rsidRPr="00F30B53">
        <w:rPr>
          <w:rFonts w:ascii="Arial" w:hAnsi="Arial" w:cs="Arial"/>
          <w:szCs w:val="24"/>
        </w:rPr>
        <w:t xml:space="preserve">Portland de ANCAP, en </w:t>
      </w:r>
      <w:r w:rsidRPr="00F30B53">
        <w:rPr>
          <w:rFonts w:ascii="Arial" w:hAnsi="Arial" w:cs="Arial"/>
          <w:szCs w:val="24"/>
        </w:rPr>
        <w:t xml:space="preserve">Minas </w:t>
      </w:r>
      <w:r w:rsidR="00F07806" w:rsidRPr="00F30B53">
        <w:rPr>
          <w:rFonts w:ascii="Arial" w:hAnsi="Arial" w:cs="Arial"/>
          <w:szCs w:val="24"/>
        </w:rPr>
        <w:t>y Paysandú</w:t>
      </w:r>
      <w:r w:rsidR="009D5BF5" w:rsidRPr="00F30B53">
        <w:rPr>
          <w:rFonts w:ascii="Arial" w:hAnsi="Arial" w:cs="Arial"/>
          <w:szCs w:val="24"/>
        </w:rPr>
        <w:t>, ya que las mismas eran escaneadas desde las referidas Plantas para su intervención</w:t>
      </w:r>
      <w:r w:rsidR="00485117" w:rsidRPr="00F30B53">
        <w:rPr>
          <w:rFonts w:ascii="Arial" w:hAnsi="Arial" w:cs="Arial"/>
          <w:szCs w:val="24"/>
        </w:rPr>
        <w:t>,</w:t>
      </w:r>
      <w:r w:rsidR="009D5BF5" w:rsidRPr="00F30B53">
        <w:rPr>
          <w:rFonts w:ascii="Arial" w:hAnsi="Arial" w:cs="Arial"/>
          <w:szCs w:val="24"/>
        </w:rPr>
        <w:t xml:space="preserve"> </w:t>
      </w:r>
      <w:r w:rsidR="00485117" w:rsidRPr="00F30B53">
        <w:rPr>
          <w:rFonts w:ascii="Arial" w:hAnsi="Arial" w:cs="Arial"/>
          <w:szCs w:val="24"/>
        </w:rPr>
        <w:t>c</w:t>
      </w:r>
      <w:r w:rsidR="009D5BF5" w:rsidRPr="00F30B53">
        <w:rPr>
          <w:rFonts w:ascii="Arial" w:hAnsi="Arial" w:cs="Arial"/>
          <w:szCs w:val="24"/>
        </w:rPr>
        <w:t>uál fue la respuesta que brin</w:t>
      </w:r>
      <w:r w:rsidR="00F07806" w:rsidRPr="00F30B53">
        <w:rPr>
          <w:rFonts w:ascii="Arial" w:hAnsi="Arial" w:cs="Arial"/>
          <w:szCs w:val="24"/>
        </w:rPr>
        <w:t>dó ese Tribunal a esta consulta</w:t>
      </w:r>
      <w:r w:rsidRPr="00F30B53">
        <w:rPr>
          <w:rFonts w:ascii="Arial" w:hAnsi="Arial" w:cs="Arial"/>
          <w:szCs w:val="24"/>
        </w:rPr>
        <w:t>”</w:t>
      </w:r>
      <w:r w:rsidR="00F07806" w:rsidRPr="00F30B53">
        <w:rPr>
          <w:rFonts w:ascii="Arial" w:hAnsi="Arial" w:cs="Arial"/>
          <w:szCs w:val="24"/>
        </w:rPr>
        <w:t>.</w:t>
      </w:r>
    </w:p>
    <w:p w:rsidR="009601E7" w:rsidRDefault="0092281B" w:rsidP="00F0780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relación a la</w:t>
      </w:r>
      <w:r w:rsidR="009601E7">
        <w:rPr>
          <w:rFonts w:ascii="Arial" w:hAnsi="Arial" w:cs="Arial"/>
          <w:szCs w:val="24"/>
        </w:rPr>
        <w:t xml:space="preserve"> consulta citada</w:t>
      </w:r>
      <w:r>
        <w:rPr>
          <w:rFonts w:ascii="Arial" w:hAnsi="Arial" w:cs="Arial"/>
          <w:szCs w:val="24"/>
        </w:rPr>
        <w:t>, se dictó R</w:t>
      </w:r>
      <w:r w:rsidR="009601E7">
        <w:rPr>
          <w:rFonts w:ascii="Arial" w:hAnsi="Arial" w:cs="Arial"/>
          <w:szCs w:val="24"/>
        </w:rPr>
        <w:t xml:space="preserve">esolución </w:t>
      </w:r>
      <w:r>
        <w:rPr>
          <w:rFonts w:ascii="Arial" w:hAnsi="Arial" w:cs="Arial"/>
          <w:szCs w:val="24"/>
        </w:rPr>
        <w:t>adoptada por el tribunal de Cuentas de</w:t>
      </w:r>
      <w:r w:rsidR="009601E7">
        <w:rPr>
          <w:rFonts w:ascii="Arial" w:hAnsi="Arial" w:cs="Arial"/>
          <w:szCs w:val="24"/>
        </w:rPr>
        <w:t xml:space="preserve"> fecha 21/11/2012</w:t>
      </w:r>
      <w:r>
        <w:rPr>
          <w:rFonts w:ascii="Arial" w:hAnsi="Arial" w:cs="Arial"/>
          <w:szCs w:val="24"/>
        </w:rPr>
        <w:t>,</w:t>
      </w:r>
      <w:r w:rsidR="009601E7">
        <w:rPr>
          <w:rFonts w:ascii="Arial" w:hAnsi="Arial" w:cs="Arial"/>
          <w:szCs w:val="24"/>
        </w:rPr>
        <w:t xml:space="preserve"> y en la misma se expresa que jurídicamente tanto los gastos como los pagos deben comprobarse en forma fehaciente, y que los Contadores Delegados en ANCAP, a efectos de intervenir los gastos y los pagos, deberán constatar la documentación original o fotocopia autenticada por Escribano Público, a efectos de comprobar la existencia de los mismos, en caso de tratarse de copias autenticadas, se deberán adoptar las medidas a efectos de evitar la du</w:t>
      </w:r>
      <w:r>
        <w:rPr>
          <w:rFonts w:ascii="Arial" w:hAnsi="Arial" w:cs="Arial"/>
          <w:szCs w:val="24"/>
        </w:rPr>
        <w:t>plicación del pago. (Se adjunta Resolución</w:t>
      </w:r>
      <w:r w:rsidR="009601E7">
        <w:rPr>
          <w:rFonts w:ascii="Arial" w:hAnsi="Arial" w:cs="Arial"/>
          <w:szCs w:val="24"/>
        </w:rPr>
        <w:t>).</w:t>
      </w:r>
    </w:p>
    <w:p w:rsidR="009601E7" w:rsidRPr="00C62826" w:rsidRDefault="009601E7" w:rsidP="009601E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2826">
        <w:rPr>
          <w:rFonts w:ascii="Arial" w:hAnsi="Arial" w:cs="Arial"/>
          <w:b/>
          <w:szCs w:val="24"/>
        </w:rPr>
        <w:t xml:space="preserve">4) </w:t>
      </w:r>
      <w:r w:rsidR="003B1B2A" w:rsidRPr="00F30B53">
        <w:rPr>
          <w:rFonts w:ascii="Arial" w:hAnsi="Arial" w:cs="Arial"/>
          <w:szCs w:val="24"/>
        </w:rPr>
        <w:t>“</w:t>
      </w:r>
      <w:r w:rsidRPr="00F30B53">
        <w:rPr>
          <w:rFonts w:ascii="Arial" w:hAnsi="Arial" w:cs="Arial"/>
          <w:szCs w:val="24"/>
        </w:rPr>
        <w:t>Cual es la normativa a la que deben ceñirse los Contadores Delegados que intervienen</w:t>
      </w:r>
      <w:r w:rsidR="003B1B2A" w:rsidRPr="00F30B53">
        <w:rPr>
          <w:rFonts w:ascii="Arial" w:hAnsi="Arial" w:cs="Arial"/>
          <w:szCs w:val="24"/>
        </w:rPr>
        <w:t xml:space="preserve"> preventivamente ya sea en los G</w:t>
      </w:r>
      <w:r w:rsidRPr="00F30B53">
        <w:rPr>
          <w:rFonts w:ascii="Arial" w:hAnsi="Arial" w:cs="Arial"/>
          <w:szCs w:val="24"/>
        </w:rPr>
        <w:t>astos como en los pagos de ANCAP de la</w:t>
      </w:r>
      <w:r w:rsidR="003B1B2A" w:rsidRPr="00F30B53">
        <w:rPr>
          <w:rFonts w:ascii="Arial" w:hAnsi="Arial" w:cs="Arial"/>
          <w:szCs w:val="24"/>
        </w:rPr>
        <w:t>s</w:t>
      </w:r>
      <w:r w:rsidRPr="00F30B53">
        <w:rPr>
          <w:rFonts w:ascii="Arial" w:hAnsi="Arial" w:cs="Arial"/>
          <w:szCs w:val="24"/>
        </w:rPr>
        <w:t xml:space="preserve"> referida</w:t>
      </w:r>
      <w:r w:rsidR="003B1B2A" w:rsidRPr="00F30B53">
        <w:rPr>
          <w:rFonts w:ascii="Arial" w:hAnsi="Arial" w:cs="Arial"/>
          <w:szCs w:val="24"/>
        </w:rPr>
        <w:t>s</w:t>
      </w:r>
      <w:r w:rsidRPr="00F30B53">
        <w:rPr>
          <w:rFonts w:ascii="Arial" w:hAnsi="Arial" w:cs="Arial"/>
          <w:szCs w:val="24"/>
        </w:rPr>
        <w:t xml:space="preserve"> Planta</w:t>
      </w:r>
      <w:r w:rsidR="003B1B2A" w:rsidRPr="00F30B53">
        <w:rPr>
          <w:rFonts w:ascii="Arial" w:hAnsi="Arial" w:cs="Arial"/>
          <w:szCs w:val="24"/>
        </w:rPr>
        <w:t>s</w:t>
      </w:r>
      <w:r w:rsidRPr="00F30B53">
        <w:rPr>
          <w:rFonts w:ascii="Arial" w:hAnsi="Arial" w:cs="Arial"/>
          <w:szCs w:val="24"/>
        </w:rPr>
        <w:t xml:space="preserve"> y si esa normativa sigue vigente al día de hoy”.</w:t>
      </w:r>
    </w:p>
    <w:p w:rsidR="003B1B2A" w:rsidRDefault="003B1B2A" w:rsidP="00F0780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Los Contadores Delegados al realizar la intervención preventiva deberán ceñir su actuación a lo dispuesto por la Ordenanza N° 64 de este Tribunal de 2 de marzo de 1988, la </w:t>
      </w:r>
      <w:r w:rsidR="006F7DF5">
        <w:rPr>
          <w:rFonts w:ascii="Arial" w:hAnsi="Arial" w:cs="Arial"/>
          <w:szCs w:val="24"/>
        </w:rPr>
        <w:t>Ordenanza</w:t>
      </w:r>
      <w:r>
        <w:rPr>
          <w:rFonts w:ascii="Arial" w:hAnsi="Arial" w:cs="Arial"/>
          <w:szCs w:val="24"/>
        </w:rPr>
        <w:t xml:space="preserve"> N° 68 de 27 de agosto de 1992 y la Ordenanza N° 72 de 23 de mayo de 1996. Asimismo deberán estar a lo dispuesto por el TOCAF y las diversas disposiciones aplicables, entre las que se señalan:</w:t>
      </w:r>
    </w:p>
    <w:p w:rsidR="00F07806" w:rsidRDefault="003B1B2A" w:rsidP="003B1B2A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a)</w:t>
      </w:r>
      <w:r>
        <w:rPr>
          <w:rFonts w:ascii="Arial" w:hAnsi="Arial" w:cs="Arial"/>
          <w:szCs w:val="24"/>
        </w:rPr>
        <w:t xml:space="preserve"> las que atañen a los orde</w:t>
      </w:r>
      <w:r w:rsidR="00F07806">
        <w:rPr>
          <w:rFonts w:ascii="Arial" w:hAnsi="Arial" w:cs="Arial"/>
          <w:szCs w:val="24"/>
        </w:rPr>
        <w:t>nadores de gastos competentes (Arts.</w:t>
      </w:r>
      <w:r>
        <w:rPr>
          <w:rFonts w:ascii="Arial" w:hAnsi="Arial" w:cs="Arial"/>
          <w:szCs w:val="24"/>
        </w:rPr>
        <w:t xml:space="preserve"> 26 y </w:t>
      </w:r>
      <w:proofErr w:type="spellStart"/>
      <w:r>
        <w:rPr>
          <w:rFonts w:ascii="Arial" w:hAnsi="Arial" w:cs="Arial"/>
          <w:szCs w:val="24"/>
        </w:rPr>
        <w:t>s</w:t>
      </w:r>
      <w:r w:rsidR="00F07806">
        <w:rPr>
          <w:rFonts w:ascii="Arial" w:hAnsi="Arial" w:cs="Arial"/>
          <w:szCs w:val="24"/>
        </w:rPr>
        <w:t>gtes</w:t>
      </w:r>
      <w:proofErr w:type="spellEnd"/>
      <w:r>
        <w:rPr>
          <w:rFonts w:ascii="Arial" w:hAnsi="Arial" w:cs="Arial"/>
          <w:szCs w:val="24"/>
        </w:rPr>
        <w:t>)</w:t>
      </w:r>
      <w:r w:rsidR="00F07806">
        <w:rPr>
          <w:rFonts w:ascii="Arial" w:hAnsi="Arial" w:cs="Arial"/>
          <w:szCs w:val="24"/>
        </w:rPr>
        <w:t>;</w:t>
      </w:r>
    </w:p>
    <w:p w:rsidR="003B1B2A" w:rsidRDefault="003B1B2A" w:rsidP="003B1B2A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b)</w:t>
      </w:r>
      <w:r>
        <w:rPr>
          <w:rFonts w:ascii="Arial" w:hAnsi="Arial" w:cs="Arial"/>
          <w:szCs w:val="24"/>
        </w:rPr>
        <w:t xml:space="preserve"> aspectos concernientes a la etapa formativa de la obligación (</w:t>
      </w:r>
      <w:r w:rsidR="00F0780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rts. 13 y </w:t>
      </w:r>
      <w:proofErr w:type="spellStart"/>
      <w:r>
        <w:rPr>
          <w:rFonts w:ascii="Arial" w:hAnsi="Arial" w:cs="Arial"/>
          <w:szCs w:val="24"/>
        </w:rPr>
        <w:t>s</w:t>
      </w:r>
      <w:r w:rsidR="00F07806">
        <w:rPr>
          <w:rFonts w:ascii="Arial" w:hAnsi="Arial" w:cs="Arial"/>
          <w:szCs w:val="24"/>
        </w:rPr>
        <w:t>gte</w:t>
      </w:r>
      <w:r>
        <w:rPr>
          <w:rFonts w:ascii="Arial" w:hAnsi="Arial" w:cs="Arial"/>
          <w:szCs w:val="24"/>
        </w:rPr>
        <w:t>s</w:t>
      </w:r>
      <w:proofErr w:type="spellEnd"/>
      <w:r>
        <w:rPr>
          <w:rFonts w:ascii="Arial" w:hAnsi="Arial" w:cs="Arial"/>
          <w:szCs w:val="24"/>
        </w:rPr>
        <w:t>)</w:t>
      </w:r>
      <w:r w:rsidR="00F07806">
        <w:rPr>
          <w:rFonts w:ascii="Arial" w:hAnsi="Arial" w:cs="Arial"/>
          <w:szCs w:val="24"/>
        </w:rPr>
        <w:t>; y</w:t>
      </w:r>
    </w:p>
    <w:p w:rsidR="009601E7" w:rsidRPr="007A2EC5" w:rsidRDefault="003B1B2A" w:rsidP="003B1B2A">
      <w:pPr>
        <w:spacing w:line="360" w:lineRule="auto"/>
        <w:jc w:val="both"/>
        <w:rPr>
          <w:rFonts w:ascii="Arial" w:hAnsi="Arial" w:cs="Arial"/>
          <w:szCs w:val="24"/>
        </w:rPr>
      </w:pPr>
      <w:r w:rsidRPr="00F07806">
        <w:rPr>
          <w:rFonts w:ascii="Arial" w:hAnsi="Arial" w:cs="Arial"/>
          <w:b/>
          <w:szCs w:val="24"/>
        </w:rPr>
        <w:t>c)</w:t>
      </w:r>
      <w:r>
        <w:rPr>
          <w:rFonts w:ascii="Arial" w:hAnsi="Arial" w:cs="Arial"/>
          <w:szCs w:val="24"/>
        </w:rPr>
        <w:t xml:space="preserve"> respecto al procedimiento de contratación aplicable (arts. 33 y </w:t>
      </w:r>
      <w:proofErr w:type="spellStart"/>
      <w:r>
        <w:rPr>
          <w:rFonts w:ascii="Arial" w:hAnsi="Arial" w:cs="Arial"/>
          <w:szCs w:val="24"/>
        </w:rPr>
        <w:t>s</w:t>
      </w:r>
      <w:r w:rsidR="00F07806">
        <w:rPr>
          <w:rFonts w:ascii="Arial" w:hAnsi="Arial" w:cs="Arial"/>
          <w:szCs w:val="24"/>
        </w:rPr>
        <w:t>gte</w:t>
      </w:r>
      <w:r>
        <w:rPr>
          <w:rFonts w:ascii="Arial" w:hAnsi="Arial" w:cs="Arial"/>
          <w:szCs w:val="24"/>
        </w:rPr>
        <w:t>s</w:t>
      </w:r>
      <w:proofErr w:type="spellEnd"/>
      <w:r>
        <w:rPr>
          <w:rFonts w:ascii="Arial" w:hAnsi="Arial" w:cs="Arial"/>
          <w:szCs w:val="24"/>
        </w:rPr>
        <w:t>)</w:t>
      </w:r>
      <w:r w:rsidR="00F07806">
        <w:rPr>
          <w:rFonts w:ascii="Arial" w:hAnsi="Arial" w:cs="Arial"/>
          <w:szCs w:val="24"/>
        </w:rPr>
        <w:t>.</w:t>
      </w:r>
    </w:p>
    <w:p w:rsidR="009601E7" w:rsidRPr="00F30B53" w:rsidRDefault="009601E7" w:rsidP="009601E7">
      <w:pPr>
        <w:spacing w:line="360" w:lineRule="auto"/>
        <w:jc w:val="both"/>
        <w:rPr>
          <w:rFonts w:ascii="Arial" w:hAnsi="Arial" w:cs="Arial"/>
          <w:szCs w:val="24"/>
        </w:rPr>
      </w:pPr>
      <w:r w:rsidRPr="00C62826">
        <w:rPr>
          <w:rFonts w:ascii="Arial" w:hAnsi="Arial" w:cs="Arial"/>
          <w:b/>
          <w:szCs w:val="24"/>
        </w:rPr>
        <w:t xml:space="preserve">5) </w:t>
      </w:r>
      <w:r w:rsidR="00C62826" w:rsidRPr="00F30B53">
        <w:rPr>
          <w:rFonts w:ascii="Arial" w:hAnsi="Arial" w:cs="Arial"/>
          <w:szCs w:val="24"/>
        </w:rPr>
        <w:t>“</w:t>
      </w:r>
      <w:r w:rsidRPr="00F30B53">
        <w:rPr>
          <w:rFonts w:ascii="Arial" w:hAnsi="Arial" w:cs="Arial"/>
          <w:szCs w:val="24"/>
        </w:rPr>
        <w:t>Si el cambio a la facturación electrónica ha hecho variar los criterios regidos por las normativa vigente, en cuanto a la modalidad de intervención preventiva de los Contadores Delegados,</w:t>
      </w:r>
      <w:r w:rsidR="00C62826" w:rsidRPr="00F30B53">
        <w:rPr>
          <w:rFonts w:ascii="Arial" w:hAnsi="Arial" w:cs="Arial"/>
          <w:szCs w:val="24"/>
        </w:rPr>
        <w:t xml:space="preserve"> en el caso de las plantas del I</w:t>
      </w:r>
      <w:r w:rsidRPr="00F30B53">
        <w:rPr>
          <w:rFonts w:ascii="Arial" w:hAnsi="Arial" w:cs="Arial"/>
          <w:szCs w:val="24"/>
        </w:rPr>
        <w:t>nterior.”</w:t>
      </w:r>
    </w:p>
    <w:p w:rsidR="00AB6490" w:rsidRPr="00787C29" w:rsidRDefault="00AB6490" w:rsidP="00F0780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Ley 18600 y los Decretos reglamentarios, entre otros el 36/</w:t>
      </w:r>
      <w:r w:rsidR="00F0780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012</w:t>
      </w:r>
      <w:r w:rsidR="002D4E34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reglamentan un sistema de emisión de documentos electrónicos y de aprobación a través de la firma electrónica que procura por sobre todas las cosas determinar la autenticidad de los mismos y mejorar la seguridad que el que brinda el siste</w:t>
      </w:r>
      <w:r w:rsidR="00485117">
        <w:rPr>
          <w:rFonts w:ascii="Arial" w:hAnsi="Arial" w:cs="Arial"/>
          <w:szCs w:val="24"/>
        </w:rPr>
        <w:t xml:space="preserve">ma tradicional basado en papel. </w:t>
      </w:r>
      <w:r w:rsidR="002D4E34">
        <w:rPr>
          <w:rFonts w:ascii="Arial" w:hAnsi="Arial" w:cs="Arial"/>
          <w:szCs w:val="24"/>
        </w:rPr>
        <w:t xml:space="preserve">Este sistema involucra tres agentes, el emisor del documento, el receptor y la DGI y varios puntos de control que le permiten tanto al receptor como al órgano de administración de impuestos confirmar que el documento es válido. Uno de dichos controles permite al receptor </w:t>
      </w:r>
      <w:r w:rsidR="00E561D9">
        <w:rPr>
          <w:rFonts w:ascii="Arial" w:hAnsi="Arial" w:cs="Arial"/>
          <w:szCs w:val="24"/>
        </w:rPr>
        <w:t xml:space="preserve">del documento </w:t>
      </w:r>
      <w:r w:rsidR="002D4E34">
        <w:rPr>
          <w:rFonts w:ascii="Arial" w:hAnsi="Arial" w:cs="Arial"/>
          <w:szCs w:val="24"/>
        </w:rPr>
        <w:t xml:space="preserve">consulta en la web </w:t>
      </w:r>
      <w:r w:rsidR="00E561D9">
        <w:rPr>
          <w:rFonts w:ascii="Arial" w:hAnsi="Arial" w:cs="Arial"/>
          <w:szCs w:val="24"/>
        </w:rPr>
        <w:t>sobre</w:t>
      </w:r>
      <w:r w:rsidR="002D4E34">
        <w:rPr>
          <w:rFonts w:ascii="Arial" w:hAnsi="Arial" w:cs="Arial"/>
          <w:szCs w:val="24"/>
        </w:rPr>
        <w:t xml:space="preserve"> la veracidad del mismo.</w:t>
      </w:r>
    </w:p>
    <w:p w:rsidR="005D7811" w:rsidRDefault="005D7811" w:rsidP="00F0780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Los criterios de intervención preventiva no han sufrido variación por el cambio a la facturación electrónica manteniéndose la necesidad de que el sistema de gestión del Organismo posea los controles necesarios para evitar la duplicación de pagos tal como se señaló anteriormente. (</w:t>
      </w:r>
      <w:r w:rsidR="00006BF5">
        <w:rPr>
          <w:rFonts w:ascii="Arial" w:hAnsi="Arial" w:cs="Arial"/>
          <w:szCs w:val="24"/>
        </w:rPr>
        <w:t>Respuesta</w:t>
      </w:r>
      <w:r>
        <w:rPr>
          <w:rFonts w:ascii="Arial" w:hAnsi="Arial" w:cs="Arial"/>
          <w:szCs w:val="24"/>
        </w:rPr>
        <w:t xml:space="preserve"> </w:t>
      </w:r>
      <w:r w:rsidR="006F7DF5">
        <w:rPr>
          <w:rFonts w:ascii="Arial" w:hAnsi="Arial" w:cs="Arial"/>
          <w:szCs w:val="24"/>
        </w:rPr>
        <w:t>a la pregunta 3</w:t>
      </w:r>
      <w:r w:rsidR="00485117">
        <w:rPr>
          <w:rFonts w:ascii="Arial" w:hAnsi="Arial" w:cs="Arial"/>
          <w:szCs w:val="24"/>
        </w:rPr>
        <w:t>).</w:t>
      </w:r>
    </w:p>
    <w:p w:rsidR="009601E7" w:rsidRPr="00C62826" w:rsidRDefault="009601E7" w:rsidP="009601E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62826">
        <w:rPr>
          <w:rFonts w:ascii="Arial" w:hAnsi="Arial" w:cs="Arial"/>
          <w:b/>
          <w:szCs w:val="24"/>
        </w:rPr>
        <w:t xml:space="preserve">6) </w:t>
      </w:r>
      <w:r w:rsidR="00C62826" w:rsidRPr="00F30B53">
        <w:rPr>
          <w:rFonts w:ascii="Arial" w:hAnsi="Arial" w:cs="Arial"/>
          <w:szCs w:val="24"/>
        </w:rPr>
        <w:t>“</w:t>
      </w:r>
      <w:r w:rsidRPr="00F30B53">
        <w:rPr>
          <w:rFonts w:ascii="Arial" w:hAnsi="Arial" w:cs="Arial"/>
          <w:szCs w:val="24"/>
        </w:rPr>
        <w:t>Copia de todas las actuaciones administrativas en las que ese Tribunal de Cuentas haya intervenido, en referencia a la intervención preventiva de los Contadores Delegados de ANCAP</w:t>
      </w:r>
      <w:r w:rsidR="00C62826" w:rsidRPr="00F30B53">
        <w:rPr>
          <w:rFonts w:ascii="Arial" w:hAnsi="Arial" w:cs="Arial"/>
          <w:szCs w:val="24"/>
        </w:rPr>
        <w:t xml:space="preserve">, con respecto a los pagos de las Plantas de Minas y Paysandú de la Gerencia de Portland, durante los años 2007 al 2012, en la </w:t>
      </w:r>
      <w:r w:rsidR="00C62826" w:rsidRPr="00F30B53">
        <w:rPr>
          <w:rFonts w:ascii="Arial" w:hAnsi="Arial" w:cs="Arial"/>
          <w:szCs w:val="24"/>
        </w:rPr>
        <w:lastRenderedPageBreak/>
        <w:t>que se hayan realizado observaciones a la actuación de los Contadores Delegados de ANCAP en el mencionado período”</w:t>
      </w:r>
      <w:r w:rsidR="00F30B53">
        <w:rPr>
          <w:rFonts w:ascii="Arial" w:hAnsi="Arial" w:cs="Arial"/>
          <w:szCs w:val="24"/>
        </w:rPr>
        <w:t>.</w:t>
      </w:r>
    </w:p>
    <w:p w:rsidR="009601E7" w:rsidRDefault="009601E7" w:rsidP="0048511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Efectuado un relevamiento de los archivos de los años 2007 a 2012</w:t>
      </w:r>
      <w:r w:rsidR="00C6282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 poder de la auditoría de ANCAP</w:t>
      </w:r>
      <w:r w:rsidR="00485117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podemos expresar que no se encontraron ac</w:t>
      </w:r>
      <w:r w:rsidR="00C62826">
        <w:rPr>
          <w:rFonts w:ascii="Arial" w:hAnsi="Arial" w:cs="Arial"/>
          <w:szCs w:val="24"/>
        </w:rPr>
        <w:t>tuaciones en el período citado.</w:t>
      </w:r>
    </w:p>
    <w:p w:rsidR="009601E7" w:rsidRDefault="00485117" w:rsidP="0048511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E4B71">
        <w:rPr>
          <w:rFonts w:ascii="Arial" w:hAnsi="Arial" w:cs="Arial"/>
        </w:rPr>
        <w:t>aludamos</w:t>
      </w:r>
      <w:r>
        <w:rPr>
          <w:rFonts w:ascii="Arial" w:hAnsi="Arial" w:cs="Arial"/>
        </w:rPr>
        <w:t xml:space="preserve"> a Usted atentamente</w:t>
      </w:r>
    </w:p>
    <w:p w:rsidR="009601E7" w:rsidRDefault="009601E7" w:rsidP="009601E7">
      <w:pPr>
        <w:spacing w:line="360" w:lineRule="auto"/>
        <w:jc w:val="both"/>
        <w:rPr>
          <w:rFonts w:ascii="Arial" w:hAnsi="Arial" w:cs="Arial"/>
        </w:rPr>
      </w:pPr>
    </w:p>
    <w:p w:rsidR="00AF5FEF" w:rsidRDefault="00AF5FEF" w:rsidP="009601E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AF5FEF" w:rsidSect="00FA0064">
      <w:headerReference w:type="default" r:id="rId9"/>
      <w:footerReference w:type="even" r:id="rId10"/>
      <w:footerReference w:type="default" r:id="rId11"/>
      <w:pgSz w:w="11907" w:h="16840" w:code="9"/>
      <w:pgMar w:top="3119" w:right="1134" w:bottom="1418" w:left="1701" w:header="1134" w:footer="1134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55" w:rsidRDefault="00A73E55">
      <w:r>
        <w:separator/>
      </w:r>
    </w:p>
  </w:endnote>
  <w:endnote w:type="continuationSeparator" w:id="0">
    <w:p w:rsidR="00A73E55" w:rsidRDefault="00A7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1F" w:rsidRDefault="00DD71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D711F" w:rsidRDefault="00DD71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753945"/>
      <w:docPartObj>
        <w:docPartGallery w:val="Page Numbers (Bottom of Page)"/>
        <w:docPartUnique/>
      </w:docPartObj>
    </w:sdtPr>
    <w:sdtEndPr/>
    <w:sdtContent>
      <w:p w:rsidR="00485117" w:rsidRDefault="0048511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801">
          <w:rPr>
            <w:noProof/>
          </w:rPr>
          <w:t>1</w:t>
        </w:r>
        <w:r>
          <w:fldChar w:fldCharType="end"/>
        </w:r>
      </w:p>
    </w:sdtContent>
  </w:sdt>
  <w:p w:rsidR="00DD711F" w:rsidRDefault="00DD711F">
    <w:pPr>
      <w:pStyle w:val="Piedep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55" w:rsidRDefault="00A73E55">
      <w:r>
        <w:separator/>
      </w:r>
    </w:p>
  </w:footnote>
  <w:footnote w:type="continuationSeparator" w:id="0">
    <w:p w:rsidR="00A73E55" w:rsidRDefault="00A7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1F" w:rsidRDefault="00DD711F">
    <w:pPr>
      <w:pStyle w:val="Encabezado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716"/>
    <w:multiLevelType w:val="hybridMultilevel"/>
    <w:tmpl w:val="6A00EA70"/>
    <w:lvl w:ilvl="0" w:tplc="FF12F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F62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63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C5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0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E06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E3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A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05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6036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09951A3"/>
    <w:multiLevelType w:val="hybridMultilevel"/>
    <w:tmpl w:val="9528B152"/>
    <w:lvl w:ilvl="0" w:tplc="32C635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80A0013">
      <w:start w:val="1"/>
      <w:numFmt w:val="upperRoman"/>
      <w:lvlText w:val="%2."/>
      <w:lvlJc w:val="righ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64375"/>
    <w:multiLevelType w:val="hybridMultilevel"/>
    <w:tmpl w:val="C4848418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3">
      <w:start w:val="1"/>
      <w:numFmt w:val="upperRoman"/>
      <w:lvlText w:val="%2."/>
      <w:lvlJc w:val="righ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A7C24"/>
    <w:multiLevelType w:val="hybridMultilevel"/>
    <w:tmpl w:val="6CAC597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3">
      <w:start w:val="1"/>
      <w:numFmt w:val="upperRoman"/>
      <w:lvlText w:val="%2."/>
      <w:lvlJc w:val="righ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A6E7A"/>
    <w:multiLevelType w:val="hybridMultilevel"/>
    <w:tmpl w:val="AA6A537A"/>
    <w:lvl w:ilvl="0" w:tplc="B7AA8892">
      <w:start w:val="5"/>
      <w:numFmt w:val="decimal"/>
      <w:lvlText w:val="%1)"/>
      <w:lvlJc w:val="left"/>
      <w:pPr>
        <w:tabs>
          <w:tab w:val="num" w:pos="2550"/>
        </w:tabs>
        <w:ind w:left="255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>
    <w:nsid w:val="55BA03AE"/>
    <w:multiLevelType w:val="hybridMultilevel"/>
    <w:tmpl w:val="D540A91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E0BB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58FB54BE"/>
    <w:multiLevelType w:val="hybridMultilevel"/>
    <w:tmpl w:val="BB367B60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D2B58"/>
    <w:multiLevelType w:val="hybridMultilevel"/>
    <w:tmpl w:val="D8921528"/>
    <w:lvl w:ilvl="0" w:tplc="380A0013">
      <w:start w:val="1"/>
      <w:numFmt w:val="upperRoman"/>
      <w:lvlText w:val="%1."/>
      <w:lvlJc w:val="right"/>
      <w:pPr>
        <w:ind w:left="11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60" w:hanging="360"/>
      </w:pPr>
    </w:lvl>
    <w:lvl w:ilvl="2" w:tplc="380A001B" w:tentative="1">
      <w:start w:val="1"/>
      <w:numFmt w:val="lowerRoman"/>
      <w:lvlText w:val="%3."/>
      <w:lvlJc w:val="right"/>
      <w:pPr>
        <w:ind w:left="2580" w:hanging="180"/>
      </w:pPr>
    </w:lvl>
    <w:lvl w:ilvl="3" w:tplc="380A000F" w:tentative="1">
      <w:start w:val="1"/>
      <w:numFmt w:val="decimal"/>
      <w:lvlText w:val="%4."/>
      <w:lvlJc w:val="left"/>
      <w:pPr>
        <w:ind w:left="3300" w:hanging="360"/>
      </w:pPr>
    </w:lvl>
    <w:lvl w:ilvl="4" w:tplc="380A0019" w:tentative="1">
      <w:start w:val="1"/>
      <w:numFmt w:val="lowerLetter"/>
      <w:lvlText w:val="%5."/>
      <w:lvlJc w:val="left"/>
      <w:pPr>
        <w:ind w:left="4020" w:hanging="360"/>
      </w:pPr>
    </w:lvl>
    <w:lvl w:ilvl="5" w:tplc="380A001B" w:tentative="1">
      <w:start w:val="1"/>
      <w:numFmt w:val="lowerRoman"/>
      <w:lvlText w:val="%6."/>
      <w:lvlJc w:val="right"/>
      <w:pPr>
        <w:ind w:left="4740" w:hanging="180"/>
      </w:pPr>
    </w:lvl>
    <w:lvl w:ilvl="6" w:tplc="380A000F" w:tentative="1">
      <w:start w:val="1"/>
      <w:numFmt w:val="decimal"/>
      <w:lvlText w:val="%7."/>
      <w:lvlJc w:val="left"/>
      <w:pPr>
        <w:ind w:left="5460" w:hanging="360"/>
      </w:pPr>
    </w:lvl>
    <w:lvl w:ilvl="7" w:tplc="380A0019" w:tentative="1">
      <w:start w:val="1"/>
      <w:numFmt w:val="lowerLetter"/>
      <w:lvlText w:val="%8."/>
      <w:lvlJc w:val="left"/>
      <w:pPr>
        <w:ind w:left="6180" w:hanging="360"/>
      </w:pPr>
    </w:lvl>
    <w:lvl w:ilvl="8" w:tplc="38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5A"/>
    <w:rsid w:val="00006BF5"/>
    <w:rsid w:val="0004766D"/>
    <w:rsid w:val="0005246D"/>
    <w:rsid w:val="00073F2E"/>
    <w:rsid w:val="000804E4"/>
    <w:rsid w:val="000807BB"/>
    <w:rsid w:val="00096FFD"/>
    <w:rsid w:val="000B729B"/>
    <w:rsid w:val="000D051D"/>
    <w:rsid w:val="000D7C01"/>
    <w:rsid w:val="000F39B5"/>
    <w:rsid w:val="000F6AFE"/>
    <w:rsid w:val="00125AC6"/>
    <w:rsid w:val="001367BE"/>
    <w:rsid w:val="00140039"/>
    <w:rsid w:val="00161E80"/>
    <w:rsid w:val="001802C6"/>
    <w:rsid w:val="001A16D7"/>
    <w:rsid w:val="001D3C5C"/>
    <w:rsid w:val="001E390A"/>
    <w:rsid w:val="001F7DE2"/>
    <w:rsid w:val="002155CD"/>
    <w:rsid w:val="00234BF5"/>
    <w:rsid w:val="00262CB1"/>
    <w:rsid w:val="00271C89"/>
    <w:rsid w:val="00275D3E"/>
    <w:rsid w:val="002912E6"/>
    <w:rsid w:val="002A472C"/>
    <w:rsid w:val="002C4096"/>
    <w:rsid w:val="002C4986"/>
    <w:rsid w:val="002D4E34"/>
    <w:rsid w:val="002E7B01"/>
    <w:rsid w:val="00310280"/>
    <w:rsid w:val="00312BCB"/>
    <w:rsid w:val="00314A75"/>
    <w:rsid w:val="00320427"/>
    <w:rsid w:val="0033076A"/>
    <w:rsid w:val="00367F15"/>
    <w:rsid w:val="00380A59"/>
    <w:rsid w:val="003867C4"/>
    <w:rsid w:val="00390816"/>
    <w:rsid w:val="00390846"/>
    <w:rsid w:val="00391A34"/>
    <w:rsid w:val="00392133"/>
    <w:rsid w:val="003A6E43"/>
    <w:rsid w:val="003B1B2A"/>
    <w:rsid w:val="003D5CE3"/>
    <w:rsid w:val="003F085E"/>
    <w:rsid w:val="004803D9"/>
    <w:rsid w:val="004807BA"/>
    <w:rsid w:val="0048193C"/>
    <w:rsid w:val="00485117"/>
    <w:rsid w:val="004A0DC1"/>
    <w:rsid w:val="004A2016"/>
    <w:rsid w:val="004A2FF0"/>
    <w:rsid w:val="004B18DC"/>
    <w:rsid w:val="004B3F62"/>
    <w:rsid w:val="004B512B"/>
    <w:rsid w:val="004C5862"/>
    <w:rsid w:val="004D6CEC"/>
    <w:rsid w:val="004F210E"/>
    <w:rsid w:val="00524C98"/>
    <w:rsid w:val="00524D7C"/>
    <w:rsid w:val="00537086"/>
    <w:rsid w:val="00555520"/>
    <w:rsid w:val="0057584A"/>
    <w:rsid w:val="005A277F"/>
    <w:rsid w:val="005D7811"/>
    <w:rsid w:val="005E050D"/>
    <w:rsid w:val="005E0D35"/>
    <w:rsid w:val="006541AC"/>
    <w:rsid w:val="0065660D"/>
    <w:rsid w:val="00662E35"/>
    <w:rsid w:val="006879ED"/>
    <w:rsid w:val="0069290D"/>
    <w:rsid w:val="00693DAB"/>
    <w:rsid w:val="00697EA8"/>
    <w:rsid w:val="006B537B"/>
    <w:rsid w:val="006C533E"/>
    <w:rsid w:val="006D2C2B"/>
    <w:rsid w:val="006D7C00"/>
    <w:rsid w:val="006E3801"/>
    <w:rsid w:val="006F63ED"/>
    <w:rsid w:val="006F7DF5"/>
    <w:rsid w:val="00710CED"/>
    <w:rsid w:val="00712991"/>
    <w:rsid w:val="0071475E"/>
    <w:rsid w:val="0072193A"/>
    <w:rsid w:val="00741BC6"/>
    <w:rsid w:val="00747ECB"/>
    <w:rsid w:val="00751A97"/>
    <w:rsid w:val="00763DDF"/>
    <w:rsid w:val="007715A8"/>
    <w:rsid w:val="00775B3A"/>
    <w:rsid w:val="00787C29"/>
    <w:rsid w:val="0079213B"/>
    <w:rsid w:val="00792E19"/>
    <w:rsid w:val="00793BBB"/>
    <w:rsid w:val="007961CF"/>
    <w:rsid w:val="007C1075"/>
    <w:rsid w:val="007C6E5F"/>
    <w:rsid w:val="007E7225"/>
    <w:rsid w:val="00803B4E"/>
    <w:rsid w:val="00805C5B"/>
    <w:rsid w:val="00817EFD"/>
    <w:rsid w:val="00821C86"/>
    <w:rsid w:val="00822654"/>
    <w:rsid w:val="0088035C"/>
    <w:rsid w:val="008805F2"/>
    <w:rsid w:val="008921BE"/>
    <w:rsid w:val="00896B2E"/>
    <w:rsid w:val="008B3D1D"/>
    <w:rsid w:val="008C29E0"/>
    <w:rsid w:val="008C6349"/>
    <w:rsid w:val="008E537B"/>
    <w:rsid w:val="008F108C"/>
    <w:rsid w:val="00900479"/>
    <w:rsid w:val="0092281B"/>
    <w:rsid w:val="00927E91"/>
    <w:rsid w:val="00932018"/>
    <w:rsid w:val="00934114"/>
    <w:rsid w:val="00945EBD"/>
    <w:rsid w:val="009601E7"/>
    <w:rsid w:val="00963800"/>
    <w:rsid w:val="00964343"/>
    <w:rsid w:val="00993B57"/>
    <w:rsid w:val="009A4018"/>
    <w:rsid w:val="009A7494"/>
    <w:rsid w:val="009B4CF4"/>
    <w:rsid w:val="009B4CFA"/>
    <w:rsid w:val="009D5BF5"/>
    <w:rsid w:val="009D7B51"/>
    <w:rsid w:val="009F5701"/>
    <w:rsid w:val="00A160C6"/>
    <w:rsid w:val="00A26EC7"/>
    <w:rsid w:val="00A3616F"/>
    <w:rsid w:val="00A57159"/>
    <w:rsid w:val="00A57CF5"/>
    <w:rsid w:val="00A644F4"/>
    <w:rsid w:val="00A70C59"/>
    <w:rsid w:val="00A73E55"/>
    <w:rsid w:val="00A917D9"/>
    <w:rsid w:val="00AA0E71"/>
    <w:rsid w:val="00AA3A41"/>
    <w:rsid w:val="00AB6490"/>
    <w:rsid w:val="00AC31B0"/>
    <w:rsid w:val="00AC3A6A"/>
    <w:rsid w:val="00AE4B71"/>
    <w:rsid w:val="00AE50D5"/>
    <w:rsid w:val="00AF5FEF"/>
    <w:rsid w:val="00B029AF"/>
    <w:rsid w:val="00B06870"/>
    <w:rsid w:val="00B2275A"/>
    <w:rsid w:val="00B232AD"/>
    <w:rsid w:val="00B33C5F"/>
    <w:rsid w:val="00B479A4"/>
    <w:rsid w:val="00B84752"/>
    <w:rsid w:val="00B95DDD"/>
    <w:rsid w:val="00BA5435"/>
    <w:rsid w:val="00BB0F0A"/>
    <w:rsid w:val="00BB4D05"/>
    <w:rsid w:val="00C24C1C"/>
    <w:rsid w:val="00C30C56"/>
    <w:rsid w:val="00C32A1E"/>
    <w:rsid w:val="00C3393F"/>
    <w:rsid w:val="00C62826"/>
    <w:rsid w:val="00C85A8C"/>
    <w:rsid w:val="00C8756E"/>
    <w:rsid w:val="00CA5F89"/>
    <w:rsid w:val="00CC1D7F"/>
    <w:rsid w:val="00CD38B3"/>
    <w:rsid w:val="00CD7867"/>
    <w:rsid w:val="00CF2CD6"/>
    <w:rsid w:val="00CF6D55"/>
    <w:rsid w:val="00CF6F82"/>
    <w:rsid w:val="00D03AAD"/>
    <w:rsid w:val="00D107FE"/>
    <w:rsid w:val="00D17FE5"/>
    <w:rsid w:val="00D21804"/>
    <w:rsid w:val="00D24871"/>
    <w:rsid w:val="00D31E8A"/>
    <w:rsid w:val="00D6258F"/>
    <w:rsid w:val="00D71C51"/>
    <w:rsid w:val="00D7528E"/>
    <w:rsid w:val="00D77021"/>
    <w:rsid w:val="00D803D1"/>
    <w:rsid w:val="00D91826"/>
    <w:rsid w:val="00DC3CC9"/>
    <w:rsid w:val="00DD711F"/>
    <w:rsid w:val="00DF68CD"/>
    <w:rsid w:val="00E223B6"/>
    <w:rsid w:val="00E31797"/>
    <w:rsid w:val="00E335B6"/>
    <w:rsid w:val="00E34761"/>
    <w:rsid w:val="00E40A1A"/>
    <w:rsid w:val="00E43AA2"/>
    <w:rsid w:val="00E45300"/>
    <w:rsid w:val="00E54FB2"/>
    <w:rsid w:val="00E55D44"/>
    <w:rsid w:val="00E561D9"/>
    <w:rsid w:val="00E869AB"/>
    <w:rsid w:val="00E97B6B"/>
    <w:rsid w:val="00EB0AA4"/>
    <w:rsid w:val="00EC1D75"/>
    <w:rsid w:val="00ED42B9"/>
    <w:rsid w:val="00ED464D"/>
    <w:rsid w:val="00EE27D2"/>
    <w:rsid w:val="00EE54BE"/>
    <w:rsid w:val="00F07806"/>
    <w:rsid w:val="00F30B53"/>
    <w:rsid w:val="00F3466E"/>
    <w:rsid w:val="00F75647"/>
    <w:rsid w:val="00FA0064"/>
    <w:rsid w:val="00FA456B"/>
    <w:rsid w:val="00FB23AA"/>
    <w:rsid w:val="00FB240B"/>
    <w:rsid w:val="00FD148A"/>
    <w:rsid w:val="00FE5434"/>
    <w:rsid w:val="00FF26DD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17EFD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117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17EFD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117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F80B-8680-445A-BD97-29C66FB3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Tribunal de Cuentas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.</dc:creator>
  <cp:lastModifiedBy>Tribunal1</cp:lastModifiedBy>
  <cp:revision>9</cp:revision>
  <cp:lastPrinted>2017-09-07T18:14:00Z</cp:lastPrinted>
  <dcterms:created xsi:type="dcterms:W3CDTF">2017-09-07T14:00:00Z</dcterms:created>
  <dcterms:modified xsi:type="dcterms:W3CDTF">2017-11-20T16:04:00Z</dcterms:modified>
</cp:coreProperties>
</file>