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A6" w:rsidRPr="00786EEB" w:rsidRDefault="007770A6" w:rsidP="007770A6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3155/17</w:t>
      </w:r>
    </w:p>
    <w:p w:rsidR="007770A6" w:rsidRDefault="007770A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770A6" w:rsidRPr="00762B34" w:rsidRDefault="007770A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770A6" w:rsidRPr="00762B34" w:rsidRDefault="007770A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770A6" w:rsidRPr="00762B34" w:rsidRDefault="007770A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770A6" w:rsidRPr="00762B34" w:rsidRDefault="007770A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770A6" w:rsidRPr="00762B34" w:rsidRDefault="007770A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</w:t>
      </w:r>
      <w:r w:rsidR="004C36AE">
        <w:rPr>
          <w:rFonts w:cs="Arial"/>
          <w:b/>
          <w:lang w:val="es-ES_tradnl"/>
        </w:rPr>
        <w:t>7</w:t>
      </w:r>
      <w:bookmarkStart w:id="0" w:name="_GoBack"/>
      <w:bookmarkEnd w:id="0"/>
      <w:r>
        <w:rPr>
          <w:rFonts w:cs="Arial"/>
          <w:b/>
          <w:lang w:val="es-ES_tradnl"/>
        </w:rPr>
        <w:t xml:space="preserve"> DE SETIEMBRE </w:t>
      </w:r>
      <w:r>
        <w:rPr>
          <w:rFonts w:ascii="Helvetica" w:hAnsi="Helvetica"/>
          <w:b/>
          <w:lang w:val="es-ES_tradnl"/>
        </w:rPr>
        <w:t>DE 2017</w:t>
      </w:r>
    </w:p>
    <w:p w:rsidR="007770A6" w:rsidRPr="00762B34" w:rsidRDefault="007770A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770A6" w:rsidRPr="007770A6" w:rsidRDefault="007770A6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7770A6">
        <w:rPr>
          <w:rFonts w:cs="Arial"/>
          <w:b/>
        </w:rPr>
        <w:t xml:space="preserve">(E. E. Nº 2017-17-1-0005647, </w:t>
      </w:r>
      <w:proofErr w:type="spellStart"/>
      <w:r w:rsidRPr="007770A6">
        <w:rPr>
          <w:rFonts w:cs="Arial"/>
          <w:b/>
        </w:rPr>
        <w:t>Ent</w:t>
      </w:r>
      <w:proofErr w:type="spellEnd"/>
      <w:r w:rsidRPr="007770A6">
        <w:rPr>
          <w:rFonts w:cs="Arial"/>
          <w:b/>
        </w:rPr>
        <w:t>. N° 4532/17)</w:t>
      </w:r>
    </w:p>
    <w:p w:rsidR="00D01B53" w:rsidRDefault="00D01B53" w:rsidP="00D01B53"/>
    <w:p w:rsidR="007770A6" w:rsidRDefault="007770A6" w:rsidP="007770A6">
      <w:pPr>
        <w:spacing w:line="360" w:lineRule="auto"/>
        <w:ind w:firstLine="851"/>
        <w:jc w:val="both"/>
        <w:rPr>
          <w:rFonts w:cs="Arial"/>
          <w:b/>
        </w:rPr>
      </w:pPr>
    </w:p>
    <w:p w:rsidR="00D01B53" w:rsidRDefault="00D01B53" w:rsidP="007770A6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el Ministerio de Industria, Energía y Minería (M</w:t>
      </w:r>
      <w:r w:rsidR="00833E38">
        <w:rPr>
          <w:rFonts w:cs="Arial"/>
        </w:rPr>
        <w:t>.</w:t>
      </w:r>
      <w:r>
        <w:rPr>
          <w:rFonts w:cs="Arial"/>
        </w:rPr>
        <w:t>I</w:t>
      </w:r>
      <w:r w:rsidR="00833E38">
        <w:rPr>
          <w:rFonts w:cs="Arial"/>
        </w:rPr>
        <w:t>.</w:t>
      </w:r>
      <w:r>
        <w:rPr>
          <w:rFonts w:cs="Arial"/>
        </w:rPr>
        <w:t>E</w:t>
      </w:r>
      <w:r w:rsidR="00833E38">
        <w:rPr>
          <w:rFonts w:cs="Arial"/>
        </w:rPr>
        <w:t>.</w:t>
      </w:r>
      <w:r>
        <w:rPr>
          <w:rFonts w:cs="Arial"/>
        </w:rPr>
        <w:t>M</w:t>
      </w:r>
      <w:r w:rsidR="00833E38">
        <w:rPr>
          <w:rFonts w:cs="Arial"/>
        </w:rPr>
        <w:t>.</w:t>
      </w:r>
      <w:r>
        <w:rPr>
          <w:rFonts w:cs="Arial"/>
        </w:rPr>
        <w:t xml:space="preserve">),  relacionadas con el </w:t>
      </w:r>
      <w:r w:rsidR="001E51EF">
        <w:rPr>
          <w:rFonts w:cs="Arial"/>
        </w:rPr>
        <w:t>convenio a celebrar</w:t>
      </w:r>
      <w:r>
        <w:rPr>
          <w:rFonts w:cs="Arial"/>
        </w:rPr>
        <w:t xml:space="preserve"> con el Ministerio de Educación y Cultura (M</w:t>
      </w:r>
      <w:r w:rsidR="00833E38">
        <w:rPr>
          <w:rFonts w:cs="Arial"/>
        </w:rPr>
        <w:t>.</w:t>
      </w:r>
      <w:r>
        <w:rPr>
          <w:rFonts w:cs="Arial"/>
        </w:rPr>
        <w:t>E</w:t>
      </w:r>
      <w:r w:rsidR="00833E38">
        <w:rPr>
          <w:rFonts w:cs="Arial"/>
        </w:rPr>
        <w:t>.</w:t>
      </w:r>
      <w:r>
        <w:rPr>
          <w:rFonts w:cs="Arial"/>
        </w:rPr>
        <w:t>C</w:t>
      </w:r>
      <w:r w:rsidR="00833E38">
        <w:rPr>
          <w:rFonts w:cs="Arial"/>
        </w:rPr>
        <w:t>.</w:t>
      </w:r>
      <w:r>
        <w:rPr>
          <w:rFonts w:cs="Arial"/>
        </w:rPr>
        <w:t>) y la Intendencia de Montevideo (I</w:t>
      </w:r>
      <w:r w:rsidR="00833E38">
        <w:rPr>
          <w:rFonts w:cs="Arial"/>
        </w:rPr>
        <w:t>.</w:t>
      </w:r>
      <w:r>
        <w:rPr>
          <w:rFonts w:cs="Arial"/>
        </w:rPr>
        <w:t>M</w:t>
      </w:r>
      <w:r w:rsidR="00833E38">
        <w:rPr>
          <w:rFonts w:cs="Arial"/>
        </w:rPr>
        <w:t>.</w:t>
      </w:r>
      <w:r>
        <w:rPr>
          <w:rFonts w:cs="Arial"/>
        </w:rPr>
        <w:t xml:space="preserve">); </w:t>
      </w:r>
    </w:p>
    <w:p w:rsidR="00D01B53" w:rsidRDefault="00D01B53" w:rsidP="007770A6">
      <w:pPr>
        <w:spacing w:line="360" w:lineRule="auto"/>
        <w:ind w:firstLine="851"/>
        <w:jc w:val="both"/>
      </w:pPr>
      <w:r>
        <w:rPr>
          <w:rFonts w:cs="Arial"/>
        </w:rPr>
        <w:t xml:space="preserve"> </w:t>
      </w: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 w:rsidR="001E51EF">
        <w:t>que dicho</w:t>
      </w:r>
      <w:r>
        <w:t xml:space="preserve"> proyecto de convenio interinsti</w:t>
      </w:r>
      <w:r w:rsidR="001E51EF">
        <w:t>tucional</w:t>
      </w:r>
      <w:r w:rsidR="00833E38">
        <w:t>,</w:t>
      </w:r>
      <w:r>
        <w:t xml:space="preserve"> </w:t>
      </w:r>
      <w:r w:rsidR="001E51EF">
        <w:t xml:space="preserve">tiene por objeto </w:t>
      </w:r>
      <w:r>
        <w:t xml:space="preserve">explorar mecanismos de </w:t>
      </w:r>
      <w:r w:rsidR="002D2F4C">
        <w:t>estímulo</w:t>
      </w:r>
      <w:r>
        <w:t xml:space="preserve"> a la producción y difusión de </w:t>
      </w:r>
      <w:r w:rsidR="002D2F4C">
        <w:t>contenidos</w:t>
      </w:r>
      <w:r>
        <w:t xml:space="preserve"> de ficción nacional para las pantallas </w:t>
      </w:r>
      <w:r w:rsidR="002D2F4C">
        <w:t>públicas</w:t>
      </w:r>
      <w:r>
        <w:t xml:space="preserve">, </w:t>
      </w:r>
      <w:r w:rsidR="002D2F4C">
        <w:t>realizando</w:t>
      </w:r>
      <w:r>
        <w:t xml:space="preserve"> aportes económicos al </w:t>
      </w:r>
      <w:r w:rsidR="002D2F4C">
        <w:t>Programa</w:t>
      </w:r>
      <w:r>
        <w:t xml:space="preserve"> “Series UY”, siendo dichos </w:t>
      </w:r>
      <w:r w:rsidR="002D2F4C">
        <w:t>mecanismos</w:t>
      </w:r>
      <w:r>
        <w:t xml:space="preserve"> concertados y diseñados  anualmente, de acuerdo a los </w:t>
      </w:r>
      <w:r w:rsidR="002D2F4C">
        <w:t>procedimientos</w:t>
      </w:r>
      <w:r>
        <w:t xml:space="preserve"> y protocolos operativos que serán </w:t>
      </w:r>
      <w:r w:rsidR="002D2F4C">
        <w:t>acordados</w:t>
      </w:r>
      <w:r>
        <w:t xml:space="preserve"> entr</w:t>
      </w:r>
      <w:r w:rsidR="002D2F4C">
        <w:t>e</w:t>
      </w:r>
      <w:r>
        <w:t xml:space="preserve"> lo</w:t>
      </w:r>
      <w:r w:rsidR="002D2F4C">
        <w:t>s</w:t>
      </w:r>
      <w:r>
        <w:t xml:space="preserve"> interlocutores designados por las p</w:t>
      </w:r>
      <w:r w:rsidR="002D2F4C">
        <w:t>a</w:t>
      </w:r>
      <w:r>
        <w:t>rt</w:t>
      </w:r>
      <w:r w:rsidR="002D2F4C">
        <w:t>e</w:t>
      </w:r>
      <w:r>
        <w:t>s;</w:t>
      </w:r>
    </w:p>
    <w:p w:rsidR="007770A6" w:rsidRDefault="00D01B53" w:rsidP="007770A6">
      <w:pPr>
        <w:spacing w:line="360" w:lineRule="auto"/>
        <w:ind w:firstLine="2694"/>
        <w:jc w:val="both"/>
      </w:pPr>
      <w:r w:rsidRPr="00554D78">
        <w:rPr>
          <w:b/>
        </w:rPr>
        <w:t>2)</w:t>
      </w:r>
      <w:r>
        <w:t xml:space="preserve"> que se establece que las partes acuerdan fomentar la promoción de </w:t>
      </w:r>
      <w:r w:rsidR="002D2F4C">
        <w:t>contenidos</w:t>
      </w:r>
      <w:r>
        <w:t xml:space="preserve"> de </w:t>
      </w:r>
      <w:r w:rsidR="002D2F4C">
        <w:t>ficción</w:t>
      </w:r>
      <w:r>
        <w:t xml:space="preserve"> nacional instrumentando los mecanismos y apoyos que las mismas definan a </w:t>
      </w:r>
      <w:r w:rsidR="002D2F4C">
        <w:t>través</w:t>
      </w:r>
      <w:r>
        <w:t xml:space="preserve"> del Programa “Series UY”. En tal sentido, se acuerd</w:t>
      </w:r>
      <w:r w:rsidR="00833E38">
        <w:t>a</w:t>
      </w:r>
      <w:r>
        <w:t xml:space="preserve"> que, a</w:t>
      </w:r>
      <w:r w:rsidR="002D2F4C">
        <w:t xml:space="preserve"> </w:t>
      </w:r>
      <w:r>
        <w:t>tales fines, las p</w:t>
      </w:r>
      <w:r w:rsidR="002D2F4C">
        <w:t>a</w:t>
      </w:r>
      <w:r>
        <w:t>rt</w:t>
      </w:r>
      <w:r w:rsidR="002D2F4C">
        <w:t>e</w:t>
      </w:r>
      <w:r>
        <w:t xml:space="preserve">s </w:t>
      </w:r>
      <w:r w:rsidR="002D2F4C">
        <w:t>aportarán</w:t>
      </w:r>
      <w:r>
        <w:t xml:space="preserve"> en</w:t>
      </w:r>
      <w:r w:rsidR="002D2F4C">
        <w:t xml:space="preserve"> </w:t>
      </w:r>
      <w:r>
        <w:t xml:space="preserve">conjunto un total de $ 6.000.000 </w:t>
      </w:r>
      <w:r w:rsidR="00833E38">
        <w:t xml:space="preserve">anuales </w:t>
      </w:r>
      <w:r w:rsidR="002D2F4C">
        <w:t>sujeto</w:t>
      </w:r>
      <w:r>
        <w:t xml:space="preserve"> a la disponibilidad de créditos presupuest</w:t>
      </w:r>
      <w:r w:rsidR="00833E38">
        <w:t>ales</w:t>
      </w:r>
      <w:r>
        <w:t xml:space="preserve"> de cada un</w:t>
      </w:r>
      <w:r w:rsidR="00833E38">
        <w:t>a</w:t>
      </w:r>
      <w:r>
        <w:t xml:space="preserve"> de las partes, según el siguiente detalle: a) el M</w:t>
      </w:r>
      <w:r w:rsidR="00833E38">
        <w:t>.</w:t>
      </w:r>
      <w:r>
        <w:t>E</w:t>
      </w:r>
      <w:r w:rsidR="00833E38">
        <w:t>.</w:t>
      </w:r>
      <w:r>
        <w:t>C</w:t>
      </w:r>
      <w:r w:rsidR="00833E38">
        <w:t>.</w:t>
      </w:r>
      <w:r>
        <w:t xml:space="preserve">, transferirá la suma total </w:t>
      </w:r>
      <w:r w:rsidR="00833E38">
        <w:t xml:space="preserve">anual </w:t>
      </w:r>
      <w:r>
        <w:t>de $ 3.000.000</w:t>
      </w:r>
      <w:r w:rsidR="00CF3994">
        <w:t xml:space="preserve">, a </w:t>
      </w:r>
      <w:r w:rsidR="002D2F4C">
        <w:t>través</w:t>
      </w:r>
      <w:r w:rsidR="00CF3994">
        <w:t xml:space="preserve"> del Servicio de </w:t>
      </w:r>
      <w:r w:rsidR="002D2F4C">
        <w:t>Comunicación</w:t>
      </w:r>
      <w:r w:rsidR="00CF3994">
        <w:t xml:space="preserve"> Audiovisual Nacional (S</w:t>
      </w:r>
      <w:r w:rsidR="00833E38">
        <w:t>.</w:t>
      </w:r>
      <w:r w:rsidR="00CF3994">
        <w:t>E</w:t>
      </w:r>
      <w:r w:rsidR="00833E38">
        <w:t>.</w:t>
      </w:r>
      <w:r w:rsidR="00CF3994">
        <w:t>C</w:t>
      </w:r>
      <w:r w:rsidR="00833E38">
        <w:t>.</w:t>
      </w:r>
      <w:r w:rsidR="00CF3994">
        <w:t>A</w:t>
      </w:r>
      <w:r w:rsidR="00833E38">
        <w:t>.</w:t>
      </w:r>
      <w:r w:rsidR="00CF3994">
        <w:t>N</w:t>
      </w:r>
      <w:r w:rsidR="00833E38">
        <w:t>.</w:t>
      </w:r>
      <w:r w:rsidR="00CF3994">
        <w:t>), de los cuales la Direcci</w:t>
      </w:r>
      <w:r w:rsidR="002D2F4C">
        <w:t>ó</w:t>
      </w:r>
      <w:r w:rsidR="00833E38">
        <w:t>n de T.N.U. aportará</w:t>
      </w:r>
      <w:r w:rsidR="00CF3994">
        <w:t xml:space="preserve"> $ 1.500.000 y la </w:t>
      </w:r>
      <w:r w:rsidR="002D2F4C">
        <w:t>Dirección</w:t>
      </w:r>
      <w:r w:rsidR="00CF3994">
        <w:t xml:space="preserve"> de ICAU lo</w:t>
      </w:r>
      <w:r w:rsidR="002D2F4C">
        <w:t>s</w:t>
      </w:r>
      <w:r w:rsidR="00CF3994">
        <w:t xml:space="preserve"> restantes $ 1.500.000, b) el M</w:t>
      </w:r>
      <w:r w:rsidR="00833E38">
        <w:t>.</w:t>
      </w:r>
      <w:r w:rsidR="00CF3994">
        <w:t>I</w:t>
      </w:r>
      <w:r w:rsidR="00833E38">
        <w:t>.</w:t>
      </w:r>
      <w:r w:rsidR="00CF3994">
        <w:t>E</w:t>
      </w:r>
      <w:r w:rsidR="00833E38">
        <w:t>.</w:t>
      </w:r>
      <w:r w:rsidR="00CF3994">
        <w:t>M</w:t>
      </w:r>
      <w:r w:rsidR="00833E38">
        <w:t>.</w:t>
      </w:r>
      <w:r w:rsidR="00CF3994">
        <w:t xml:space="preserve"> </w:t>
      </w:r>
      <w:r w:rsidR="002D2F4C">
        <w:t>transferirá</w:t>
      </w:r>
      <w:r w:rsidR="00CF3994">
        <w:t xml:space="preserve"> la suma tota</w:t>
      </w:r>
      <w:r w:rsidR="002D2F4C">
        <w:t>l</w:t>
      </w:r>
      <w:r w:rsidR="00CF3994">
        <w:t xml:space="preserve"> </w:t>
      </w:r>
      <w:r w:rsidR="00833E38">
        <w:t xml:space="preserve">anual </w:t>
      </w:r>
      <w:r w:rsidR="00CF3994">
        <w:t>de $</w:t>
      </w:r>
      <w:r w:rsidR="00833E38">
        <w:t xml:space="preserve"> </w:t>
      </w:r>
      <w:r w:rsidR="00CF3994">
        <w:t>1.500.000 a tr</w:t>
      </w:r>
      <w:r w:rsidR="002D2F4C">
        <w:t>a</w:t>
      </w:r>
      <w:r w:rsidR="00CF3994">
        <w:t>v</w:t>
      </w:r>
      <w:r w:rsidR="002D2F4C">
        <w:t>é</w:t>
      </w:r>
      <w:r w:rsidR="00CF3994">
        <w:t xml:space="preserve">s de la </w:t>
      </w:r>
      <w:r w:rsidR="002D2F4C">
        <w:t xml:space="preserve">Dirección </w:t>
      </w:r>
      <w:r w:rsidR="00CF3994">
        <w:lastRenderedPageBreak/>
        <w:t>N</w:t>
      </w:r>
      <w:r w:rsidR="002D2F4C">
        <w:t>acional</w:t>
      </w:r>
      <w:r w:rsidR="00CF3994">
        <w:t xml:space="preserve"> de </w:t>
      </w:r>
      <w:r w:rsidR="002D2F4C">
        <w:t>Telecomunicaciones</w:t>
      </w:r>
      <w:r w:rsidR="00CF3994">
        <w:t xml:space="preserve"> y </w:t>
      </w:r>
      <w:r w:rsidR="002D2F4C">
        <w:t>Servicios</w:t>
      </w:r>
      <w:r w:rsidR="00CF3994">
        <w:t xml:space="preserve"> de </w:t>
      </w:r>
      <w:r w:rsidR="002D2F4C">
        <w:t>Comunicación</w:t>
      </w:r>
      <w:r w:rsidR="00CF3994">
        <w:t xml:space="preserve">  Audi</w:t>
      </w:r>
      <w:r w:rsidR="002D2F4C">
        <w:t>ovi</w:t>
      </w:r>
      <w:r w:rsidR="00CF3994">
        <w:t>sual (MIEM-DINATEL) y c)</w:t>
      </w:r>
      <w:r w:rsidR="00C769D9">
        <w:t xml:space="preserve"> la I</w:t>
      </w:r>
      <w:r w:rsidR="00833E38">
        <w:t>.</w:t>
      </w:r>
      <w:r w:rsidR="00C769D9">
        <w:t>M</w:t>
      </w:r>
      <w:r w:rsidR="00833E38">
        <w:t>.</w:t>
      </w:r>
      <w:r w:rsidR="00C769D9">
        <w:t xml:space="preserve"> aportar</w:t>
      </w:r>
      <w:r w:rsidR="002D2F4C">
        <w:t>á</w:t>
      </w:r>
      <w:r w:rsidR="00C769D9">
        <w:t xml:space="preserve"> la </w:t>
      </w:r>
      <w:r w:rsidR="002D2F4C">
        <w:t>suma</w:t>
      </w:r>
      <w:r w:rsidR="00833E38">
        <w:t xml:space="preserve"> total anual </w:t>
      </w:r>
      <w:r w:rsidR="00C769D9">
        <w:t xml:space="preserve"> de $ 1.500.000;</w:t>
      </w:r>
    </w:p>
    <w:p w:rsidR="007770A6" w:rsidRDefault="00C769D9" w:rsidP="007770A6">
      <w:pPr>
        <w:spacing w:line="360" w:lineRule="auto"/>
        <w:ind w:firstLine="2694"/>
        <w:jc w:val="both"/>
      </w:pPr>
      <w:r w:rsidRPr="00554D78">
        <w:rPr>
          <w:b/>
        </w:rPr>
        <w:t>3</w:t>
      </w:r>
      <w:r w:rsidR="00D01B53" w:rsidRPr="00554D78">
        <w:rPr>
          <w:b/>
          <w:bCs/>
        </w:rPr>
        <w:t>)</w:t>
      </w:r>
      <w:r w:rsidR="00D01B53">
        <w:t xml:space="preserve"> que </w:t>
      </w:r>
      <w:r>
        <w:t xml:space="preserve">se establece que la </w:t>
      </w:r>
      <w:r w:rsidR="002D2F4C">
        <w:t>administración</w:t>
      </w:r>
      <w:r>
        <w:t xml:space="preserve"> de lo</w:t>
      </w:r>
      <w:r w:rsidR="002D2F4C">
        <w:t>s</w:t>
      </w:r>
      <w:r>
        <w:t xml:space="preserve"> aportes al </w:t>
      </w:r>
      <w:r w:rsidR="002D2F4C">
        <w:t>Programa</w:t>
      </w:r>
      <w:r>
        <w:t xml:space="preserve"> “Series UY” y el seguimiento de </w:t>
      </w:r>
      <w:r w:rsidR="002D2F4C">
        <w:t>los</w:t>
      </w:r>
      <w:r>
        <w:t xml:space="preserve"> </w:t>
      </w:r>
      <w:r w:rsidR="002D2F4C">
        <w:t>mecanismos</w:t>
      </w:r>
      <w:r>
        <w:t xml:space="preserve"> de apoyo en sus aspectos </w:t>
      </w:r>
      <w:r w:rsidR="002D2F4C">
        <w:t>económicos</w:t>
      </w:r>
      <w:r>
        <w:t xml:space="preserve"> y/o </w:t>
      </w:r>
      <w:r w:rsidR="002D2F4C">
        <w:t>financieros</w:t>
      </w:r>
      <w:r>
        <w:t xml:space="preserve"> serán responsabilidad de S</w:t>
      </w:r>
      <w:r w:rsidR="00833E38">
        <w:t>.</w:t>
      </w:r>
      <w:r>
        <w:t>E</w:t>
      </w:r>
      <w:r w:rsidR="00833E38">
        <w:t>.</w:t>
      </w:r>
      <w:r>
        <w:t>C</w:t>
      </w:r>
      <w:r w:rsidR="00833E38">
        <w:t>.</w:t>
      </w:r>
      <w:r>
        <w:t>A</w:t>
      </w:r>
      <w:r w:rsidR="00833E38">
        <w:t>.</w:t>
      </w:r>
      <w:r>
        <w:t>N</w:t>
      </w:r>
      <w:r w:rsidR="00833E38">
        <w:t>.</w:t>
      </w:r>
      <w:r>
        <w:t>, el cual soli</w:t>
      </w:r>
      <w:r w:rsidR="002D2F4C">
        <w:t>citará</w:t>
      </w:r>
      <w:r>
        <w:t xml:space="preserve"> y </w:t>
      </w:r>
      <w:r w:rsidR="002D2F4C">
        <w:t>controlará</w:t>
      </w:r>
      <w:r>
        <w:t xml:space="preserve"> las respectivas rendicion</w:t>
      </w:r>
      <w:r w:rsidR="002D2F4C">
        <w:t>e</w:t>
      </w:r>
      <w:r>
        <w:t xml:space="preserve">s de </w:t>
      </w:r>
      <w:r w:rsidR="002D2F4C">
        <w:t>gastos</w:t>
      </w:r>
      <w:r>
        <w:t xml:space="preserve"> de las beneficiari</w:t>
      </w:r>
      <w:r w:rsidR="002D2F4C">
        <w:t>o</w:t>
      </w:r>
      <w:r>
        <w:t>s de los m</w:t>
      </w:r>
      <w:r w:rsidR="002D2F4C">
        <w:t>e</w:t>
      </w:r>
      <w:r>
        <w:t>cani</w:t>
      </w:r>
      <w:r w:rsidR="002D2F4C">
        <w:t>s</w:t>
      </w:r>
      <w:r>
        <w:t>mo</w:t>
      </w:r>
      <w:r w:rsidR="002D2F4C">
        <w:t>s</w:t>
      </w:r>
      <w:r>
        <w:t xml:space="preserve"> de apoyo de acuer</w:t>
      </w:r>
      <w:r w:rsidR="002D2F4C">
        <w:t>d</w:t>
      </w:r>
      <w:r>
        <w:t>o a las disposiciones de la Orden</w:t>
      </w:r>
      <w:r w:rsidR="002D2F4C">
        <w:t>a</w:t>
      </w:r>
      <w:r>
        <w:t>nza Nº 77 de este T</w:t>
      </w:r>
      <w:r w:rsidR="00833E38">
        <w:t>ribunal. Asimismo, se presentará</w:t>
      </w:r>
      <w:r>
        <w:t xml:space="preserve"> un inf</w:t>
      </w:r>
      <w:r w:rsidR="002D2F4C">
        <w:t>o</w:t>
      </w:r>
      <w:r>
        <w:t>rme de revisión limitad</w:t>
      </w:r>
      <w:r w:rsidR="00833E38">
        <w:t>a</w:t>
      </w:r>
      <w:r>
        <w:t xml:space="preserve"> firmado por </w:t>
      </w:r>
      <w:r w:rsidR="002D2F4C">
        <w:t>Contador</w:t>
      </w:r>
      <w:r>
        <w:t xml:space="preserve"> P</w:t>
      </w:r>
      <w:r w:rsidR="002D2F4C">
        <w:t>ú</w:t>
      </w:r>
      <w:r>
        <w:t>blico, en el pl</w:t>
      </w:r>
      <w:r w:rsidR="002D2F4C">
        <w:t>azo de 60 dí</w:t>
      </w:r>
      <w:r>
        <w:t>as desde la fec</w:t>
      </w:r>
      <w:r w:rsidR="002D2F4C">
        <w:t>h</w:t>
      </w:r>
      <w:r>
        <w:t xml:space="preserve">a de cada </w:t>
      </w:r>
      <w:r w:rsidR="002D2F4C">
        <w:t>asignación</w:t>
      </w:r>
      <w:r>
        <w:t>, conjuntamente con la declaración del jerarca del S</w:t>
      </w:r>
      <w:r w:rsidR="00833E38">
        <w:t>.</w:t>
      </w:r>
      <w:r>
        <w:t>E</w:t>
      </w:r>
      <w:r w:rsidR="00833E38">
        <w:t>.</w:t>
      </w:r>
      <w:r>
        <w:t>C</w:t>
      </w:r>
      <w:r w:rsidR="00833E38">
        <w:t>.</w:t>
      </w:r>
      <w:r>
        <w:t>A</w:t>
      </w:r>
      <w:r w:rsidR="00833E38">
        <w:t>.</w:t>
      </w:r>
      <w:r>
        <w:t>N</w:t>
      </w:r>
      <w:r w:rsidR="00833E38">
        <w:t>.;</w:t>
      </w:r>
    </w:p>
    <w:p w:rsidR="007770A6" w:rsidRDefault="00833E38" w:rsidP="007770A6">
      <w:pPr>
        <w:spacing w:line="360" w:lineRule="auto"/>
        <w:ind w:firstLine="2694"/>
        <w:jc w:val="both"/>
      </w:pPr>
      <w:r>
        <w:t xml:space="preserve">  </w:t>
      </w:r>
      <w:r w:rsidR="00C769D9" w:rsidRPr="00554D78">
        <w:rPr>
          <w:b/>
        </w:rPr>
        <w:t>4)</w:t>
      </w:r>
      <w:r w:rsidR="00C769D9">
        <w:t xml:space="preserve"> que</w:t>
      </w:r>
      <w:r w:rsidR="00650F2A">
        <w:t>,</w:t>
      </w:r>
      <w:r w:rsidR="00C769D9">
        <w:t xml:space="preserve"> </w:t>
      </w:r>
      <w:r>
        <w:t>según se señala,</w:t>
      </w:r>
      <w:r w:rsidR="00C769D9">
        <w:t xml:space="preserve"> h</w:t>
      </w:r>
      <w:r w:rsidR="002D2F4C">
        <w:t>a</w:t>
      </w:r>
      <w:r w:rsidR="00C769D9">
        <w:t xml:space="preserve">sta tanto </w:t>
      </w:r>
      <w:r>
        <w:t>s</w:t>
      </w:r>
      <w:r w:rsidR="00C769D9">
        <w:t xml:space="preserve">e </w:t>
      </w:r>
      <w:r w:rsidR="002D2F4C">
        <w:t>formalice</w:t>
      </w:r>
      <w:r w:rsidR="00C769D9">
        <w:t xml:space="preserve"> el acuerdo de </w:t>
      </w:r>
      <w:r w:rsidR="002D2F4C">
        <w:t>administración</w:t>
      </w:r>
      <w:r w:rsidR="00C769D9">
        <w:t xml:space="preserve">, las partes podrán realizar los pagos </w:t>
      </w:r>
      <w:r w:rsidR="002D2F4C">
        <w:t>directamente</w:t>
      </w:r>
      <w:r w:rsidR="00C769D9">
        <w:t xml:space="preserve"> al </w:t>
      </w:r>
      <w:r w:rsidR="002D2F4C">
        <w:t>beneficiario</w:t>
      </w:r>
      <w:r w:rsidR="00C769D9">
        <w:t xml:space="preserve"> u otro proveedor en el marco del </w:t>
      </w:r>
      <w:r w:rsidR="002D2F4C">
        <w:t>Programa</w:t>
      </w:r>
      <w:r w:rsidR="00C769D9">
        <w:t xml:space="preserve"> “Series UY”. Una vez realizado el </w:t>
      </w:r>
      <w:r w:rsidR="002D2F4C">
        <w:t>mencionado</w:t>
      </w:r>
      <w:r w:rsidR="00C769D9">
        <w:t xml:space="preserve"> acuerdo, los pagos se </w:t>
      </w:r>
      <w:r w:rsidR="002D2F4C">
        <w:t>implementar</w:t>
      </w:r>
      <w:r>
        <w:t>á</w:t>
      </w:r>
      <w:r w:rsidR="002D2F4C">
        <w:t>n</w:t>
      </w:r>
      <w:r w:rsidR="00C769D9">
        <w:t xml:space="preserve"> a </w:t>
      </w:r>
      <w:r w:rsidR="002D2F4C">
        <w:t>través</w:t>
      </w:r>
      <w:r w:rsidR="00C769D9">
        <w:t xml:space="preserve"> del </w:t>
      </w:r>
      <w:r w:rsidR="002D2F4C">
        <w:t>organismo</w:t>
      </w:r>
      <w:r w:rsidR="00C769D9">
        <w:t xml:space="preserve"> de adminis</w:t>
      </w:r>
      <w:r w:rsidR="002D2F4C">
        <w:t>t</w:t>
      </w:r>
      <w:r w:rsidR="00C769D9">
        <w:t>r</w:t>
      </w:r>
      <w:r w:rsidR="002D2F4C">
        <w:t>ació</w:t>
      </w:r>
      <w:r w:rsidR="00C769D9">
        <w:t>n que se defina;</w:t>
      </w:r>
    </w:p>
    <w:p w:rsidR="007770A6" w:rsidRDefault="00C769D9" w:rsidP="007770A6">
      <w:pPr>
        <w:spacing w:line="360" w:lineRule="auto"/>
        <w:ind w:firstLine="2694"/>
        <w:jc w:val="both"/>
      </w:pPr>
      <w:r w:rsidRPr="00554D78">
        <w:rPr>
          <w:b/>
        </w:rPr>
        <w:t>5)</w:t>
      </w:r>
      <w:r>
        <w:t xml:space="preserve"> que surge del </w:t>
      </w:r>
      <w:r w:rsidR="002D2F4C">
        <w:t>proyecto</w:t>
      </w:r>
      <w:r>
        <w:t xml:space="preserve"> </w:t>
      </w:r>
      <w:r w:rsidR="002D2F4C">
        <w:t>remitido</w:t>
      </w:r>
      <w:r>
        <w:t xml:space="preserve"> que el convenio </w:t>
      </w:r>
      <w:r w:rsidR="002D2F4C">
        <w:t>comenzará</w:t>
      </w:r>
      <w:r>
        <w:t xml:space="preserve"> su vigencia al momento de </w:t>
      </w:r>
      <w:r w:rsidR="002D2F4C">
        <w:t>suscripción</w:t>
      </w:r>
      <w:r>
        <w:t xml:space="preserve"> y </w:t>
      </w:r>
      <w:r w:rsidR="002D2F4C">
        <w:t>tendrá</w:t>
      </w:r>
      <w:r>
        <w:t xml:space="preserve"> un plazo</w:t>
      </w:r>
      <w:r w:rsidR="00A53E6D">
        <w:t xml:space="preserve"> que venc</w:t>
      </w:r>
      <w:r w:rsidR="00833E38">
        <w:t>erá</w:t>
      </w:r>
      <w:r w:rsidR="00A53E6D">
        <w:t xml:space="preserve"> el 31 de </w:t>
      </w:r>
      <w:r w:rsidR="002D2F4C">
        <w:t>diciembre</w:t>
      </w:r>
      <w:r w:rsidR="00A53E6D">
        <w:t xml:space="preserve"> de 2019. </w:t>
      </w:r>
      <w:r w:rsidR="002D2F4C">
        <w:t>Transcurrido</w:t>
      </w:r>
      <w:r w:rsidR="00A53E6D">
        <w:t xml:space="preserve"> dicho plazo sin que ninguna de las </w:t>
      </w:r>
      <w:r w:rsidR="002D2F4C">
        <w:t>partes</w:t>
      </w:r>
      <w:r w:rsidR="00A53E6D">
        <w:t xml:space="preserve"> realizara </w:t>
      </w:r>
      <w:r w:rsidR="002D2F4C">
        <w:t>denuncia</w:t>
      </w:r>
      <w:r w:rsidR="00A53E6D">
        <w:t xml:space="preserve"> d</w:t>
      </w:r>
      <w:r w:rsidR="002D2F4C">
        <w:t>el mismo, el mismo se prorrogará</w:t>
      </w:r>
      <w:r w:rsidR="00A53E6D">
        <w:t xml:space="preserve"> por per</w:t>
      </w:r>
      <w:r w:rsidR="002D2F4C">
        <w:t>í</w:t>
      </w:r>
      <w:r w:rsidR="00A53E6D">
        <w:t>odo</w:t>
      </w:r>
      <w:r w:rsidR="002D2F4C">
        <w:t>s</w:t>
      </w:r>
      <w:r w:rsidR="00A53E6D">
        <w:t xml:space="preserve"> anuales en forma automática, salvo que alguna de las p</w:t>
      </w:r>
      <w:r w:rsidR="002D2F4C">
        <w:t>a</w:t>
      </w:r>
      <w:r w:rsidR="00A53E6D">
        <w:t>rt</w:t>
      </w:r>
      <w:r w:rsidR="002D2F4C">
        <w:t>e</w:t>
      </w:r>
      <w:r w:rsidR="00A53E6D">
        <w:t xml:space="preserve">s </w:t>
      </w:r>
      <w:r w:rsidR="002D2F4C">
        <w:t>realizar</w:t>
      </w:r>
      <w:r w:rsidR="00650F2A">
        <w:t>a</w:t>
      </w:r>
      <w:r w:rsidR="00A53E6D">
        <w:t xml:space="preserve"> la denun</w:t>
      </w:r>
      <w:r w:rsidR="002D2F4C">
        <w:t>c</w:t>
      </w:r>
      <w:r w:rsidR="00A53E6D">
        <w:t>i</w:t>
      </w:r>
      <w:r w:rsidR="002D2F4C">
        <w:t>a</w:t>
      </w:r>
      <w:r w:rsidR="00A53E6D">
        <w:t xml:space="preserve"> del mismo con un </w:t>
      </w:r>
      <w:r w:rsidR="002D2F4C">
        <w:t>plazo</w:t>
      </w:r>
      <w:r w:rsidR="00A53E6D">
        <w:t xml:space="preserve"> de 60 </w:t>
      </w:r>
      <w:r w:rsidR="002D2F4C">
        <w:t>días</w:t>
      </w:r>
      <w:r w:rsidR="00A53E6D">
        <w:t xml:space="preserve"> de antelación al </w:t>
      </w:r>
      <w:r w:rsidR="002D2F4C">
        <w:t>vencimiento</w:t>
      </w:r>
      <w:r w:rsidR="00A53E6D">
        <w:t>;</w:t>
      </w:r>
    </w:p>
    <w:p w:rsidR="007770A6" w:rsidRDefault="00554D78" w:rsidP="007770A6">
      <w:pPr>
        <w:spacing w:line="360" w:lineRule="auto"/>
        <w:ind w:firstLine="2694"/>
        <w:jc w:val="both"/>
        <w:rPr>
          <w:lang w:val="es-UY"/>
        </w:rPr>
      </w:pPr>
      <w:r>
        <w:rPr>
          <w:b/>
          <w:bCs/>
          <w:lang w:val="es-UY"/>
        </w:rPr>
        <w:t>6</w:t>
      </w:r>
      <w:r w:rsidR="00D01B53">
        <w:rPr>
          <w:b/>
          <w:bCs/>
          <w:lang w:val="es-UY"/>
        </w:rPr>
        <w:t xml:space="preserve">) </w:t>
      </w:r>
      <w:r w:rsidR="00D01B53">
        <w:rPr>
          <w:lang w:val="es-UY"/>
        </w:rPr>
        <w:t xml:space="preserve">que se adjunta </w:t>
      </w:r>
      <w:r w:rsidR="00A53E6D">
        <w:rPr>
          <w:lang w:val="es-UY"/>
        </w:rPr>
        <w:t>d</w:t>
      </w:r>
      <w:r w:rsidR="00D01B53">
        <w:rPr>
          <w:lang w:val="es-UY"/>
        </w:rPr>
        <w:t>ocumento de afectación Nº 000</w:t>
      </w:r>
      <w:r w:rsidR="00A53E6D">
        <w:rPr>
          <w:lang w:val="es-UY"/>
        </w:rPr>
        <w:t>133</w:t>
      </w:r>
      <w:r w:rsidR="00D01B53">
        <w:rPr>
          <w:lang w:val="es-UY"/>
        </w:rPr>
        <w:t xml:space="preserve"> de fecha </w:t>
      </w:r>
      <w:r w:rsidR="00A53E6D">
        <w:rPr>
          <w:lang w:val="es-UY"/>
        </w:rPr>
        <w:t>30</w:t>
      </w:r>
      <w:r w:rsidR="00D01B53">
        <w:rPr>
          <w:lang w:val="es-UY"/>
        </w:rPr>
        <w:t xml:space="preserve"> de </w:t>
      </w:r>
      <w:r w:rsidR="00A53E6D">
        <w:rPr>
          <w:lang w:val="es-UY"/>
        </w:rPr>
        <w:t>agosto de 2017</w:t>
      </w:r>
      <w:r w:rsidR="00D01B53">
        <w:rPr>
          <w:lang w:val="es-UY"/>
        </w:rPr>
        <w:t>, por la suma de $ 1:</w:t>
      </w:r>
      <w:r w:rsidR="00A53E6D">
        <w:rPr>
          <w:lang w:val="es-UY"/>
        </w:rPr>
        <w:t>5</w:t>
      </w:r>
      <w:r w:rsidR="00D01B53">
        <w:rPr>
          <w:lang w:val="es-UY"/>
        </w:rPr>
        <w:t xml:space="preserve">00.000 con cargo al Programa </w:t>
      </w:r>
      <w:r w:rsidR="00A53E6D">
        <w:rPr>
          <w:lang w:val="es-UY"/>
        </w:rPr>
        <w:t>320</w:t>
      </w:r>
      <w:r w:rsidR="00D01B53">
        <w:rPr>
          <w:lang w:val="es-UY"/>
        </w:rPr>
        <w:t>, Objeto de Gasto 2</w:t>
      </w:r>
      <w:r w:rsidR="00A53E6D">
        <w:rPr>
          <w:lang w:val="es-UY"/>
        </w:rPr>
        <w:t>99</w:t>
      </w:r>
      <w:r w:rsidR="00D01B53">
        <w:rPr>
          <w:lang w:val="es-UY"/>
        </w:rPr>
        <w:t>,</w:t>
      </w:r>
      <w:r w:rsidR="00A53E6D">
        <w:rPr>
          <w:lang w:val="es-UY"/>
        </w:rPr>
        <w:t xml:space="preserve"> </w:t>
      </w:r>
      <w:r w:rsidR="00D01B53">
        <w:rPr>
          <w:lang w:val="es-UY"/>
        </w:rPr>
        <w:t xml:space="preserve"> de la Unidad Ejecutora 0</w:t>
      </w:r>
      <w:r w:rsidR="00A53E6D">
        <w:rPr>
          <w:lang w:val="es-UY"/>
        </w:rPr>
        <w:t>10</w:t>
      </w:r>
      <w:r w:rsidR="00D01B53">
        <w:rPr>
          <w:lang w:val="es-UY"/>
        </w:rPr>
        <w:t xml:space="preserve"> del Inciso </w:t>
      </w:r>
      <w:r w:rsidR="00A53E6D">
        <w:rPr>
          <w:lang w:val="es-UY"/>
        </w:rPr>
        <w:t>08</w:t>
      </w:r>
      <w:r>
        <w:rPr>
          <w:lang w:val="es-UY"/>
        </w:rPr>
        <w:t>;</w:t>
      </w:r>
      <w:r w:rsidR="00A53E6D">
        <w:rPr>
          <w:lang w:val="es-UY"/>
        </w:rPr>
        <w:t xml:space="preserve"> </w:t>
      </w:r>
    </w:p>
    <w:p w:rsidR="00A53E6D" w:rsidRPr="007770A6" w:rsidRDefault="00120352" w:rsidP="007770A6">
      <w:pPr>
        <w:spacing w:line="360" w:lineRule="auto"/>
        <w:ind w:firstLine="2694"/>
        <w:jc w:val="both"/>
      </w:pPr>
      <w:r>
        <w:rPr>
          <w:lang w:val="es-UY"/>
        </w:rPr>
        <w:t xml:space="preserve"> </w:t>
      </w:r>
      <w:r w:rsidR="00554D78">
        <w:rPr>
          <w:lang w:val="es-UY"/>
        </w:rPr>
        <w:t xml:space="preserve"> </w:t>
      </w:r>
      <w:r w:rsidR="00554D78" w:rsidRPr="00554D78">
        <w:rPr>
          <w:b/>
          <w:lang w:val="es-UY"/>
        </w:rPr>
        <w:t>7</w:t>
      </w:r>
      <w:r w:rsidR="00A53E6D" w:rsidRPr="00554D78">
        <w:rPr>
          <w:b/>
          <w:lang w:val="es-UY"/>
        </w:rPr>
        <w:t>)</w:t>
      </w:r>
      <w:r w:rsidR="00A53E6D">
        <w:rPr>
          <w:lang w:val="es-UY"/>
        </w:rPr>
        <w:t xml:space="preserve"> que</w:t>
      </w:r>
      <w:r w:rsidR="00650F2A">
        <w:rPr>
          <w:lang w:val="es-UY"/>
        </w:rPr>
        <w:t>,</w:t>
      </w:r>
      <w:r w:rsidR="00A53E6D">
        <w:rPr>
          <w:lang w:val="es-UY"/>
        </w:rPr>
        <w:t xml:space="preserve"> por su parte</w:t>
      </w:r>
      <w:r>
        <w:rPr>
          <w:lang w:val="es-UY"/>
        </w:rPr>
        <w:t>,</w:t>
      </w:r>
      <w:r w:rsidR="00A53E6D">
        <w:rPr>
          <w:lang w:val="es-UY"/>
        </w:rPr>
        <w:t xml:space="preserve"> se </w:t>
      </w:r>
      <w:r>
        <w:rPr>
          <w:lang w:val="es-UY"/>
        </w:rPr>
        <w:t>agrega</w:t>
      </w:r>
      <w:r w:rsidR="00A53E6D">
        <w:rPr>
          <w:lang w:val="es-UY"/>
        </w:rPr>
        <w:t xml:space="preserve"> informe elaborado el 30 de agosto de 2017 por el </w:t>
      </w:r>
      <w:r w:rsidR="002D2F4C">
        <w:rPr>
          <w:lang w:val="es-UY"/>
        </w:rPr>
        <w:t>Área</w:t>
      </w:r>
      <w:r w:rsidR="00A53E6D">
        <w:rPr>
          <w:lang w:val="es-UY"/>
        </w:rPr>
        <w:t xml:space="preserve"> de Planifica</w:t>
      </w:r>
      <w:r w:rsidR="002D2F4C">
        <w:rPr>
          <w:lang w:val="es-UY"/>
        </w:rPr>
        <w:t>ción</w:t>
      </w:r>
      <w:r w:rsidR="00A53E6D">
        <w:rPr>
          <w:lang w:val="es-UY"/>
        </w:rPr>
        <w:t xml:space="preserve"> y </w:t>
      </w:r>
      <w:r w:rsidR="002D2F4C">
        <w:rPr>
          <w:lang w:val="es-UY"/>
        </w:rPr>
        <w:t>Gestión</w:t>
      </w:r>
      <w:r w:rsidR="00A53E6D">
        <w:rPr>
          <w:lang w:val="es-UY"/>
        </w:rPr>
        <w:t xml:space="preserve"> </w:t>
      </w:r>
      <w:r w:rsidR="002D2F4C">
        <w:rPr>
          <w:lang w:val="es-UY"/>
        </w:rPr>
        <w:t>Financiero</w:t>
      </w:r>
      <w:r w:rsidR="00A53E6D">
        <w:rPr>
          <w:lang w:val="es-UY"/>
        </w:rPr>
        <w:t xml:space="preserve"> </w:t>
      </w:r>
      <w:r w:rsidR="002D2F4C">
        <w:rPr>
          <w:lang w:val="es-UY"/>
        </w:rPr>
        <w:t>Contable</w:t>
      </w:r>
      <w:r w:rsidR="00A53E6D">
        <w:rPr>
          <w:lang w:val="es-UY"/>
        </w:rPr>
        <w:t xml:space="preserve"> del M</w:t>
      </w:r>
      <w:r>
        <w:rPr>
          <w:lang w:val="es-UY"/>
        </w:rPr>
        <w:t>.</w:t>
      </w:r>
      <w:r w:rsidR="00A53E6D">
        <w:rPr>
          <w:lang w:val="es-UY"/>
        </w:rPr>
        <w:t>I</w:t>
      </w:r>
      <w:r>
        <w:rPr>
          <w:lang w:val="es-UY"/>
        </w:rPr>
        <w:t>.</w:t>
      </w:r>
      <w:r w:rsidR="00A53E6D">
        <w:rPr>
          <w:lang w:val="es-UY"/>
        </w:rPr>
        <w:t>E</w:t>
      </w:r>
      <w:r>
        <w:rPr>
          <w:lang w:val="es-UY"/>
        </w:rPr>
        <w:t>.</w:t>
      </w:r>
      <w:r w:rsidR="00A53E6D">
        <w:rPr>
          <w:lang w:val="es-UY"/>
        </w:rPr>
        <w:t>M</w:t>
      </w:r>
      <w:r>
        <w:rPr>
          <w:lang w:val="es-UY"/>
        </w:rPr>
        <w:t>.</w:t>
      </w:r>
      <w:r w:rsidR="00A53E6D">
        <w:rPr>
          <w:lang w:val="es-UY"/>
        </w:rPr>
        <w:t xml:space="preserve">, en el cual se informa que el gasto total que </w:t>
      </w:r>
      <w:r w:rsidR="002D2F4C">
        <w:rPr>
          <w:lang w:val="es-UY"/>
        </w:rPr>
        <w:t>emerge</w:t>
      </w:r>
      <w:r w:rsidR="00A53E6D">
        <w:rPr>
          <w:lang w:val="es-UY"/>
        </w:rPr>
        <w:t xml:space="preserve"> del convenio por el </w:t>
      </w:r>
      <w:r w:rsidR="002D2F4C">
        <w:rPr>
          <w:lang w:val="es-UY"/>
        </w:rPr>
        <w:t>período</w:t>
      </w:r>
      <w:r w:rsidR="00A53E6D">
        <w:rPr>
          <w:lang w:val="es-UY"/>
        </w:rPr>
        <w:t xml:space="preserve"> </w:t>
      </w:r>
      <w:r w:rsidR="002D2F4C">
        <w:rPr>
          <w:lang w:val="es-UY"/>
        </w:rPr>
        <w:t>inicial</w:t>
      </w:r>
      <w:r w:rsidR="00A53E6D">
        <w:rPr>
          <w:lang w:val="es-UY"/>
        </w:rPr>
        <w:t xml:space="preserve"> de vigencia asciende a $ 18.000.000, de los cuales $ 4.500.000 corresponde al MIEM, a razón de $ 1.500.00</w:t>
      </w:r>
      <w:r w:rsidR="002D2F4C">
        <w:rPr>
          <w:lang w:val="es-UY"/>
        </w:rPr>
        <w:t>0</w:t>
      </w:r>
      <w:r w:rsidR="00A53E6D">
        <w:rPr>
          <w:lang w:val="es-UY"/>
        </w:rPr>
        <w:t xml:space="preserve"> </w:t>
      </w:r>
      <w:r w:rsidR="002D2F4C">
        <w:rPr>
          <w:lang w:val="es-UY"/>
        </w:rPr>
        <w:t>anuales</w:t>
      </w:r>
      <w:r w:rsidR="00A53E6D">
        <w:rPr>
          <w:lang w:val="es-UY"/>
        </w:rPr>
        <w:t>;</w:t>
      </w:r>
    </w:p>
    <w:p w:rsidR="00120352" w:rsidRDefault="00D01B53" w:rsidP="007770A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lastRenderedPageBreak/>
        <w:t>CONSIDERANDO:</w:t>
      </w:r>
      <w:r>
        <w:rPr>
          <w:b/>
        </w:rPr>
        <w:t xml:space="preserve"> </w:t>
      </w:r>
      <w:r w:rsidR="00120352">
        <w:rPr>
          <w:rFonts w:cs="Arial"/>
          <w:b/>
          <w:lang w:val="es-MX"/>
        </w:rPr>
        <w:t>1</w:t>
      </w:r>
      <w:r w:rsidR="00120352" w:rsidRPr="0099797B">
        <w:rPr>
          <w:rFonts w:cs="Arial"/>
          <w:b/>
          <w:lang w:val="es-MX"/>
        </w:rPr>
        <w:t>)</w:t>
      </w:r>
      <w:r w:rsidR="00120352">
        <w:rPr>
          <w:rFonts w:cs="Arial"/>
          <w:lang w:val="es-MX"/>
        </w:rPr>
        <w:t xml:space="preserve"> que</w:t>
      </w:r>
      <w:r w:rsidR="00650F2A">
        <w:rPr>
          <w:rFonts w:cs="Arial"/>
          <w:lang w:val="es-MX"/>
        </w:rPr>
        <w:t>,</w:t>
      </w:r>
      <w:r w:rsidR="00120352">
        <w:rPr>
          <w:rFonts w:cs="Arial"/>
          <w:lang w:val="es-MX"/>
        </w:rPr>
        <w:t xml:space="preserve"> conforme dispone el numeral 9) del artículo 275 de la Constitución de la República compete al Intendente “</w:t>
      </w:r>
      <w:r w:rsidR="00120352" w:rsidRPr="00120352">
        <w:rPr>
          <w:rFonts w:cs="Arial"/>
          <w:i/>
          <w:lang w:val="es-MX"/>
        </w:rPr>
        <w:t>Velar por la salud pública y la instrucción primaria, secundaria y preparatoria, industrial y artística, proponiendo a las autoridad</w:t>
      </w:r>
      <w:r w:rsidR="00650F2A">
        <w:rPr>
          <w:rFonts w:cs="Arial"/>
          <w:i/>
          <w:lang w:val="es-MX"/>
        </w:rPr>
        <w:t>es</w:t>
      </w:r>
      <w:r w:rsidR="00120352" w:rsidRPr="00120352">
        <w:rPr>
          <w:rFonts w:cs="Arial"/>
          <w:i/>
          <w:lang w:val="es-MX"/>
        </w:rPr>
        <w:t xml:space="preserve"> competentes los medios adecuados para su mejoramiento</w:t>
      </w:r>
      <w:r w:rsidR="00120352">
        <w:rPr>
          <w:rFonts w:cs="Arial"/>
          <w:lang w:val="es-MX"/>
        </w:rPr>
        <w:t>”;</w:t>
      </w:r>
    </w:p>
    <w:p w:rsidR="007770A6" w:rsidRDefault="00120352" w:rsidP="007770A6">
      <w:pPr>
        <w:spacing w:line="360" w:lineRule="auto"/>
        <w:ind w:firstLine="2977"/>
        <w:jc w:val="both"/>
        <w:rPr>
          <w:rFonts w:cs="Arial"/>
          <w:lang w:val="es-MX"/>
        </w:rPr>
      </w:pPr>
      <w:r w:rsidRPr="0099797B">
        <w:rPr>
          <w:b/>
        </w:rPr>
        <w:t>2)</w:t>
      </w:r>
      <w:r>
        <w:t xml:space="preserve">  que por su parte, conforme lo establece el artículo 94 bis a la Ley Nº 17.296, en la redacción </w:t>
      </w:r>
      <w:r w:rsidR="007770A6">
        <w:t>dada por el artículo 418 de la L</w:t>
      </w:r>
      <w:r>
        <w:t>ey 18.719, compete a la Dirección Nacional de Telecomunicaciones y Servicios de Comunicación Audiovisual del M.I.E.M. la promoción de acciones tendientes a mejorar el despliegue tecnológico del sector de las telecomunicaciones y comunicación audiovisual en el país;</w:t>
      </w:r>
    </w:p>
    <w:p w:rsidR="007770A6" w:rsidRDefault="00120352" w:rsidP="007770A6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b/>
        </w:rPr>
        <w:t>3</w:t>
      </w:r>
      <w:r w:rsidR="00D01B53">
        <w:rPr>
          <w:b/>
        </w:rPr>
        <w:t xml:space="preserve">) </w:t>
      </w:r>
      <w:r w:rsidR="00D01B53">
        <w:rPr>
          <w:rFonts w:cs="Arial"/>
          <w:lang w:val="es-MX"/>
        </w:rPr>
        <w:t>que</w:t>
      </w:r>
      <w:r w:rsidR="00650F2A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asimismo, de acuerdo a lo dispuesto por</w:t>
      </w:r>
      <w:r w:rsidR="00D01B53">
        <w:rPr>
          <w:rFonts w:cs="Arial"/>
          <w:lang w:val="es-MX"/>
        </w:rPr>
        <w:t xml:space="preserve"> el decreto 63/998 del 10/3/998, el M</w:t>
      </w:r>
      <w:r>
        <w:rPr>
          <w:rFonts w:cs="Arial"/>
          <w:lang w:val="es-MX"/>
        </w:rPr>
        <w:t>.</w:t>
      </w:r>
      <w:r w:rsidR="00D01B53">
        <w:rPr>
          <w:rFonts w:cs="Arial"/>
          <w:lang w:val="es-MX"/>
        </w:rPr>
        <w:t>E</w:t>
      </w:r>
      <w:r>
        <w:rPr>
          <w:rFonts w:cs="Arial"/>
          <w:lang w:val="es-MX"/>
        </w:rPr>
        <w:t>.</w:t>
      </w:r>
      <w:r w:rsidR="00D01B53">
        <w:rPr>
          <w:rFonts w:cs="Arial"/>
          <w:lang w:val="es-MX"/>
        </w:rPr>
        <w:t>C</w:t>
      </w:r>
      <w:r>
        <w:rPr>
          <w:rFonts w:cs="Arial"/>
          <w:lang w:val="es-MX"/>
        </w:rPr>
        <w:t>.</w:t>
      </w:r>
      <w:r w:rsidR="00D01B53">
        <w:rPr>
          <w:rFonts w:cs="Arial"/>
          <w:lang w:val="es-MX"/>
        </w:rPr>
        <w:t xml:space="preserve"> es el responsable de la conducción superior de la política nacional de la educación, teniendo como cometidos sustantivos, entre otros, la elaboración de políticas, planes y programas referidos a la educación, la cultura, la ciencia, la tecnología y el desarrollo humano;</w:t>
      </w:r>
    </w:p>
    <w:p w:rsidR="00D01B53" w:rsidRPr="007770A6" w:rsidRDefault="00120352" w:rsidP="007770A6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b/>
        </w:rPr>
        <w:t>4</w:t>
      </w:r>
      <w:r w:rsidR="0099797B" w:rsidRPr="0099797B">
        <w:rPr>
          <w:b/>
        </w:rPr>
        <w:t>)</w:t>
      </w:r>
      <w:r w:rsidR="0099797B">
        <w:t xml:space="preserve"> </w:t>
      </w:r>
      <w:r w:rsidR="00554D78" w:rsidRPr="007F7D0E">
        <w:rPr>
          <w:rFonts w:cs="Arial"/>
          <w:lang w:val="es-MX"/>
        </w:rPr>
        <w:t>que la selección directa de</w:t>
      </w:r>
      <w:r>
        <w:rPr>
          <w:rFonts w:cs="Arial"/>
          <w:lang w:val="es-MX"/>
        </w:rPr>
        <w:t xml:space="preserve"> </w:t>
      </w:r>
      <w:r w:rsidR="00554D78" w:rsidRPr="007F7D0E">
        <w:rPr>
          <w:rFonts w:cs="Arial"/>
          <w:lang w:val="es-MX"/>
        </w:rPr>
        <w:t>l</w:t>
      </w:r>
      <w:r>
        <w:rPr>
          <w:rFonts w:cs="Arial"/>
          <w:lang w:val="es-MX"/>
        </w:rPr>
        <w:t>os</w:t>
      </w:r>
      <w:r w:rsidR="00554D78" w:rsidRPr="007F7D0E">
        <w:rPr>
          <w:rFonts w:cs="Arial"/>
          <w:lang w:val="es-MX"/>
        </w:rPr>
        <w:t xml:space="preserve"> </w:t>
      </w:r>
      <w:proofErr w:type="spellStart"/>
      <w:r w:rsidR="00554D78" w:rsidRPr="007F7D0E">
        <w:rPr>
          <w:rFonts w:cs="Arial"/>
          <w:lang w:val="es-MX"/>
        </w:rPr>
        <w:t>co</w:t>
      </w:r>
      <w:proofErr w:type="spellEnd"/>
      <w:r w:rsidR="00554D78" w:rsidRPr="007F7D0E">
        <w:rPr>
          <w:rFonts w:cs="Arial"/>
          <w:lang w:val="es-MX"/>
        </w:rPr>
        <w:t>-contratante</w:t>
      </w:r>
      <w:r w:rsidR="001E51EF">
        <w:rPr>
          <w:rFonts w:cs="Arial"/>
          <w:lang w:val="es-MX"/>
        </w:rPr>
        <w:t>s</w:t>
      </w:r>
      <w:r w:rsidR="00554D78" w:rsidRPr="007F7D0E">
        <w:rPr>
          <w:rFonts w:cs="Arial"/>
          <w:lang w:val="es-MX"/>
        </w:rPr>
        <w:t xml:space="preserve"> encuadra en la causal excepción establecida en el num</w:t>
      </w:r>
      <w:r>
        <w:rPr>
          <w:rFonts w:cs="Arial"/>
          <w:lang w:val="es-MX"/>
        </w:rPr>
        <w:t>eral</w:t>
      </w:r>
      <w:r w:rsidR="00554D78" w:rsidRPr="007F7D0E">
        <w:rPr>
          <w:rFonts w:cs="Arial"/>
          <w:lang w:val="es-MX"/>
        </w:rPr>
        <w:t xml:space="preserve"> 1) del lit</w:t>
      </w:r>
      <w:r>
        <w:rPr>
          <w:rFonts w:cs="Arial"/>
          <w:lang w:val="es-MX"/>
        </w:rPr>
        <w:t>eral</w:t>
      </w:r>
      <w:r w:rsidR="001E51EF">
        <w:rPr>
          <w:rFonts w:cs="Arial"/>
          <w:lang w:val="es-MX"/>
        </w:rPr>
        <w:t xml:space="preserve"> C) del artículo</w:t>
      </w:r>
      <w:r w:rsidR="00554D78" w:rsidRPr="007F7D0E">
        <w:rPr>
          <w:rFonts w:cs="Arial"/>
          <w:lang w:val="es-MX"/>
        </w:rPr>
        <w:t xml:space="preserve"> 33 del TOCAF, que atendiendo a la naturaleza jurídica de </w:t>
      </w:r>
      <w:proofErr w:type="gramStart"/>
      <w:r w:rsidR="00554D78" w:rsidRPr="007F7D0E">
        <w:rPr>
          <w:rFonts w:cs="Arial"/>
          <w:lang w:val="es-MX"/>
        </w:rPr>
        <w:t>los</w:t>
      </w:r>
      <w:proofErr w:type="gramEnd"/>
      <w:r w:rsidR="00554D78" w:rsidRPr="007F7D0E">
        <w:rPr>
          <w:rFonts w:cs="Arial"/>
          <w:lang w:val="es-MX"/>
        </w:rPr>
        <w:t xml:space="preserve"> ent</w:t>
      </w:r>
      <w:r>
        <w:rPr>
          <w:rFonts w:cs="Arial"/>
          <w:lang w:val="es-MX"/>
        </w:rPr>
        <w:t>idades</w:t>
      </w:r>
      <w:r w:rsidR="00554D78" w:rsidRPr="007F7D0E">
        <w:rPr>
          <w:rFonts w:cs="Arial"/>
          <w:lang w:val="es-MX"/>
        </w:rPr>
        <w:t xml:space="preserve"> intervinientes habilita a prescindir del procedimiento de contratación que conforme con el monto del gasto corresponde;</w:t>
      </w:r>
      <w:r w:rsidR="00D01B53">
        <w:t xml:space="preserve">    </w:t>
      </w:r>
      <w:r w:rsidR="00D01B53">
        <w:rPr>
          <w:b/>
        </w:rPr>
        <w:t xml:space="preserve">             </w:t>
      </w:r>
    </w:p>
    <w:p w:rsidR="00D01B53" w:rsidRDefault="00D01B53" w:rsidP="0012035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bCs/>
        </w:rPr>
        <w:t xml:space="preserve">          </w:t>
      </w:r>
      <w:r>
        <w:rPr>
          <w:rFonts w:cs="Arial"/>
          <w:b/>
          <w:lang w:val="es-MX"/>
        </w:rPr>
        <w:t xml:space="preserve">                   </w:t>
      </w: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dispuesto por el art. 211 literal B) de la Constitución de la República;</w:t>
      </w:r>
    </w:p>
    <w:p w:rsidR="007770A6" w:rsidRDefault="007770A6" w:rsidP="00120352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D01B53" w:rsidRDefault="00D01B53" w:rsidP="007770A6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No formular observaciones al convenio </w:t>
      </w:r>
      <w:r w:rsidR="001E51EF">
        <w:t xml:space="preserve"> a celebrar</w:t>
      </w:r>
      <w:r w:rsidR="00554D78">
        <w:t xml:space="preserve"> </w:t>
      </w:r>
      <w:r w:rsidR="007770A6">
        <w:t>por</w:t>
      </w:r>
      <w:r w:rsidR="00554D78">
        <w:t xml:space="preserve"> </w:t>
      </w:r>
      <w:r w:rsidR="00554D78">
        <w:rPr>
          <w:rFonts w:cs="Arial"/>
        </w:rPr>
        <w:t>el Ministerio de Industria, Energía y Minería,  el Ministerio de Educación y Cultura y la Intendencia de Montevideo;</w:t>
      </w:r>
    </w:p>
    <w:p w:rsidR="00D01B53" w:rsidRDefault="00D01B53" w:rsidP="007770A6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rPr>
          <w:rFonts w:cs="Arial"/>
        </w:rPr>
        <w:t xml:space="preserve"> </w:t>
      </w:r>
      <w:r>
        <w:rPr>
          <w:rFonts w:cs="Arial"/>
          <w:lang w:val="es-MX"/>
        </w:rPr>
        <w:t xml:space="preserve">Cuando el Ordenador Competente disponga el gasto en la forma propuesta, </w:t>
      </w:r>
      <w:r w:rsidR="00715438">
        <w:rPr>
          <w:rFonts w:cs="Arial"/>
          <w:lang w:val="es-MX"/>
        </w:rPr>
        <w:t xml:space="preserve">se </w:t>
      </w:r>
      <w:r>
        <w:rPr>
          <w:rFonts w:cs="Arial"/>
          <w:lang w:val="es-MX"/>
        </w:rPr>
        <w:t xml:space="preserve">comete al Contador Auditor destacado en </w:t>
      </w:r>
      <w:r w:rsidR="00554D78">
        <w:rPr>
          <w:rFonts w:cs="Arial"/>
        </w:rPr>
        <w:t xml:space="preserve">el Ministerio de Industria, Energía y Minería </w:t>
      </w:r>
      <w:r>
        <w:rPr>
          <w:rFonts w:cs="Arial"/>
          <w:lang w:val="es-MX"/>
        </w:rPr>
        <w:t xml:space="preserve">la intervención de hasta </w:t>
      </w:r>
      <w:r w:rsidR="00554D78">
        <w:rPr>
          <w:lang w:val="es-UY"/>
        </w:rPr>
        <w:t>$ 4.500.000</w:t>
      </w:r>
      <w:r>
        <w:rPr>
          <w:rFonts w:cs="Arial"/>
          <w:lang w:val="es-MX"/>
        </w:rPr>
        <w:t>, previo control de su imputación con cargo a grupo adecuado con disponibilidad suficiente;</w:t>
      </w:r>
    </w:p>
    <w:p w:rsidR="00D01B53" w:rsidRDefault="00D01B53" w:rsidP="007770A6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Comunicar al Contador Auditor y;</w:t>
      </w:r>
    </w:p>
    <w:p w:rsidR="00D01B53" w:rsidRDefault="00D01B53" w:rsidP="007770A6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Devolver las actuaciones.</w:t>
      </w:r>
    </w:p>
    <w:p w:rsidR="007770A6" w:rsidRPr="007770A6" w:rsidRDefault="007770A6" w:rsidP="007770A6">
      <w:pPr>
        <w:spacing w:line="360" w:lineRule="auto"/>
        <w:ind w:left="284" w:hanging="284"/>
        <w:jc w:val="both"/>
        <w:rPr>
          <w:sz w:val="20"/>
          <w:szCs w:val="20"/>
        </w:rPr>
      </w:pPr>
      <w:r w:rsidRPr="007770A6">
        <w:rPr>
          <w:sz w:val="20"/>
          <w:szCs w:val="20"/>
        </w:rPr>
        <w:t>CLC</w:t>
      </w:r>
    </w:p>
    <w:p w:rsidR="00D01B53" w:rsidRDefault="00D01B53" w:rsidP="007770A6">
      <w:pPr>
        <w:tabs>
          <w:tab w:val="num" w:pos="284"/>
        </w:tabs>
        <w:spacing w:line="360" w:lineRule="auto"/>
        <w:ind w:left="284" w:hanging="284"/>
        <w:jc w:val="right"/>
      </w:pPr>
    </w:p>
    <w:p w:rsidR="00D01B53" w:rsidRDefault="00D01B53" w:rsidP="00D01B53">
      <w:pPr>
        <w:spacing w:line="360" w:lineRule="auto"/>
        <w:jc w:val="right"/>
      </w:pPr>
    </w:p>
    <w:sectPr w:rsidR="00D01B53" w:rsidSect="007770A6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3D" w:rsidRDefault="007E3D3D">
      <w:r>
        <w:separator/>
      </w:r>
    </w:p>
  </w:endnote>
  <w:endnote w:type="continuationSeparator" w:id="0">
    <w:p w:rsidR="007E3D3D" w:rsidRDefault="007E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6A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3D" w:rsidRDefault="007E3D3D">
      <w:r>
        <w:separator/>
      </w:r>
    </w:p>
  </w:footnote>
  <w:footnote w:type="continuationSeparator" w:id="0">
    <w:p w:rsidR="007E3D3D" w:rsidRDefault="007E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120352"/>
    <w:rsid w:val="001E51EF"/>
    <w:rsid w:val="002D2F4C"/>
    <w:rsid w:val="004C36AE"/>
    <w:rsid w:val="00554D78"/>
    <w:rsid w:val="00650F2A"/>
    <w:rsid w:val="00651240"/>
    <w:rsid w:val="00715438"/>
    <w:rsid w:val="007770A6"/>
    <w:rsid w:val="007E3D3D"/>
    <w:rsid w:val="00833E38"/>
    <w:rsid w:val="008E3F30"/>
    <w:rsid w:val="0099797B"/>
    <w:rsid w:val="009C39AC"/>
    <w:rsid w:val="00A1533A"/>
    <w:rsid w:val="00A53E6D"/>
    <w:rsid w:val="00A919BE"/>
    <w:rsid w:val="00C769D9"/>
    <w:rsid w:val="00CD098A"/>
    <w:rsid w:val="00CF3994"/>
    <w:rsid w:val="00D01B53"/>
    <w:rsid w:val="00D96E59"/>
    <w:rsid w:val="00DC13BE"/>
    <w:rsid w:val="00E30D36"/>
    <w:rsid w:val="00E404FA"/>
    <w:rsid w:val="00E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dcterms:created xsi:type="dcterms:W3CDTF">2017-09-28T19:03:00Z</dcterms:created>
  <dcterms:modified xsi:type="dcterms:W3CDTF">2017-09-28T19:03:00Z</dcterms:modified>
</cp:coreProperties>
</file>