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E0" w:rsidRDefault="00D500E0" w:rsidP="00D500E0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260F8E">
        <w:rPr>
          <w:rFonts w:cs="Arial"/>
          <w:b/>
          <w:sz w:val="28"/>
          <w:szCs w:val="28"/>
          <w:lang w:val="es-ES_tradnl"/>
        </w:rPr>
        <w:t>3054</w:t>
      </w:r>
      <w:r>
        <w:rPr>
          <w:rFonts w:cs="Arial"/>
          <w:b/>
          <w:sz w:val="28"/>
          <w:szCs w:val="28"/>
          <w:lang w:val="es-ES_tradnl"/>
        </w:rPr>
        <w:t>/17</w:t>
      </w:r>
    </w:p>
    <w:p w:rsidR="00D500E0" w:rsidRDefault="00D500E0" w:rsidP="00D500E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500E0" w:rsidRDefault="00D500E0" w:rsidP="00D500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500E0" w:rsidRDefault="00D500E0" w:rsidP="00D500E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500E0" w:rsidRDefault="00D500E0" w:rsidP="00D500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500E0" w:rsidRDefault="00D500E0" w:rsidP="00D500E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500E0" w:rsidRDefault="00D500E0" w:rsidP="00D500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</w:t>
      </w:r>
      <w:r>
        <w:rPr>
          <w:rFonts w:cs="Arial"/>
          <w:b/>
          <w:lang w:val="es-ES_tradnl"/>
        </w:rPr>
        <w:t xml:space="preserve"> DE SETIEMBRE </w:t>
      </w:r>
      <w:r>
        <w:rPr>
          <w:rFonts w:ascii="Helvetica" w:hAnsi="Helvetica"/>
          <w:b/>
          <w:lang w:val="es-ES_tradnl"/>
        </w:rPr>
        <w:t>DE 2017</w:t>
      </w:r>
    </w:p>
    <w:p w:rsidR="00D500E0" w:rsidRDefault="00D500E0" w:rsidP="00D500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500E0" w:rsidRDefault="00D500E0" w:rsidP="00D500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>
        <w:rPr>
          <w:rFonts w:ascii="Helvetica" w:hAnsi="Helvetica"/>
          <w:b/>
        </w:rPr>
        <w:t xml:space="preserve">(E. E. Nº 2017-17-1-0004113, </w:t>
      </w:r>
      <w:proofErr w:type="spellStart"/>
      <w:r>
        <w:rPr>
          <w:rFonts w:ascii="Helvetica" w:hAnsi="Helvetica"/>
          <w:b/>
        </w:rPr>
        <w:t>Ent</w:t>
      </w:r>
      <w:proofErr w:type="spellEnd"/>
      <w:r>
        <w:rPr>
          <w:rFonts w:ascii="Helvetica" w:hAnsi="Helvetica"/>
          <w:b/>
        </w:rPr>
        <w:t>. N° 4506/17)</w:t>
      </w:r>
    </w:p>
    <w:p w:rsidR="00D500E0" w:rsidRDefault="00D500E0" w:rsidP="00D500E0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41473B" w:rsidRDefault="0041473B" w:rsidP="0041473B"/>
    <w:p w:rsidR="0041473B" w:rsidRDefault="0041473B" w:rsidP="005D5F6B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>las actuaciones remitidas por la Contadora Auditora destacada ante el Ministerio de Desarrollo Social (MIDES), relacionadas con el Convenio  celebrado con la Cooperativa de Trabajo “Plataforma”;</w:t>
      </w:r>
    </w:p>
    <w:p w:rsidR="005D5F6B" w:rsidRDefault="0041473B" w:rsidP="005D5F6B">
      <w:pPr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>
        <w:rPr>
          <w:bCs/>
        </w:rPr>
        <w:t>que con fecha 12 de julio de 2017</w:t>
      </w:r>
      <w:r>
        <w:t xml:space="preserve">, este Tribunal </w:t>
      </w:r>
      <w:r w:rsidR="00AF1CF0">
        <w:t xml:space="preserve">observó </w:t>
      </w:r>
      <w:r>
        <w:t xml:space="preserve">el gasto de $ 7:716.357 derivado del Convenio referido, </w:t>
      </w:r>
      <w:r w:rsidR="00AF1CF0">
        <w:t>por entender</w:t>
      </w:r>
      <w:r>
        <w:t xml:space="preserve"> que: </w:t>
      </w:r>
    </w:p>
    <w:p w:rsidR="005D5F6B" w:rsidRDefault="0041473B" w:rsidP="005D5F6B">
      <w:pPr>
        <w:spacing w:line="360" w:lineRule="auto"/>
        <w:jc w:val="both"/>
      </w:pPr>
      <w:r w:rsidRPr="00E86011">
        <w:rPr>
          <w:b/>
        </w:rPr>
        <w:t>a)</w:t>
      </w:r>
      <w:r>
        <w:t xml:space="preserve"> de acuerdo con el monto de la contratación, se debió haber realiza</w:t>
      </w:r>
      <w:r w:rsidR="00AF1CF0">
        <w:t>do</w:t>
      </w:r>
      <w:r>
        <w:t xml:space="preserve"> el procedimiento competitivo conforme lo dispone el </w:t>
      </w:r>
      <w:r w:rsidR="005D5F6B">
        <w:t>A</w:t>
      </w:r>
      <w:r>
        <w:t>rtículo 33 del TOCAF</w:t>
      </w:r>
      <w:r w:rsidR="00161065">
        <w:t>,</w:t>
      </w:r>
      <w:r>
        <w:t xml:space="preserve"> y </w:t>
      </w:r>
    </w:p>
    <w:p w:rsidR="0041473B" w:rsidRDefault="0041473B" w:rsidP="005D5F6B">
      <w:pPr>
        <w:spacing w:line="360" w:lineRule="auto"/>
        <w:jc w:val="both"/>
      </w:pPr>
      <w:r w:rsidRPr="00E86011">
        <w:rPr>
          <w:b/>
        </w:rPr>
        <w:t>b)</w:t>
      </w:r>
      <w:r>
        <w:t xml:space="preserve"> las actuaciones contaban con principio de ejecución, en contravención con lo dispuesto por el </w:t>
      </w:r>
      <w:r w:rsidR="005D5F6B">
        <w:t>A</w:t>
      </w:r>
      <w:r>
        <w:t>rt</w:t>
      </w:r>
      <w:r w:rsidR="005D5F6B">
        <w:t>ículo</w:t>
      </w:r>
      <w:r>
        <w:t xml:space="preserve"> 211 Literal B) de </w:t>
      </w:r>
      <w:r w:rsidR="00AF1CF0">
        <w:t>la</w:t>
      </w:r>
      <w:r>
        <w:t xml:space="preserve"> Constitución de la República;</w:t>
      </w:r>
      <w:r w:rsidRPr="009F1633">
        <w:t xml:space="preserve"> </w:t>
      </w:r>
    </w:p>
    <w:p w:rsidR="0041473B" w:rsidRDefault="0041473B" w:rsidP="005D5F6B">
      <w:pPr>
        <w:tabs>
          <w:tab w:val="left" w:pos="1843"/>
        </w:tabs>
        <w:spacing w:line="360" w:lineRule="auto"/>
        <w:ind w:firstLine="2835"/>
        <w:jc w:val="both"/>
      </w:pPr>
      <w:r>
        <w:rPr>
          <w:b/>
        </w:rPr>
        <w:t xml:space="preserve">2) </w:t>
      </w:r>
      <w:r>
        <w:t xml:space="preserve">que en esta oportunidad se remite Resolución </w:t>
      </w:r>
      <w:r w:rsidR="005D5F6B">
        <w:t xml:space="preserve">                      </w:t>
      </w:r>
      <w:r>
        <w:t xml:space="preserve">Nº 954/17 dictada por la Directora General del MIDES con fecha 1 de agosto de 2017, por la cual se resuelve reiterar el gasto  de $ 7.716.357 emergente del convenio referido, en virtud de la conveniencia y necesidad del mismo. Asimismo, se remite una constancia de la intervención por reiteración del gasto realizada el 22 de agosto de 2017 por la Contadora Auditora destacada ante el MIDES; </w:t>
      </w:r>
    </w:p>
    <w:p w:rsidR="0041473B" w:rsidRDefault="0041473B" w:rsidP="005D5F6B">
      <w:pPr>
        <w:tabs>
          <w:tab w:val="left" w:pos="2160"/>
        </w:tabs>
        <w:spacing w:line="360" w:lineRule="auto"/>
        <w:ind w:firstLine="851"/>
        <w:jc w:val="both"/>
        <w:rPr>
          <w:rFonts w:cs="Arial"/>
          <w:szCs w:val="17"/>
          <w:shd w:val="clear" w:color="auto" w:fill="FFFFFF"/>
        </w:rPr>
      </w:pPr>
      <w:r>
        <w:rPr>
          <w:b/>
          <w:bCs/>
        </w:rPr>
        <w:t xml:space="preserve">CONSIDERANDO: </w:t>
      </w:r>
      <w:r>
        <w:rPr>
          <w:rFonts w:cs="Arial"/>
          <w:b/>
          <w:bCs/>
        </w:rPr>
        <w:t>1)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que el </w:t>
      </w:r>
      <w:r w:rsidR="005D5F6B">
        <w:rPr>
          <w:rFonts w:cs="Arial"/>
          <w:bCs/>
          <w:color w:val="000000"/>
        </w:rPr>
        <w:t>A</w:t>
      </w:r>
      <w:r>
        <w:rPr>
          <w:rFonts w:cs="Arial"/>
          <w:bCs/>
          <w:color w:val="000000"/>
        </w:rPr>
        <w:t>rtículo 475 de la Ley 17.296 de 21/2/01,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41473B" w:rsidRDefault="0041473B" w:rsidP="00AC0A09">
      <w:pPr>
        <w:spacing w:line="360" w:lineRule="auto"/>
        <w:ind w:firstLine="3119"/>
        <w:jc w:val="both"/>
        <w:rPr>
          <w:bCs/>
        </w:rPr>
      </w:pPr>
      <w:r>
        <w:rPr>
          <w:b/>
        </w:rPr>
        <w:t xml:space="preserve">2) </w:t>
      </w:r>
      <w:r>
        <w:rPr>
          <w:bCs/>
        </w:rPr>
        <w:t>que los motivos alegados para proceder a</w:t>
      </w:r>
      <w:r>
        <w:rPr>
          <w:b/>
        </w:rPr>
        <w:t xml:space="preserve"> </w:t>
      </w:r>
      <w:r>
        <w:t>la</w:t>
      </w:r>
      <w:r>
        <w:rPr>
          <w:b/>
        </w:rPr>
        <w:t xml:space="preserve"> </w:t>
      </w:r>
      <w:r>
        <w:rPr>
          <w:bCs/>
        </w:rPr>
        <w:t xml:space="preserve">reiteración refieren a la conveniencia y no a la legalidad del gasto, por lo que no logran </w:t>
      </w:r>
      <w:r>
        <w:rPr>
          <w:bCs/>
        </w:rPr>
        <w:lastRenderedPageBreak/>
        <w:t>modificar los fundamentos expuestos por este Tribunal en su Resolución  de fecha 12 de julio 2017;</w:t>
      </w:r>
    </w:p>
    <w:p w:rsidR="0041473B" w:rsidRDefault="0041473B" w:rsidP="00AC0A09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</w:t>
      </w:r>
      <w:r>
        <w:t xml:space="preserve"> </w:t>
      </w:r>
      <w:r>
        <w:rPr>
          <w:rFonts w:cs="Arial"/>
          <w:lang w:val="es-MX"/>
        </w:rPr>
        <w:t xml:space="preserve">y a lo dispuesto por el </w:t>
      </w:r>
      <w:r w:rsidR="00AC0A09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rtículo 211 </w:t>
      </w:r>
      <w:r w:rsidR="00AC0A09">
        <w:rPr>
          <w:rFonts w:cs="Arial"/>
          <w:lang w:val="es-MX"/>
        </w:rPr>
        <w:t>L</w:t>
      </w:r>
      <w:r>
        <w:rPr>
          <w:rFonts w:cs="Arial"/>
          <w:lang w:val="es-MX"/>
        </w:rPr>
        <w:t>it</w:t>
      </w:r>
      <w:r w:rsidR="00AC0A09">
        <w:rPr>
          <w:rFonts w:cs="Arial"/>
          <w:lang w:val="es-MX"/>
        </w:rPr>
        <w:t>eral</w:t>
      </w:r>
      <w:r>
        <w:rPr>
          <w:rFonts w:cs="Arial"/>
          <w:lang w:val="es-MX"/>
        </w:rPr>
        <w:t xml:space="preserve"> B) de la Constitución</w:t>
      </w:r>
      <w:r w:rsidR="00AC0A09">
        <w:rPr>
          <w:rFonts w:cs="Arial"/>
          <w:lang w:val="es-MX"/>
        </w:rPr>
        <w:t xml:space="preserve"> de la República</w:t>
      </w:r>
      <w:r>
        <w:rPr>
          <w:rFonts w:cs="Arial"/>
          <w:lang w:val="es-MX"/>
        </w:rPr>
        <w:t>;</w:t>
      </w:r>
    </w:p>
    <w:p w:rsidR="0041473B" w:rsidRDefault="00AC0A09" w:rsidP="0041473B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AC0A09" w:rsidRDefault="00AC0A09" w:rsidP="00AC0A09">
      <w:pPr>
        <w:tabs>
          <w:tab w:val="left" w:pos="426"/>
          <w:tab w:val="left" w:pos="709"/>
        </w:tabs>
        <w:spacing w:line="360" w:lineRule="auto"/>
        <w:ind w:left="284" w:hanging="284"/>
        <w:jc w:val="both"/>
        <w:rPr>
          <w:rFonts w:cs="Arial"/>
          <w:lang w:val="es-UY"/>
        </w:rPr>
      </w:pPr>
      <w:r>
        <w:rPr>
          <w:rFonts w:cs="Arial"/>
          <w:b/>
        </w:rPr>
        <w:t xml:space="preserve">1) </w:t>
      </w:r>
      <w:r w:rsidR="0041473B">
        <w:rPr>
          <w:rFonts w:cs="Arial"/>
          <w:lang w:val="es-UY"/>
        </w:rPr>
        <w:t>Mantener la observación formulada por este Tribunal, con fecha 12</w:t>
      </w:r>
      <w:r w:rsidR="0041473B">
        <w:rPr>
          <w:bCs/>
        </w:rPr>
        <w:t xml:space="preserve"> de julio de 2017</w:t>
      </w:r>
      <w:r w:rsidR="0041473B">
        <w:rPr>
          <w:rFonts w:cs="Arial"/>
          <w:lang w:val="es-UY"/>
        </w:rPr>
        <w:t xml:space="preserve">; </w:t>
      </w:r>
    </w:p>
    <w:p w:rsidR="00AC0A09" w:rsidRDefault="00AC0A09" w:rsidP="00AC0A09">
      <w:pPr>
        <w:spacing w:line="360" w:lineRule="auto"/>
        <w:jc w:val="both"/>
      </w:pPr>
      <w:r>
        <w:rPr>
          <w:rFonts w:cs="Arial"/>
          <w:b/>
          <w:lang w:val="es-UY"/>
        </w:rPr>
        <w:t>2</w:t>
      </w:r>
      <w:r w:rsidRPr="00885040">
        <w:rPr>
          <w:rFonts w:cs="Arial"/>
          <w:b/>
          <w:lang w:val="es-UY"/>
        </w:rPr>
        <w:t>)</w:t>
      </w:r>
      <w:r>
        <w:rPr>
          <w:rFonts w:cs="Arial"/>
          <w:lang w:val="es-UY"/>
        </w:rPr>
        <w:t xml:space="preserve"> Comunic</w:t>
      </w:r>
      <w:r w:rsidR="00DA5B17">
        <w:rPr>
          <w:rFonts w:cs="Arial"/>
          <w:lang w:val="es-UY"/>
        </w:rPr>
        <w:t>ar a la Administración actuante;</w:t>
      </w:r>
      <w:bookmarkStart w:id="0" w:name="_GoBack"/>
      <w:bookmarkEnd w:id="0"/>
      <w:r>
        <w:rPr>
          <w:rFonts w:cs="Arial"/>
          <w:lang w:val="es-UY"/>
        </w:rPr>
        <w:t xml:space="preserve"> </w:t>
      </w:r>
    </w:p>
    <w:p w:rsidR="0041473B" w:rsidRDefault="00AC0A09" w:rsidP="00AC0A09">
      <w:pPr>
        <w:spacing w:line="360" w:lineRule="auto"/>
        <w:jc w:val="both"/>
        <w:rPr>
          <w:rFonts w:cs="Arial"/>
          <w:lang w:val="es-UY"/>
        </w:rPr>
      </w:pPr>
      <w:r>
        <w:rPr>
          <w:rFonts w:cs="Arial"/>
          <w:b/>
          <w:lang w:val="es-UY"/>
        </w:rPr>
        <w:t>3</w:t>
      </w:r>
      <w:r w:rsidR="0041473B" w:rsidRPr="00885040">
        <w:rPr>
          <w:rFonts w:cs="Arial"/>
          <w:b/>
          <w:lang w:val="es-UY"/>
        </w:rPr>
        <w:t>)</w:t>
      </w:r>
      <w:r w:rsidR="0041473B">
        <w:rPr>
          <w:rFonts w:cs="Arial"/>
          <w:lang w:val="es-UY"/>
        </w:rPr>
        <w:t xml:space="preserve"> D</w:t>
      </w:r>
      <w:r>
        <w:rPr>
          <w:rFonts w:cs="Arial"/>
          <w:lang w:val="es-UY"/>
        </w:rPr>
        <w:t>ar cuenta a la Asamblea General.</w:t>
      </w:r>
      <w:r w:rsidR="0041473B">
        <w:rPr>
          <w:rFonts w:cs="Arial"/>
          <w:lang w:val="es-UY"/>
        </w:rPr>
        <w:t xml:space="preserve">  </w:t>
      </w:r>
    </w:p>
    <w:p w:rsidR="00AC0A09" w:rsidRDefault="00AC0A09" w:rsidP="00AC0A09">
      <w:pPr>
        <w:spacing w:line="360" w:lineRule="auto"/>
        <w:jc w:val="both"/>
        <w:rPr>
          <w:rFonts w:cs="Arial"/>
          <w:lang w:val="es-UY"/>
        </w:rPr>
      </w:pPr>
    </w:p>
    <w:p w:rsidR="00AC0A09" w:rsidRDefault="00AC0A09" w:rsidP="00AC0A09">
      <w:pPr>
        <w:spacing w:line="360" w:lineRule="auto"/>
        <w:jc w:val="both"/>
        <w:rPr>
          <w:rFonts w:cs="Arial"/>
          <w:lang w:val="es-UY"/>
        </w:rPr>
      </w:pPr>
      <w:proofErr w:type="spellStart"/>
      <w:proofErr w:type="gramStart"/>
      <w:r>
        <w:rPr>
          <w:rFonts w:cs="Arial"/>
          <w:lang w:val="es-UY"/>
        </w:rPr>
        <w:t>ag</w:t>
      </w:r>
      <w:proofErr w:type="spellEnd"/>
      <w:proofErr w:type="gramEnd"/>
    </w:p>
    <w:sectPr w:rsidR="00AC0A09" w:rsidSect="00837A2E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3B"/>
    <w:rsid w:val="00161065"/>
    <w:rsid w:val="00260F8E"/>
    <w:rsid w:val="0041473B"/>
    <w:rsid w:val="005D5F6B"/>
    <w:rsid w:val="00837A2E"/>
    <w:rsid w:val="00A6786A"/>
    <w:rsid w:val="00AC0A09"/>
    <w:rsid w:val="00AF1CF0"/>
    <w:rsid w:val="00B902C7"/>
    <w:rsid w:val="00D500E0"/>
    <w:rsid w:val="00D81FC8"/>
    <w:rsid w:val="00DA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3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473B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473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0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3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473B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473B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Andrea Gerner</cp:lastModifiedBy>
  <cp:revision>11</cp:revision>
  <cp:lastPrinted>2017-09-22T16:37:00Z</cp:lastPrinted>
  <dcterms:created xsi:type="dcterms:W3CDTF">2017-09-21T18:56:00Z</dcterms:created>
  <dcterms:modified xsi:type="dcterms:W3CDTF">2017-09-22T16:37:00Z</dcterms:modified>
</cp:coreProperties>
</file>