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C6" w:rsidRDefault="00723EC6" w:rsidP="00233D48">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2549/17</w:t>
      </w:r>
    </w:p>
    <w:p w:rsidR="00233D48" w:rsidRPr="00786EEB" w:rsidRDefault="00233D48" w:rsidP="00233D48">
      <w:pPr>
        <w:keepNext/>
        <w:widowControl w:val="0"/>
        <w:tabs>
          <w:tab w:val="center" w:pos="4253"/>
        </w:tabs>
        <w:jc w:val="right"/>
        <w:rPr>
          <w:rFonts w:cs="Arial"/>
          <w:b/>
          <w:sz w:val="28"/>
          <w:szCs w:val="28"/>
          <w:lang w:val="es-ES_tradnl"/>
        </w:rPr>
      </w:pPr>
    </w:p>
    <w:p w:rsidR="00723EC6" w:rsidRPr="00762B34" w:rsidRDefault="00723EC6" w:rsidP="00233D48">
      <w:pPr>
        <w:keepNext/>
        <w:widowControl w:val="0"/>
        <w:tabs>
          <w:tab w:val="center" w:pos="4253"/>
        </w:tabs>
        <w:jc w:val="center"/>
        <w:rPr>
          <w:rFonts w:cs="Arial"/>
          <w:b/>
          <w:lang w:val="es-ES_tradnl"/>
        </w:rPr>
      </w:pPr>
      <w:r w:rsidRPr="00762B34">
        <w:rPr>
          <w:rFonts w:cs="Arial"/>
          <w:b/>
          <w:lang w:val="es-ES_tradnl"/>
        </w:rPr>
        <w:t>RESOLUCION ADOPTADA POR EL</w:t>
      </w:r>
    </w:p>
    <w:p w:rsidR="00723EC6" w:rsidRPr="00762B34" w:rsidRDefault="00723EC6" w:rsidP="00233D48">
      <w:pPr>
        <w:keepNext/>
        <w:widowControl w:val="0"/>
        <w:tabs>
          <w:tab w:val="left" w:pos="-720"/>
        </w:tabs>
        <w:jc w:val="center"/>
        <w:rPr>
          <w:rFonts w:cs="Arial"/>
          <w:b/>
          <w:lang w:val="es-ES_tradnl"/>
        </w:rPr>
      </w:pPr>
    </w:p>
    <w:p w:rsidR="00723EC6" w:rsidRPr="00762B34" w:rsidRDefault="00723EC6" w:rsidP="00233D48">
      <w:pPr>
        <w:keepNext/>
        <w:widowControl w:val="0"/>
        <w:tabs>
          <w:tab w:val="center" w:pos="4253"/>
        </w:tabs>
        <w:jc w:val="center"/>
        <w:rPr>
          <w:rFonts w:cs="Arial"/>
          <w:b/>
          <w:lang w:val="es-ES_tradnl"/>
        </w:rPr>
      </w:pPr>
      <w:r w:rsidRPr="00762B34">
        <w:rPr>
          <w:rFonts w:cs="Arial"/>
          <w:b/>
          <w:lang w:val="es-ES_tradnl"/>
        </w:rPr>
        <w:t>TRIBUNAL DE CUENTAS</w:t>
      </w:r>
    </w:p>
    <w:p w:rsidR="00723EC6" w:rsidRPr="00762B34" w:rsidRDefault="00723EC6" w:rsidP="00233D48">
      <w:pPr>
        <w:keepNext/>
        <w:widowControl w:val="0"/>
        <w:tabs>
          <w:tab w:val="left" w:pos="-720"/>
        </w:tabs>
        <w:jc w:val="center"/>
        <w:rPr>
          <w:rFonts w:cs="Arial"/>
          <w:b/>
          <w:lang w:val="es-ES_tradnl"/>
        </w:rPr>
      </w:pPr>
    </w:p>
    <w:p w:rsidR="00723EC6" w:rsidRPr="00762B34" w:rsidRDefault="00723EC6" w:rsidP="00233D48">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16 DE AGOSTO </w:t>
      </w:r>
      <w:r>
        <w:rPr>
          <w:rFonts w:ascii="Helvetica" w:hAnsi="Helvetica"/>
          <w:b/>
          <w:lang w:val="es-ES_tradnl"/>
        </w:rPr>
        <w:t>DE 2017</w:t>
      </w:r>
    </w:p>
    <w:p w:rsidR="00723EC6" w:rsidRPr="00762B34" w:rsidRDefault="00723EC6" w:rsidP="00233D48">
      <w:pPr>
        <w:keepNext/>
        <w:widowControl w:val="0"/>
        <w:tabs>
          <w:tab w:val="center" w:pos="4253"/>
        </w:tabs>
        <w:jc w:val="center"/>
        <w:rPr>
          <w:rFonts w:cs="Arial"/>
          <w:b/>
          <w:lang w:val="es-ES_tradnl"/>
        </w:rPr>
      </w:pPr>
    </w:p>
    <w:p w:rsidR="00723EC6" w:rsidRDefault="00723EC6" w:rsidP="00233D48">
      <w:pPr>
        <w:keepNext/>
        <w:widowControl w:val="0"/>
        <w:tabs>
          <w:tab w:val="center" w:pos="4253"/>
        </w:tabs>
        <w:jc w:val="center"/>
        <w:rPr>
          <w:rFonts w:cs="Arial"/>
          <w:b/>
          <w:lang w:val="es-UY"/>
        </w:rPr>
      </w:pPr>
      <w:r w:rsidRPr="003B6C3F">
        <w:rPr>
          <w:rFonts w:cs="Arial"/>
          <w:b/>
          <w:lang w:val="es-UY"/>
        </w:rPr>
        <w:t xml:space="preserve">(E. E. Nº 2017-17-1-0002177, </w:t>
      </w:r>
      <w:proofErr w:type="spellStart"/>
      <w:r w:rsidRPr="003B6C3F">
        <w:rPr>
          <w:rFonts w:cs="Arial"/>
          <w:b/>
          <w:lang w:val="es-UY"/>
        </w:rPr>
        <w:t>Ent</w:t>
      </w:r>
      <w:proofErr w:type="spellEnd"/>
      <w:r w:rsidRPr="003B6C3F">
        <w:rPr>
          <w:rFonts w:cs="Arial"/>
          <w:b/>
          <w:lang w:val="es-UY"/>
        </w:rPr>
        <w:t>. N° 1716/17)</w:t>
      </w:r>
    </w:p>
    <w:p w:rsidR="00233D48" w:rsidRDefault="00233D48" w:rsidP="00233D48">
      <w:pPr>
        <w:keepNext/>
        <w:widowControl w:val="0"/>
        <w:tabs>
          <w:tab w:val="center" w:pos="4253"/>
        </w:tabs>
        <w:jc w:val="center"/>
        <w:rPr>
          <w:rFonts w:cs="Arial"/>
          <w:b/>
          <w:lang w:val="es-UY"/>
        </w:rPr>
      </w:pPr>
    </w:p>
    <w:p w:rsidR="00233D48" w:rsidRDefault="00233D48" w:rsidP="00233D48">
      <w:pPr>
        <w:keepNext/>
        <w:widowControl w:val="0"/>
        <w:tabs>
          <w:tab w:val="center" w:pos="4253"/>
        </w:tabs>
        <w:jc w:val="center"/>
        <w:rPr>
          <w:rFonts w:cs="Arial"/>
          <w:b/>
          <w:lang w:val="es-UY"/>
        </w:rPr>
      </w:pPr>
    </w:p>
    <w:p w:rsidR="00233D48" w:rsidRPr="003B6C3F" w:rsidRDefault="00233D48" w:rsidP="00233D48">
      <w:pPr>
        <w:keepNext/>
        <w:widowControl w:val="0"/>
        <w:tabs>
          <w:tab w:val="center" w:pos="4253"/>
        </w:tabs>
        <w:jc w:val="center"/>
        <w:rPr>
          <w:rFonts w:cs="Arial"/>
          <w:b/>
          <w:lang w:val="es-UY"/>
        </w:rPr>
      </w:pPr>
    </w:p>
    <w:p w:rsidR="00723EC6" w:rsidRDefault="00723EC6" w:rsidP="00233D48">
      <w:pPr>
        <w:keepNext/>
        <w:widowControl w:val="0"/>
        <w:spacing w:line="360" w:lineRule="auto"/>
        <w:ind w:firstLine="851"/>
        <w:jc w:val="both"/>
        <w:rPr>
          <w:rFonts w:cs="Arial"/>
        </w:rPr>
      </w:pPr>
      <w:r w:rsidRPr="00723EC6">
        <w:rPr>
          <w:rFonts w:cs="Arial"/>
          <w:b/>
        </w:rPr>
        <w:t xml:space="preserve">VISTO: </w:t>
      </w:r>
      <w:r w:rsidRPr="00723EC6">
        <w:rPr>
          <w:rFonts w:cs="Arial"/>
          <w:bCs/>
        </w:rPr>
        <w:t>que</w:t>
      </w:r>
      <w:r w:rsidRPr="00723EC6">
        <w:rPr>
          <w:rFonts w:cs="Arial"/>
          <w:b/>
        </w:rPr>
        <w:t xml:space="preserve"> </w:t>
      </w:r>
      <w:r w:rsidRPr="00723EC6">
        <w:rPr>
          <w:rFonts w:cs="Arial"/>
          <w:bCs/>
        </w:rPr>
        <w:t>se</w:t>
      </w:r>
      <w:r w:rsidRPr="00723EC6">
        <w:rPr>
          <w:rFonts w:cs="Arial"/>
        </w:rPr>
        <w:t xml:space="preserve"> han examinado los estados financieros de la Administración Nacional de Puertos (ANP), que comprenden el Estado de Situación Financiera al 31 de diciembre de 2016, los correspondientes Estados de Resultados Integral, de Flujos de Efectivo y de Cambios en el Patrimonio  por el </w:t>
      </w:r>
      <w:r>
        <w:rPr>
          <w:rFonts w:cs="Arial"/>
        </w:rPr>
        <w:t>E</w:t>
      </w:r>
      <w:r w:rsidRPr="00723EC6">
        <w:rPr>
          <w:rFonts w:cs="Arial"/>
        </w:rPr>
        <w:t>jercicio anual finalizado en esa fecha, los Anexos y las Notas explicativas que los acompañan;</w:t>
      </w:r>
    </w:p>
    <w:p w:rsidR="00723EC6" w:rsidRPr="00723EC6" w:rsidRDefault="00723EC6" w:rsidP="00233D48">
      <w:pPr>
        <w:keepNext/>
        <w:widowControl w:val="0"/>
        <w:spacing w:line="360" w:lineRule="auto"/>
        <w:ind w:firstLine="851"/>
        <w:jc w:val="both"/>
        <w:rPr>
          <w:rFonts w:cs="Arial"/>
          <w:szCs w:val="20"/>
        </w:rPr>
      </w:pPr>
      <w:r w:rsidRPr="00723EC6">
        <w:rPr>
          <w:rFonts w:cs="Arial"/>
          <w:b/>
          <w:szCs w:val="20"/>
        </w:rPr>
        <w:t>RESULTANDO:</w:t>
      </w:r>
      <w:r w:rsidRPr="00723EC6">
        <w:rPr>
          <w:rFonts w:cs="Arial"/>
          <w:szCs w:val="20"/>
        </w:rPr>
        <w:t xml:space="preserve"> que el examen fue realizado de acuerdo con los Principios Fundamentales de Auditoría (ISSAI 100 y 200) y las Directrices de Auditoría Financiera de </w:t>
      </w:r>
      <w:smartTag w:uri="urn:schemas-microsoft-com:office:smarttags" w:element="PersonName">
        <w:smartTagPr>
          <w:attr w:name="ProductID" w:val="la Organizaci￳n Internacional"/>
        </w:smartTagPr>
        <w:r w:rsidRPr="00723EC6">
          <w:rPr>
            <w:rFonts w:cs="Arial"/>
            <w:szCs w:val="20"/>
          </w:rPr>
          <w:t>la Organización Internacional</w:t>
        </w:r>
      </w:smartTag>
      <w:r w:rsidRPr="00723EC6">
        <w:rPr>
          <w:rFonts w:cs="Arial"/>
          <w:szCs w:val="20"/>
        </w:rPr>
        <w:t xml:space="preserve"> de Entidades Fiscalizadoras Superiores (INTOSAI);</w:t>
      </w:r>
    </w:p>
    <w:p w:rsidR="00723EC6" w:rsidRPr="00723EC6" w:rsidRDefault="00723EC6" w:rsidP="00233D48">
      <w:pPr>
        <w:keepNext/>
        <w:widowControl w:val="0"/>
        <w:spacing w:line="360" w:lineRule="auto"/>
        <w:ind w:firstLine="851"/>
        <w:jc w:val="both"/>
        <w:rPr>
          <w:rFonts w:cs="Arial"/>
          <w:szCs w:val="20"/>
        </w:rPr>
      </w:pPr>
      <w:r w:rsidRPr="00723EC6">
        <w:rPr>
          <w:rFonts w:cs="Arial"/>
          <w:b/>
          <w:szCs w:val="20"/>
        </w:rPr>
        <w:t>CONSIDERANDO:</w:t>
      </w:r>
      <w:r w:rsidRPr="00723EC6">
        <w:rPr>
          <w:rFonts w:cs="Arial"/>
          <w:szCs w:val="20"/>
        </w:rPr>
        <w:t xml:space="preserve"> que las conclusiones y evidencias obtenidas son las que se expresan en el Informe de Auditoria, que incluye el Dictamen y el Informe a la Administración;</w:t>
      </w:r>
    </w:p>
    <w:p w:rsidR="00723EC6" w:rsidRPr="00723EC6" w:rsidRDefault="00723EC6" w:rsidP="00233D48">
      <w:pPr>
        <w:keepNext/>
        <w:widowControl w:val="0"/>
        <w:spacing w:line="360" w:lineRule="auto"/>
        <w:ind w:firstLine="851"/>
        <w:jc w:val="both"/>
        <w:rPr>
          <w:rFonts w:cs="Arial"/>
          <w:szCs w:val="20"/>
        </w:rPr>
      </w:pPr>
      <w:r w:rsidRPr="00723EC6">
        <w:rPr>
          <w:rFonts w:cs="Arial"/>
          <w:b/>
          <w:szCs w:val="20"/>
        </w:rPr>
        <w:t>ATENTO:</w:t>
      </w:r>
      <w:r w:rsidRPr="00723EC6">
        <w:rPr>
          <w:rFonts w:cs="Arial"/>
          <w:szCs w:val="20"/>
        </w:rPr>
        <w:t xml:space="preserve"> a lo dispuesto por el Artículo 211 Literal C) de la Constitución de la República;</w:t>
      </w:r>
    </w:p>
    <w:p w:rsidR="00723EC6" w:rsidRPr="00723EC6" w:rsidRDefault="00723EC6" w:rsidP="00233D48">
      <w:pPr>
        <w:keepNext/>
        <w:widowControl w:val="0"/>
        <w:spacing w:line="360" w:lineRule="auto"/>
        <w:jc w:val="center"/>
        <w:outlineLvl w:val="1"/>
        <w:rPr>
          <w:rFonts w:cs="Arial"/>
          <w:b/>
          <w:szCs w:val="20"/>
        </w:rPr>
      </w:pPr>
      <w:r w:rsidRPr="00723EC6">
        <w:rPr>
          <w:rFonts w:cs="Arial"/>
          <w:b/>
          <w:szCs w:val="20"/>
        </w:rPr>
        <w:t>EL TRIBUNAL ACUERDA</w:t>
      </w:r>
    </w:p>
    <w:p w:rsidR="00723EC6" w:rsidRPr="00723EC6" w:rsidRDefault="00723EC6" w:rsidP="00233D48">
      <w:pPr>
        <w:keepNext/>
        <w:widowControl w:val="0"/>
        <w:numPr>
          <w:ilvl w:val="0"/>
          <w:numId w:val="1"/>
        </w:numPr>
        <w:tabs>
          <w:tab w:val="num" w:pos="1428"/>
        </w:tabs>
        <w:spacing w:line="360" w:lineRule="auto"/>
        <w:jc w:val="both"/>
        <w:rPr>
          <w:rFonts w:cs="Arial"/>
        </w:rPr>
      </w:pPr>
      <w:r w:rsidRPr="00723EC6">
        <w:rPr>
          <w:rFonts w:cs="Arial"/>
        </w:rPr>
        <w:t>Expedirse en los términos del Informe de Auditoría que se adjunta;</w:t>
      </w:r>
    </w:p>
    <w:p w:rsidR="00723EC6" w:rsidRPr="00723EC6" w:rsidRDefault="00723EC6" w:rsidP="00233D48">
      <w:pPr>
        <w:keepNext/>
        <w:widowControl w:val="0"/>
        <w:numPr>
          <w:ilvl w:val="0"/>
          <w:numId w:val="1"/>
        </w:numPr>
        <w:tabs>
          <w:tab w:val="num" w:pos="1428"/>
        </w:tabs>
        <w:spacing w:line="360" w:lineRule="auto"/>
        <w:jc w:val="both"/>
        <w:rPr>
          <w:rFonts w:cs="Arial"/>
        </w:rPr>
      </w:pPr>
      <w:r w:rsidRPr="00723EC6">
        <w:rPr>
          <w:rFonts w:cs="Arial"/>
        </w:rPr>
        <w:t>Señalar al Organismo que deberá publicar el Balance con el correspon</w:t>
      </w:r>
      <w:r>
        <w:rPr>
          <w:rFonts w:cs="Arial"/>
        </w:rPr>
        <w:softHyphen/>
      </w:r>
      <w:r w:rsidRPr="00723EC6">
        <w:rPr>
          <w:rFonts w:cs="Arial"/>
        </w:rPr>
        <w:t xml:space="preserve">diente Dictamen del </w:t>
      </w:r>
      <w:smartTag w:uri="urn:schemas-microsoft-com:office:smarttags" w:element="PersonName">
        <w:smartTagPr>
          <w:attr w:name="ProductID" w:val="Tribunal de Cuentas"/>
        </w:smartTagPr>
        <w:r w:rsidRPr="00723EC6">
          <w:rPr>
            <w:rFonts w:cs="Arial"/>
          </w:rPr>
          <w:t>Tribunal de Cuentas</w:t>
        </w:r>
      </w:smartTag>
      <w:r>
        <w:rPr>
          <w:rFonts w:cs="Arial"/>
        </w:rPr>
        <w:t>, de acuerdo con</w:t>
      </w:r>
      <w:r w:rsidRPr="00723EC6">
        <w:rPr>
          <w:rFonts w:cs="Arial"/>
        </w:rPr>
        <w:t xml:space="preserve"> lo dispuesto por el Artículo 1 de </w:t>
      </w:r>
      <w:smartTag w:uri="urn:schemas-microsoft-com:office:smarttags" w:element="PersonName">
        <w:smartTagPr>
          <w:attr w:name="ProductID" w:val="la Ley N"/>
        </w:smartTagPr>
        <w:r w:rsidRPr="00723EC6">
          <w:rPr>
            <w:rFonts w:cs="Arial"/>
          </w:rPr>
          <w:t>la Ley N</w:t>
        </w:r>
      </w:smartTag>
      <w:r w:rsidRPr="00723EC6">
        <w:rPr>
          <w:rFonts w:cs="Arial"/>
        </w:rPr>
        <w:t>° 17.040;</w:t>
      </w:r>
    </w:p>
    <w:p w:rsidR="00723EC6" w:rsidRPr="00723EC6" w:rsidRDefault="00723EC6" w:rsidP="00233D48">
      <w:pPr>
        <w:keepNext/>
        <w:widowControl w:val="0"/>
        <w:numPr>
          <w:ilvl w:val="0"/>
          <w:numId w:val="1"/>
        </w:numPr>
        <w:tabs>
          <w:tab w:val="num" w:pos="1428"/>
        </w:tabs>
        <w:spacing w:line="360" w:lineRule="auto"/>
        <w:jc w:val="both"/>
        <w:rPr>
          <w:rFonts w:cs="Arial"/>
        </w:rPr>
      </w:pPr>
      <w:r w:rsidRPr="00723EC6">
        <w:rPr>
          <w:rFonts w:cs="Arial"/>
        </w:rPr>
        <w:lastRenderedPageBreak/>
        <w:t xml:space="preserve">Comunicar </w:t>
      </w:r>
      <w:smartTag w:uri="urn:schemas-microsoft-com:office:smarttags" w:element="PersonName">
        <w:smartTagPr>
          <w:attr w:name="ProductID" w:val="la presente Resoluci￳n"/>
        </w:smartTagPr>
        <w:r w:rsidRPr="00723EC6">
          <w:rPr>
            <w:rFonts w:cs="Arial"/>
          </w:rPr>
          <w:t>la presente Resolución</w:t>
        </w:r>
      </w:smartTag>
      <w:r w:rsidRPr="00723EC6">
        <w:rPr>
          <w:rFonts w:cs="Arial"/>
        </w:rPr>
        <w:t xml:space="preserve"> al Ministerio de Transporte y Obras Públicas, al Organismo y a la Oficina de Planeamiento y Presupuesto; y</w:t>
      </w:r>
    </w:p>
    <w:p w:rsidR="00F86359" w:rsidRPr="00723EC6" w:rsidRDefault="00723EC6" w:rsidP="00233D48">
      <w:pPr>
        <w:keepNext/>
        <w:widowControl w:val="0"/>
        <w:numPr>
          <w:ilvl w:val="0"/>
          <w:numId w:val="1"/>
        </w:numPr>
        <w:tabs>
          <w:tab w:val="num" w:pos="1428"/>
        </w:tabs>
        <w:spacing w:line="360" w:lineRule="auto"/>
        <w:jc w:val="both"/>
      </w:pPr>
      <w:r w:rsidRPr="00723EC6">
        <w:rPr>
          <w:rFonts w:cs="Arial"/>
        </w:rPr>
        <w:t>Dar cuenta a la Asamblea General.</w:t>
      </w:r>
    </w:p>
    <w:p w:rsidR="00723EC6" w:rsidRDefault="00723EC6" w:rsidP="00233D48">
      <w:pPr>
        <w:keepNext/>
        <w:widowControl w:val="0"/>
        <w:spacing w:line="360" w:lineRule="auto"/>
        <w:jc w:val="both"/>
        <w:rPr>
          <w:rFonts w:cs="Arial"/>
        </w:rPr>
      </w:pPr>
    </w:p>
    <w:p w:rsidR="00723EC6" w:rsidRDefault="00723EC6" w:rsidP="00233D48">
      <w:pPr>
        <w:keepNext/>
        <w:widowControl w:val="0"/>
        <w:spacing w:line="360" w:lineRule="auto"/>
        <w:jc w:val="both"/>
        <w:rPr>
          <w:rFonts w:cs="Arial"/>
        </w:rPr>
      </w:pPr>
    </w:p>
    <w:p w:rsidR="00723EC6" w:rsidRDefault="00723EC6" w:rsidP="00233D48">
      <w:pPr>
        <w:keepNext/>
        <w:widowControl w:val="0"/>
        <w:spacing w:line="360" w:lineRule="auto"/>
        <w:ind w:hanging="426"/>
        <w:jc w:val="both"/>
        <w:rPr>
          <w:rFonts w:cs="Arial"/>
        </w:rPr>
      </w:pPr>
      <w:proofErr w:type="gramStart"/>
      <w:r>
        <w:rPr>
          <w:rFonts w:cs="Arial"/>
        </w:rPr>
        <w:t>dc</w:t>
      </w:r>
      <w:proofErr w:type="gramEnd"/>
    </w:p>
    <w:p w:rsidR="003B6C3F" w:rsidRDefault="003B6C3F" w:rsidP="00233D48">
      <w:pPr>
        <w:keepNext/>
        <w:widowControl w:val="0"/>
        <w:spacing w:line="360" w:lineRule="auto"/>
        <w:ind w:hanging="426"/>
        <w:jc w:val="both"/>
      </w:pPr>
    </w:p>
    <w:p w:rsidR="00233D48" w:rsidRPr="005B36F4" w:rsidRDefault="00233D48" w:rsidP="00233D48">
      <w:pPr>
        <w:keepNext/>
        <w:widowControl w:val="0"/>
        <w:spacing w:before="260" w:after="80"/>
        <w:jc w:val="center"/>
        <w:outlineLvl w:val="0"/>
        <w:rPr>
          <w:rFonts w:ascii="Helvetica" w:hAnsi="Helvetica"/>
          <w:b/>
          <w:szCs w:val="20"/>
        </w:rPr>
      </w:pPr>
      <w:r w:rsidRPr="005B36F4">
        <w:rPr>
          <w:rFonts w:ascii="Helvetica" w:hAnsi="Helvetica"/>
          <w:b/>
          <w:szCs w:val="20"/>
        </w:rPr>
        <w:t>DICTAMEN</w:t>
      </w:r>
    </w:p>
    <w:p w:rsidR="00233D48" w:rsidRDefault="00233D48" w:rsidP="00233D48">
      <w:pPr>
        <w:keepNext/>
        <w:widowControl w:val="0"/>
        <w:spacing w:line="360" w:lineRule="auto"/>
        <w:jc w:val="both"/>
        <w:rPr>
          <w:rFonts w:cs="Arial"/>
        </w:rPr>
      </w:pPr>
    </w:p>
    <w:p w:rsidR="00233D48" w:rsidRPr="005B36F4" w:rsidRDefault="00233D48" w:rsidP="00233D48">
      <w:pPr>
        <w:keepNext/>
        <w:widowControl w:val="0"/>
        <w:spacing w:line="360" w:lineRule="auto"/>
        <w:jc w:val="both"/>
        <w:rPr>
          <w:rFonts w:cs="Arial"/>
        </w:rPr>
      </w:pPr>
      <w:r w:rsidRPr="005B36F4">
        <w:rPr>
          <w:rFonts w:cs="Arial"/>
        </w:rPr>
        <w:t xml:space="preserve">El Tribunal de Cuentas ha examinado los estados financieros de la </w:t>
      </w:r>
      <w:r w:rsidRPr="005B36F4">
        <w:rPr>
          <w:rFonts w:cs="Arial"/>
          <w:iCs/>
        </w:rPr>
        <w:t>Administración Nacional de Puertos</w:t>
      </w:r>
      <w:r w:rsidRPr="005B36F4">
        <w:rPr>
          <w:rFonts w:cs="Arial"/>
        </w:rPr>
        <w:t xml:space="preserve"> (ANP) que comprenden el Estado de Situación Financiera al 31 de diciembre de 2016, los correspondientes Estados de Resultados Integral, de Flujos de Efectivo y de Cambios en el Patrimonio</w:t>
      </w:r>
      <w:r>
        <w:rPr>
          <w:rFonts w:cs="Arial"/>
        </w:rPr>
        <w:t xml:space="preserve"> por el E</w:t>
      </w:r>
      <w:r w:rsidRPr="005B36F4">
        <w:rPr>
          <w:rFonts w:cs="Arial"/>
        </w:rPr>
        <w:t>jercicio anual finalizado en esa fecha, los Anexos y las Notas de políticas contables significativas y otras notas explicativas a los estados financieros.</w:t>
      </w:r>
    </w:p>
    <w:p w:rsidR="00233D48" w:rsidRPr="005B36F4" w:rsidRDefault="00233D48" w:rsidP="00233D48">
      <w:pPr>
        <w:keepNext/>
        <w:widowControl w:val="0"/>
        <w:tabs>
          <w:tab w:val="num" w:pos="142"/>
        </w:tabs>
        <w:spacing w:line="360" w:lineRule="auto"/>
        <w:jc w:val="both"/>
        <w:rPr>
          <w:rFonts w:cs="Arial"/>
        </w:rPr>
      </w:pPr>
      <w:r w:rsidRPr="005B36F4">
        <w:rPr>
          <w:rFonts w:cs="Arial"/>
        </w:rPr>
        <w:t xml:space="preserve">También se presentan, en caso de corresponder, los incumplimientos legales constatados por este </w:t>
      </w:r>
      <w:smartTag w:uri="urn:schemas-microsoft-com:office:smarttags" w:element="PersonName">
        <w:smartTagPr>
          <w:attr w:name="ProductID" w:val="Tribunal de Cuentas"/>
        </w:smartTagPr>
        <w:r w:rsidRPr="005B36F4">
          <w:rPr>
            <w:rFonts w:cs="Arial"/>
          </w:rPr>
          <w:t>Tribunal de Cuentas</w:t>
        </w:r>
      </w:smartTag>
      <w:r w:rsidRPr="005B36F4">
        <w:rPr>
          <w:rFonts w:cs="Arial"/>
        </w:rPr>
        <w:t xml:space="preserve"> en el curso de la auditoría efectuada.</w:t>
      </w:r>
    </w:p>
    <w:p w:rsidR="00233D48" w:rsidRPr="005B36F4" w:rsidRDefault="00233D48" w:rsidP="00233D48">
      <w:pPr>
        <w:keepNext/>
        <w:widowControl w:val="0"/>
        <w:tabs>
          <w:tab w:val="num" w:pos="142"/>
        </w:tabs>
        <w:spacing w:line="360" w:lineRule="auto"/>
        <w:jc w:val="both"/>
        <w:rPr>
          <w:rFonts w:cs="Arial"/>
          <w:lang w:val="es-UY"/>
        </w:rPr>
      </w:pPr>
      <w:r w:rsidRPr="005B36F4">
        <w:rPr>
          <w:rFonts w:cs="Arial"/>
          <w:lang w:val="es-UY"/>
        </w:rPr>
        <w:t xml:space="preserve"> </w:t>
      </w:r>
    </w:p>
    <w:p w:rsidR="00233D48" w:rsidRPr="005B36F4" w:rsidRDefault="00233D48" w:rsidP="00233D48">
      <w:pPr>
        <w:keepNext/>
        <w:widowControl w:val="0"/>
        <w:spacing w:line="360" w:lineRule="auto"/>
        <w:jc w:val="both"/>
        <w:rPr>
          <w:rFonts w:cs="Arial"/>
          <w:b/>
        </w:rPr>
      </w:pPr>
      <w:r w:rsidRPr="005B36F4">
        <w:rPr>
          <w:rFonts w:cs="Arial"/>
          <w:b/>
        </w:rPr>
        <w:t>Responsabilidad de la Dirección por los estados financieros</w:t>
      </w:r>
    </w:p>
    <w:p w:rsidR="00233D48" w:rsidRPr="005B36F4" w:rsidRDefault="00233D48" w:rsidP="00233D48">
      <w:pPr>
        <w:keepNext/>
        <w:widowControl w:val="0"/>
        <w:spacing w:line="360" w:lineRule="auto"/>
        <w:jc w:val="both"/>
        <w:rPr>
          <w:rFonts w:cs="Arial"/>
        </w:rPr>
      </w:pPr>
      <w:r w:rsidRPr="005B36F4">
        <w:rPr>
          <w:rFonts w:cs="Arial"/>
        </w:rPr>
        <w:t xml:space="preserve">La Dirección de la ANP es responsable por la preparación y la razonable presentación de estos estados financieros de acuerdo con las normas contables adecuadas en Uruguay y </w:t>
      </w:r>
      <w:smartTag w:uri="urn:schemas-microsoft-com:office:smarttags" w:element="PersonName">
        <w:smartTagPr>
          <w:attr w:name="ProductID" w:val="la Ordenanza N"/>
        </w:smartTagPr>
        <w:r w:rsidRPr="005B36F4">
          <w:rPr>
            <w:rFonts w:cs="Arial"/>
          </w:rPr>
          <w:t>la Ordenanza N</w:t>
        </w:r>
      </w:smartTag>
      <w:r w:rsidRPr="005B36F4">
        <w:rPr>
          <w:rFonts w:cs="Arial"/>
        </w:rPr>
        <w:t>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33D48" w:rsidRPr="005B36F4" w:rsidRDefault="00233D48" w:rsidP="00233D48">
      <w:pPr>
        <w:keepNext/>
        <w:widowControl w:val="0"/>
        <w:spacing w:line="360" w:lineRule="auto"/>
        <w:jc w:val="both"/>
        <w:rPr>
          <w:rFonts w:cs="Arial"/>
          <w:b/>
        </w:rPr>
      </w:pPr>
      <w:r w:rsidRPr="005B36F4">
        <w:rPr>
          <w:rFonts w:cs="Arial"/>
          <w:b/>
        </w:rPr>
        <w:lastRenderedPageBreak/>
        <w:t>Responsabilidad del auditor</w:t>
      </w:r>
    </w:p>
    <w:p w:rsidR="00233D48" w:rsidRDefault="00233D48" w:rsidP="00233D48">
      <w:pPr>
        <w:keepNext/>
        <w:widowControl w:val="0"/>
        <w:spacing w:line="360" w:lineRule="auto"/>
        <w:jc w:val="both"/>
        <w:rPr>
          <w:rFonts w:cs="Arial"/>
        </w:rPr>
      </w:pPr>
      <w:r w:rsidRPr="005B36F4">
        <w:rPr>
          <w:rFonts w:cs="Arial"/>
        </w:rPr>
        <w:t xml:space="preserve">La responsabilidad del </w:t>
      </w:r>
      <w:smartTag w:uri="urn:schemas-microsoft-com:office:smarttags" w:element="PersonName">
        <w:smartTagPr>
          <w:attr w:name="ProductID" w:val="Tribunal de Cuentas"/>
        </w:smartTagPr>
        <w:r w:rsidRPr="005B36F4">
          <w:rPr>
            <w:rFonts w:cs="Arial"/>
          </w:rPr>
          <w:t>Tribunal de Cuentas</w:t>
        </w:r>
      </w:smartTag>
      <w:r w:rsidRPr="005B36F4">
        <w:rPr>
          <w:rFonts w:cs="Arial"/>
        </w:rPr>
        <w:t xml:space="preserve"> es expresar una opinión sobre dichos estados financieros basada en la auditoría realizada. Esta auditoría fue practicada de acuerdo con los Principios Fundamentales de Auditoría (ISSAI 100 y 200) y las Directrices de Auditoría Financiera de </w:t>
      </w:r>
      <w:smartTag w:uri="urn:schemas-microsoft-com:office:smarttags" w:element="PersonName">
        <w:smartTagPr>
          <w:attr w:name="ProductID" w:val="la Organizaci￳n Internacional"/>
        </w:smartTagPr>
        <w:r w:rsidRPr="005B36F4">
          <w:rPr>
            <w:rFonts w:cs="Arial"/>
          </w:rPr>
          <w:t>la Organización Internacional</w:t>
        </w:r>
      </w:smartTag>
      <w:r w:rsidRPr="005B36F4">
        <w:rPr>
          <w:rFonts w:cs="Arial"/>
        </w:rPr>
        <w:t xml:space="preserve"> de Entidades Fiscalizadoras Superiores (INTOSAI). Estas normas requieren que se cumpla con requisitos éticos, se planifique y se realice la auditoría para obtener seguridad razonable acerca de si los estados financieros están lib</w:t>
      </w:r>
      <w:r>
        <w:rPr>
          <w:rFonts w:cs="Arial"/>
        </w:rPr>
        <w:t>res de errores significativos.</w:t>
      </w:r>
    </w:p>
    <w:p w:rsidR="00721330" w:rsidRPr="005B36F4" w:rsidRDefault="00721330" w:rsidP="00233D48">
      <w:pPr>
        <w:keepNext/>
        <w:widowControl w:val="0"/>
        <w:spacing w:line="360" w:lineRule="auto"/>
        <w:jc w:val="both"/>
        <w:rPr>
          <w:rFonts w:cs="Arial"/>
        </w:rPr>
      </w:pPr>
    </w:p>
    <w:p w:rsidR="00233D48" w:rsidRDefault="00233D48" w:rsidP="00233D48">
      <w:pPr>
        <w:keepNext/>
        <w:widowControl w:val="0"/>
        <w:spacing w:line="360" w:lineRule="auto"/>
        <w:jc w:val="both"/>
        <w:rPr>
          <w:rFonts w:cs="Arial"/>
        </w:rPr>
      </w:pPr>
      <w:r w:rsidRPr="005B36F4">
        <w:rPr>
          <w:rFonts w:cs="Arial"/>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w:t>
      </w:r>
      <w:smartTag w:uri="urn:schemas-microsoft-com:office:smarttags" w:element="PersonName">
        <w:smartTagPr>
          <w:attr w:name="ProductID" w:val="la entidad. Una"/>
        </w:smartTagPr>
        <w:r w:rsidRPr="005B36F4">
          <w:rPr>
            <w:rFonts w:cs="Arial"/>
          </w:rPr>
          <w:t>la entidad. Una</w:t>
        </w:r>
      </w:smartTag>
      <w:r w:rsidRPr="005B36F4">
        <w:rPr>
          <w:rFonts w:cs="Arial"/>
        </w:rPr>
        <w:t xml:space="preserve"> auditoría también implica evaluar lo apropiado de las políticas contables utilizadas y la razonabilidad de las estimaciones contables realizadas por la Dirección, así como evaluar la presentación general de los estados financieros.</w:t>
      </w:r>
    </w:p>
    <w:p w:rsidR="00721330" w:rsidRPr="005B36F4" w:rsidRDefault="00721330" w:rsidP="00233D48">
      <w:pPr>
        <w:keepNext/>
        <w:widowControl w:val="0"/>
        <w:spacing w:line="360" w:lineRule="auto"/>
        <w:jc w:val="both"/>
        <w:rPr>
          <w:rFonts w:cs="Arial"/>
        </w:rPr>
      </w:pPr>
    </w:p>
    <w:p w:rsidR="00233D48" w:rsidRPr="005B36F4" w:rsidRDefault="00233D48" w:rsidP="00233D48">
      <w:pPr>
        <w:keepNext/>
        <w:widowControl w:val="0"/>
        <w:spacing w:line="360" w:lineRule="auto"/>
        <w:jc w:val="both"/>
        <w:rPr>
          <w:rFonts w:cs="Arial"/>
        </w:rPr>
      </w:pPr>
      <w:r w:rsidRPr="005B36F4">
        <w:rPr>
          <w:rFonts w:cs="Arial"/>
        </w:rPr>
        <w:t>Se considera que la evidencia de auditoría obtenida brinda una base suficiente y apropiada para sustentar la opinión.</w:t>
      </w:r>
    </w:p>
    <w:p w:rsidR="00233D48" w:rsidRDefault="00233D48" w:rsidP="00233D48">
      <w:pPr>
        <w:keepNext/>
        <w:widowControl w:val="0"/>
        <w:spacing w:line="360" w:lineRule="auto"/>
        <w:jc w:val="both"/>
        <w:rPr>
          <w:rFonts w:cs="Arial"/>
          <w:b/>
        </w:rPr>
      </w:pPr>
    </w:p>
    <w:p w:rsidR="00233D48" w:rsidRDefault="00233D48" w:rsidP="00233D48">
      <w:pPr>
        <w:keepNext/>
        <w:widowControl w:val="0"/>
        <w:spacing w:line="360" w:lineRule="auto"/>
        <w:jc w:val="both"/>
        <w:rPr>
          <w:rFonts w:cs="Arial"/>
          <w:b/>
        </w:rPr>
      </w:pPr>
    </w:p>
    <w:p w:rsidR="00233D48" w:rsidRPr="005B36F4" w:rsidRDefault="00233D48" w:rsidP="00233D48">
      <w:pPr>
        <w:keepNext/>
        <w:widowControl w:val="0"/>
        <w:spacing w:line="360" w:lineRule="auto"/>
        <w:jc w:val="both"/>
        <w:rPr>
          <w:rFonts w:cs="Arial"/>
          <w:b/>
        </w:rPr>
      </w:pPr>
      <w:r w:rsidRPr="005B36F4">
        <w:rPr>
          <w:rFonts w:cs="Arial"/>
          <w:b/>
        </w:rPr>
        <w:lastRenderedPageBreak/>
        <w:t>Opinión</w:t>
      </w:r>
    </w:p>
    <w:p w:rsidR="00233D48" w:rsidRPr="005B36F4" w:rsidRDefault="00233D48" w:rsidP="00233D48">
      <w:pPr>
        <w:keepNext/>
        <w:widowControl w:val="0"/>
        <w:spacing w:line="360" w:lineRule="auto"/>
        <w:jc w:val="both"/>
        <w:rPr>
          <w:rFonts w:cs="Arial"/>
          <w:lang w:val="es-ES_tradnl"/>
        </w:rPr>
      </w:pPr>
      <w:r w:rsidRPr="005B36F4">
        <w:rPr>
          <w:rFonts w:cs="Arial"/>
          <w:lang w:val="es-UY"/>
        </w:rPr>
        <w:t xml:space="preserve">En opinión del </w:t>
      </w:r>
      <w:smartTag w:uri="urn:schemas-microsoft-com:office:smarttags" w:element="PersonName">
        <w:smartTagPr>
          <w:attr w:name="ProductID" w:val="Tribunal de Cuentas"/>
        </w:smartTagPr>
        <w:r w:rsidRPr="005B36F4">
          <w:rPr>
            <w:rFonts w:cs="Arial"/>
            <w:lang w:val="es-UY"/>
          </w:rPr>
          <w:t>Tribunal de Cuentas</w:t>
        </w:r>
      </w:smartTag>
      <w:r w:rsidRPr="005B36F4">
        <w:rPr>
          <w:rFonts w:cs="Arial"/>
          <w:lang w:val="es-UY"/>
        </w:rPr>
        <w:t xml:space="preserve"> los estados financieros referidos</w:t>
      </w:r>
      <w:r w:rsidRPr="005B36F4">
        <w:rPr>
          <w:rFonts w:cs="Arial"/>
          <w:lang w:val="es-ES_tradnl"/>
        </w:rPr>
        <w:t xml:space="preserve"> precedentemente presentan razonablemente, en todos sus aspectos importantes, la situación financiera de ANP al 31 de diciembre de 2016, los resultados de sus operaciones y los flujos d</w:t>
      </w:r>
      <w:r>
        <w:rPr>
          <w:rFonts w:cs="Arial"/>
          <w:lang w:val="es-ES_tradnl"/>
        </w:rPr>
        <w:t>e efectivo correspondientes al E</w:t>
      </w:r>
      <w:r w:rsidRPr="005B36F4">
        <w:rPr>
          <w:rFonts w:cs="Arial"/>
          <w:lang w:val="es-ES_tradnl"/>
        </w:rPr>
        <w:t xml:space="preserve">jercicio anual terminado en esa fecha, de acuerdo con </w:t>
      </w:r>
      <w:r w:rsidRPr="005B36F4">
        <w:rPr>
          <w:rFonts w:cs="Arial"/>
          <w:lang w:val="es-UY"/>
        </w:rPr>
        <w:t xml:space="preserve">normas contables adecuadas en Uruguay y </w:t>
      </w:r>
      <w:smartTag w:uri="urn:schemas-microsoft-com:office:smarttags" w:element="PersonName">
        <w:smartTagPr>
          <w:attr w:name="ProductID" w:val="la Ordenanza N"/>
        </w:smartTagPr>
        <w:r w:rsidRPr="005B36F4">
          <w:rPr>
            <w:rFonts w:cs="Arial"/>
            <w:lang w:val="es-UY"/>
          </w:rPr>
          <w:t>la Ordenanza N</w:t>
        </w:r>
      </w:smartTag>
      <w:r w:rsidRPr="005B36F4">
        <w:rPr>
          <w:rFonts w:cs="Arial"/>
          <w:lang w:val="es-UY"/>
        </w:rPr>
        <w:t>° 81 del Tribunal de Cuentas</w:t>
      </w:r>
      <w:r w:rsidRPr="005B36F4">
        <w:rPr>
          <w:rFonts w:cs="Arial"/>
          <w:lang w:val="es-ES_tradnl"/>
        </w:rPr>
        <w:t>.</w:t>
      </w:r>
    </w:p>
    <w:p w:rsidR="00233D48" w:rsidRPr="005B36F4" w:rsidRDefault="00233D48" w:rsidP="00233D48">
      <w:pPr>
        <w:keepNext/>
        <w:widowControl w:val="0"/>
        <w:spacing w:line="360" w:lineRule="auto"/>
        <w:jc w:val="both"/>
        <w:rPr>
          <w:rFonts w:cs="Arial"/>
        </w:rPr>
      </w:pPr>
      <w:r w:rsidRPr="005B36F4">
        <w:rPr>
          <w:rFonts w:cs="Arial"/>
        </w:rPr>
        <w:t>Con relación al cumplimiento de la normativa vigente, en el curso de la auditoría realizada, se ha constatado que:</w:t>
      </w:r>
    </w:p>
    <w:p w:rsidR="00233D48" w:rsidRPr="005B36F4" w:rsidRDefault="00233D48" w:rsidP="00233D48">
      <w:pPr>
        <w:keepNext/>
        <w:widowControl w:val="0"/>
        <w:numPr>
          <w:ilvl w:val="0"/>
          <w:numId w:val="2"/>
        </w:numPr>
        <w:tabs>
          <w:tab w:val="num" w:pos="1080"/>
        </w:tabs>
        <w:spacing w:line="360" w:lineRule="auto"/>
        <w:ind w:left="1080" w:hanging="480"/>
        <w:jc w:val="both"/>
        <w:rPr>
          <w:rFonts w:cs="Arial"/>
          <w:lang w:val="es-UY"/>
        </w:rPr>
      </w:pPr>
      <w:r w:rsidRPr="005B36F4">
        <w:rPr>
          <w:rFonts w:cs="Arial"/>
          <w:b/>
          <w:lang w:val="es-UY"/>
        </w:rPr>
        <w:t>Ordenanza 29 de 26/06/1958:</w:t>
      </w:r>
      <w:r w:rsidRPr="005B36F4">
        <w:rPr>
          <w:rFonts w:cs="Arial"/>
          <w:lang w:val="es-UY"/>
        </w:rPr>
        <w:t xml:space="preserve"> No se realizan arqueos de fondos en forma mensual.</w:t>
      </w:r>
    </w:p>
    <w:p w:rsidR="00233D48" w:rsidRPr="005B36F4" w:rsidRDefault="00233D48" w:rsidP="00233D48">
      <w:pPr>
        <w:keepNext/>
        <w:widowControl w:val="0"/>
        <w:numPr>
          <w:ilvl w:val="0"/>
          <w:numId w:val="2"/>
        </w:numPr>
        <w:tabs>
          <w:tab w:val="num" w:pos="1080"/>
        </w:tabs>
        <w:spacing w:line="360" w:lineRule="auto"/>
        <w:ind w:left="1080" w:hanging="480"/>
        <w:jc w:val="both"/>
        <w:rPr>
          <w:rFonts w:cs="Arial"/>
          <w:lang w:val="es-UY"/>
        </w:rPr>
      </w:pPr>
      <w:r w:rsidRPr="005B36F4">
        <w:rPr>
          <w:rFonts w:cs="Arial"/>
          <w:b/>
          <w:lang w:val="es-UY"/>
        </w:rPr>
        <w:t>Ordenanza 81 de 17/12/2002 – Numerales 15 y 28:</w:t>
      </w:r>
      <w:r w:rsidRPr="005B36F4">
        <w:rPr>
          <w:rFonts w:cs="Arial"/>
          <w:lang w:val="es-UY"/>
        </w:rPr>
        <w:t xml:space="preserve"> No se presenta la memoria explicativa ni se remite la carta de representaciones a la administración conjuntamente con los estados financieros.</w:t>
      </w:r>
    </w:p>
    <w:p w:rsidR="00233D48" w:rsidRDefault="00233D48" w:rsidP="00233D48">
      <w:pPr>
        <w:keepNext/>
        <w:widowControl w:val="0"/>
        <w:spacing w:line="360" w:lineRule="auto"/>
        <w:jc w:val="right"/>
        <w:rPr>
          <w:rFonts w:cs="Arial"/>
        </w:rPr>
      </w:pPr>
      <w:r w:rsidRPr="005B36F4">
        <w:rPr>
          <w:rFonts w:cs="Arial"/>
        </w:rPr>
        <w:t>Montevideo, 1 de agosto de 2017</w:t>
      </w:r>
    </w:p>
    <w:p w:rsidR="00233D48" w:rsidRDefault="00233D48" w:rsidP="00233D48">
      <w:pPr>
        <w:keepNext/>
        <w:widowControl w:val="0"/>
        <w:spacing w:line="360" w:lineRule="auto"/>
        <w:jc w:val="right"/>
        <w:rPr>
          <w:rFonts w:cs="Arial"/>
        </w:rPr>
      </w:pPr>
    </w:p>
    <w:p w:rsidR="00233D48" w:rsidRDefault="00233D48" w:rsidP="00233D48">
      <w:pPr>
        <w:keepNext/>
        <w:widowControl w:val="0"/>
        <w:spacing w:line="360" w:lineRule="auto"/>
        <w:jc w:val="right"/>
        <w:rPr>
          <w:rFonts w:cs="Arial"/>
        </w:rPr>
      </w:pPr>
    </w:p>
    <w:p w:rsidR="00233D48" w:rsidRPr="005B36F4" w:rsidRDefault="00233D48" w:rsidP="00233D48">
      <w:pPr>
        <w:keepNext/>
        <w:widowControl w:val="0"/>
        <w:spacing w:line="360" w:lineRule="auto"/>
        <w:ind w:hanging="284"/>
        <w:rPr>
          <w:rFonts w:cs="Arial"/>
        </w:rPr>
      </w:pPr>
      <w:r>
        <w:rPr>
          <w:rFonts w:cs="Arial"/>
        </w:rPr>
        <w:t>dc</w:t>
      </w: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jc w:val="both"/>
      </w:pPr>
    </w:p>
    <w:p w:rsidR="00233D48" w:rsidRDefault="00233D48" w:rsidP="00233D48">
      <w:pPr>
        <w:keepNext/>
        <w:widowControl w:val="0"/>
        <w:spacing w:line="360" w:lineRule="auto"/>
        <w:ind w:hanging="426"/>
        <w:jc w:val="both"/>
      </w:pPr>
    </w:p>
    <w:p w:rsidR="00233D48" w:rsidRDefault="00233D48" w:rsidP="00233D48">
      <w:pPr>
        <w:keepNext/>
        <w:widowControl w:val="0"/>
        <w:spacing w:line="360" w:lineRule="auto"/>
        <w:ind w:hanging="426"/>
        <w:jc w:val="both"/>
      </w:pPr>
    </w:p>
    <w:p w:rsidR="00233D48" w:rsidRDefault="00233D48" w:rsidP="00233D48">
      <w:pPr>
        <w:keepNext/>
        <w:widowControl w:val="0"/>
        <w:spacing w:line="360" w:lineRule="auto"/>
        <w:ind w:hanging="426"/>
        <w:jc w:val="both"/>
      </w:pPr>
    </w:p>
    <w:p w:rsidR="00233D48" w:rsidRPr="00024B33" w:rsidRDefault="00233D48" w:rsidP="00233D48">
      <w:pPr>
        <w:keepNext/>
        <w:widowControl w:val="0"/>
        <w:jc w:val="center"/>
        <w:rPr>
          <w:rFonts w:cs="Arial"/>
          <w:b/>
        </w:rPr>
      </w:pPr>
      <w:r w:rsidRPr="00024B33">
        <w:rPr>
          <w:rFonts w:cs="Arial"/>
          <w:b/>
        </w:rPr>
        <w:lastRenderedPageBreak/>
        <w:t>INFORME A LA ADMINISTRACIÓN</w:t>
      </w:r>
    </w:p>
    <w:p w:rsidR="00233D48" w:rsidRPr="00024B33" w:rsidRDefault="00233D48" w:rsidP="00233D48">
      <w:pPr>
        <w:keepNext/>
        <w:widowControl w:val="0"/>
        <w:spacing w:line="360" w:lineRule="auto"/>
        <w:jc w:val="both"/>
        <w:rPr>
          <w:rFonts w:cs="Arial"/>
        </w:rPr>
      </w:pPr>
    </w:p>
    <w:p w:rsidR="00233D48" w:rsidRPr="00024B33" w:rsidRDefault="00233D48" w:rsidP="00233D48">
      <w:pPr>
        <w:keepNext/>
        <w:widowControl w:val="0"/>
        <w:spacing w:line="360" w:lineRule="auto"/>
        <w:jc w:val="both"/>
        <w:rPr>
          <w:rFonts w:cs="Arial"/>
        </w:rPr>
      </w:pPr>
      <w:r w:rsidRPr="00024B33">
        <w:rPr>
          <w:rFonts w:cs="Arial"/>
        </w:rPr>
        <w:t xml:space="preserve">El </w:t>
      </w:r>
      <w:smartTag w:uri="urn:schemas-microsoft-com:office:smarttags" w:element="PersonName">
        <w:smartTagPr>
          <w:attr w:name="ProductID" w:val="Tribunal de Cuentas"/>
        </w:smartTagPr>
        <w:r w:rsidRPr="00024B33">
          <w:rPr>
            <w:rFonts w:cs="Arial"/>
          </w:rPr>
          <w:t>Tribunal de Cuentas</w:t>
        </w:r>
      </w:smartTag>
      <w:r w:rsidRPr="00024B33">
        <w:rPr>
          <w:rFonts w:cs="Arial"/>
        </w:rPr>
        <w:t xml:space="preserve"> ha examinado los estados financieros de </w:t>
      </w:r>
      <w:smartTag w:uri="urn:schemas-microsoft-com:office:smarttags" w:element="PersonName">
        <w:smartTagPr>
          <w:attr w:name="ProductID" w:val="la Administraci￳n Nacional"/>
        </w:smartTagPr>
        <w:r w:rsidRPr="00024B33">
          <w:rPr>
            <w:rFonts w:cs="Arial"/>
          </w:rPr>
          <w:t>la Administración Nacional</w:t>
        </w:r>
      </w:smartTag>
      <w:r>
        <w:rPr>
          <w:rFonts w:cs="Arial"/>
        </w:rPr>
        <w:t xml:space="preserve"> de Puertos (ANP), por el E</w:t>
      </w:r>
      <w:r w:rsidRPr="00024B33">
        <w:rPr>
          <w:rFonts w:cs="Arial"/>
        </w:rPr>
        <w:t>jercicio finalizado el 31 de diciembre de 2016 y ha emitido su Dictamen.</w:t>
      </w:r>
    </w:p>
    <w:p w:rsidR="00233D48" w:rsidRPr="00024B33" w:rsidRDefault="00233D48" w:rsidP="00233D48">
      <w:pPr>
        <w:keepNext/>
        <w:widowControl w:val="0"/>
        <w:spacing w:line="360" w:lineRule="auto"/>
        <w:jc w:val="both"/>
        <w:rPr>
          <w:rFonts w:cs="Arial"/>
          <w:szCs w:val="20"/>
          <w:lang w:val="es-UY"/>
        </w:rPr>
      </w:pPr>
      <w:r w:rsidRPr="00024B33">
        <w:rPr>
          <w:rFonts w:cs="Arial"/>
          <w:szCs w:val="20"/>
          <w:lang w:val="es-UY"/>
        </w:rPr>
        <w:t>Este informe contiene consideraciones relativas a la presentación de dichos estados y a la evaluación del control interno del Organismo. Se incluyen además comentarios que se ha entendido conveniente exponer, relacionados a la situación de determinados capítulos y rubros de los estados examinados y a disposiciones legales vigentes.</w:t>
      </w:r>
    </w:p>
    <w:p w:rsidR="00233D48" w:rsidRPr="00024B33" w:rsidRDefault="00233D48" w:rsidP="00233D48">
      <w:pPr>
        <w:keepNext/>
        <w:widowControl w:val="0"/>
        <w:spacing w:line="360" w:lineRule="auto"/>
        <w:jc w:val="both"/>
        <w:rPr>
          <w:rFonts w:cs="Arial"/>
          <w:szCs w:val="20"/>
          <w:lang w:val="es-UY"/>
        </w:rPr>
      </w:pPr>
      <w:r w:rsidRPr="00024B33">
        <w:rPr>
          <w:rFonts w:cs="Arial"/>
          <w:szCs w:val="20"/>
          <w:lang w:val="es-UY"/>
        </w:rPr>
        <w:t>También se agregan las principales recomendaciones que deberá atender el Organismo y una evaluación del cumplimiento de las recomendaciones presenta</w:t>
      </w:r>
      <w:r w:rsidRPr="00024B33">
        <w:rPr>
          <w:rFonts w:cs="Arial"/>
          <w:szCs w:val="20"/>
          <w:lang w:val="es-UY"/>
        </w:rPr>
        <w:softHyphen/>
        <w:t xml:space="preserve">das </w:t>
      </w:r>
      <w:r>
        <w:rPr>
          <w:rFonts w:cs="Arial"/>
          <w:szCs w:val="20"/>
          <w:lang w:val="es-UY"/>
        </w:rPr>
        <w:t>en el informe de auditoría del E</w:t>
      </w:r>
      <w:r w:rsidRPr="00024B33">
        <w:rPr>
          <w:rFonts w:cs="Arial"/>
          <w:szCs w:val="20"/>
          <w:lang w:val="es-UY"/>
        </w:rPr>
        <w:t>jercicio anterior.</w:t>
      </w:r>
    </w:p>
    <w:p w:rsidR="00233D48" w:rsidRPr="00024B33" w:rsidRDefault="00233D48" w:rsidP="00233D48">
      <w:pPr>
        <w:keepNext/>
        <w:widowControl w:val="0"/>
        <w:spacing w:line="360" w:lineRule="auto"/>
        <w:jc w:val="both"/>
        <w:rPr>
          <w:rFonts w:cs="Arial"/>
        </w:rPr>
      </w:pPr>
    </w:p>
    <w:p w:rsidR="00233D48" w:rsidRPr="00024B33" w:rsidRDefault="00233D48" w:rsidP="00233D48">
      <w:pPr>
        <w:keepNext/>
        <w:widowControl w:val="0"/>
        <w:numPr>
          <w:ilvl w:val="0"/>
          <w:numId w:val="4"/>
        </w:numPr>
        <w:spacing w:line="360" w:lineRule="auto"/>
        <w:ind w:hanging="720"/>
        <w:jc w:val="both"/>
        <w:rPr>
          <w:rFonts w:cs="Arial"/>
          <w:b/>
          <w:bCs/>
        </w:rPr>
      </w:pPr>
      <w:r w:rsidRPr="00024B33">
        <w:rPr>
          <w:rFonts w:cs="Arial"/>
          <w:b/>
          <w:bCs/>
        </w:rPr>
        <w:t>Presentación de Estados Financieros</w:t>
      </w:r>
    </w:p>
    <w:p w:rsidR="00233D48" w:rsidRPr="00024B33" w:rsidRDefault="00233D48" w:rsidP="00233D48">
      <w:pPr>
        <w:keepNext/>
        <w:widowControl w:val="0"/>
        <w:spacing w:line="360" w:lineRule="auto"/>
        <w:jc w:val="both"/>
        <w:rPr>
          <w:rFonts w:cs="Arial"/>
        </w:rPr>
      </w:pPr>
      <w:r>
        <w:rPr>
          <w:rFonts w:cs="Arial"/>
        </w:rPr>
        <w:t>Los estados financieros por el E</w:t>
      </w:r>
      <w:r w:rsidRPr="00024B33">
        <w:rPr>
          <w:rFonts w:cs="Arial"/>
        </w:rPr>
        <w:t xml:space="preserve">jercicio finalizado el 31 de diciembre de 2016 fueron aprobados por Resolución de Directorio 180/3866 de fecha 29/03/2017 y remitidos </w:t>
      </w:r>
      <w:r>
        <w:rPr>
          <w:rFonts w:cs="Arial"/>
        </w:rPr>
        <w:t>a este  Tribunal el 31/03/2017.</w:t>
      </w:r>
    </w:p>
    <w:p w:rsidR="00233D48" w:rsidRPr="00024B33" w:rsidRDefault="00233D48" w:rsidP="00233D48">
      <w:pPr>
        <w:keepNext/>
        <w:widowControl w:val="0"/>
        <w:spacing w:line="360" w:lineRule="auto"/>
        <w:jc w:val="both"/>
        <w:rPr>
          <w:rFonts w:cs="Arial"/>
        </w:rPr>
      </w:pPr>
      <w:r w:rsidRPr="00024B33">
        <w:rPr>
          <w:rFonts w:cs="Arial"/>
        </w:rPr>
        <w:t>Además se remitió Acta 3866 de fecha 29/03/2017 aprobando lo actuado p</w:t>
      </w:r>
      <w:r>
        <w:rPr>
          <w:rFonts w:cs="Arial"/>
        </w:rPr>
        <w:t>or el Directorio del Organismo.</w:t>
      </w:r>
    </w:p>
    <w:p w:rsidR="00233D48" w:rsidRPr="00024B33" w:rsidRDefault="00233D48" w:rsidP="00233D48">
      <w:pPr>
        <w:keepNext/>
        <w:widowControl w:val="0"/>
        <w:spacing w:line="360" w:lineRule="auto"/>
        <w:jc w:val="both"/>
        <w:rPr>
          <w:rFonts w:cs="Arial"/>
        </w:rPr>
      </w:pPr>
      <w:r w:rsidRPr="00024B33">
        <w:rPr>
          <w:rFonts w:cs="Arial"/>
        </w:rPr>
        <w:t xml:space="preserve">Los estados financieros presentados no incluyen la memoria explicativa informando sobre todos los puntos de interés. (Numeral 15 de </w:t>
      </w:r>
      <w:smartTag w:uri="urn:schemas-microsoft-com:office:smarttags" w:element="PersonName">
        <w:smartTagPr>
          <w:attr w:name="ProductID" w:val="la Ordenanza N"/>
        </w:smartTagPr>
        <w:r w:rsidRPr="00024B33">
          <w:rPr>
            <w:rFonts w:cs="Arial"/>
          </w:rPr>
          <w:t>la Ordenanza N</w:t>
        </w:r>
      </w:smartTag>
      <w:r>
        <w:rPr>
          <w:rFonts w:cs="Arial"/>
        </w:rPr>
        <w:t>º</w:t>
      </w:r>
      <w:r w:rsidRPr="00024B33">
        <w:rPr>
          <w:rFonts w:cs="Arial"/>
        </w:rPr>
        <w:t xml:space="preserve">81). Además no se remitió al </w:t>
      </w:r>
      <w:smartTag w:uri="urn:schemas-microsoft-com:office:smarttags" w:element="PersonName">
        <w:smartTagPr>
          <w:attr w:name="ProductID" w:val="Tribunal de Cuentas"/>
        </w:smartTagPr>
        <w:r w:rsidRPr="00024B33">
          <w:rPr>
            <w:rFonts w:cs="Arial"/>
          </w:rPr>
          <w:t>Tribunal de Cuentas</w:t>
        </w:r>
      </w:smartTag>
      <w:r w:rsidRPr="00024B33">
        <w:rPr>
          <w:rFonts w:cs="Arial"/>
        </w:rPr>
        <w:t xml:space="preserve">, junto con los estados financieros, la carta de representaciones de la administración (Numeral 28 de </w:t>
      </w:r>
      <w:smartTag w:uri="urn:schemas-microsoft-com:office:smarttags" w:element="PersonName">
        <w:smartTagPr>
          <w:attr w:name="ProductID" w:val="la Ordenanza N"/>
        </w:smartTagPr>
        <w:r w:rsidRPr="00024B33">
          <w:rPr>
            <w:rFonts w:cs="Arial"/>
          </w:rPr>
          <w:t>la Ordenanza N</w:t>
        </w:r>
      </w:smartTag>
      <w:r w:rsidRPr="00024B33">
        <w:rPr>
          <w:rFonts w:cs="Arial"/>
        </w:rPr>
        <w:t>º 81).</w:t>
      </w:r>
    </w:p>
    <w:p w:rsidR="00233D48" w:rsidRPr="00024B33" w:rsidRDefault="00233D48" w:rsidP="00233D48">
      <w:pPr>
        <w:keepNext/>
        <w:widowControl w:val="0"/>
        <w:spacing w:line="360" w:lineRule="auto"/>
        <w:jc w:val="both"/>
        <w:rPr>
          <w:rFonts w:cs="Arial"/>
        </w:rPr>
      </w:pPr>
      <w:r w:rsidRPr="00024B33">
        <w:rPr>
          <w:rFonts w:cs="Arial"/>
        </w:rPr>
        <w:t xml:space="preserve">Exceptuando lo expresado en el párrafo anterior, dichos estados se presentan de acuerdo con las normas contables adecuadas en Uruguay y </w:t>
      </w:r>
      <w:smartTag w:uri="urn:schemas-microsoft-com:office:smarttags" w:element="PersonName">
        <w:smartTagPr>
          <w:attr w:name="ProductID" w:val="la Ordenanza N"/>
        </w:smartTagPr>
        <w:r w:rsidRPr="00024B33">
          <w:rPr>
            <w:rFonts w:cs="Arial"/>
          </w:rPr>
          <w:t>la Ordenanza N</w:t>
        </w:r>
      </w:smartTag>
      <w:r w:rsidRPr="00024B33">
        <w:rPr>
          <w:rFonts w:cs="Arial"/>
        </w:rPr>
        <w:t>° 81 de este Tribunal.</w:t>
      </w:r>
    </w:p>
    <w:p w:rsidR="00233D48" w:rsidRPr="00024B33" w:rsidRDefault="00233D48" w:rsidP="00233D48">
      <w:pPr>
        <w:keepNext/>
        <w:widowControl w:val="0"/>
        <w:spacing w:line="360" w:lineRule="auto"/>
        <w:jc w:val="both"/>
        <w:rPr>
          <w:rFonts w:cs="Arial"/>
        </w:rPr>
      </w:pPr>
    </w:p>
    <w:p w:rsidR="00233D48" w:rsidRPr="00024B33" w:rsidRDefault="00233D48" w:rsidP="00233D48">
      <w:pPr>
        <w:keepNext/>
        <w:widowControl w:val="0"/>
        <w:numPr>
          <w:ilvl w:val="0"/>
          <w:numId w:val="4"/>
        </w:numPr>
        <w:spacing w:line="360" w:lineRule="auto"/>
        <w:ind w:hanging="720"/>
        <w:jc w:val="both"/>
        <w:rPr>
          <w:rFonts w:cs="Arial"/>
          <w:b/>
          <w:bCs/>
        </w:rPr>
      </w:pPr>
      <w:r w:rsidRPr="00024B33">
        <w:rPr>
          <w:rFonts w:cs="Arial"/>
          <w:b/>
          <w:bCs/>
        </w:rPr>
        <w:lastRenderedPageBreak/>
        <w:t>Evaluación</w:t>
      </w:r>
      <w:r w:rsidRPr="00024B33">
        <w:rPr>
          <w:rFonts w:cs="Arial"/>
          <w:b/>
          <w:bCs/>
          <w:lang w:val="es-UY"/>
        </w:rPr>
        <w:t xml:space="preserve"> del </w:t>
      </w:r>
      <w:r w:rsidRPr="00024B33">
        <w:rPr>
          <w:rFonts w:cs="Arial"/>
          <w:b/>
          <w:bCs/>
        </w:rPr>
        <w:t>Control Interno</w:t>
      </w:r>
    </w:p>
    <w:p w:rsidR="00233D48" w:rsidRPr="00024B33" w:rsidRDefault="00233D48" w:rsidP="00233D48">
      <w:pPr>
        <w:keepNext/>
        <w:widowControl w:val="0"/>
        <w:spacing w:line="360" w:lineRule="auto"/>
        <w:jc w:val="both"/>
        <w:rPr>
          <w:rFonts w:cs="Arial"/>
          <w:szCs w:val="20"/>
          <w:lang w:val="es-UY"/>
        </w:rPr>
      </w:pPr>
      <w:r w:rsidRPr="00024B33">
        <w:rPr>
          <w:rFonts w:cs="Arial"/>
          <w:szCs w:val="20"/>
          <w:lang w:val="es-UY"/>
        </w:rPr>
        <w:t>La evaluación del control interno fue realizada para establecer los procedimientos de auditoría que debían aplicarse como prueba de la eficacia de los controles implementados en relación con el objetivo de la auditoría practicada y no a efectos de emitir</w:t>
      </w:r>
      <w:r>
        <w:rPr>
          <w:rFonts w:cs="Arial"/>
          <w:szCs w:val="20"/>
          <w:lang w:val="es-UY"/>
        </w:rPr>
        <w:t xml:space="preserve"> una opinión respecto al mismo.</w:t>
      </w:r>
    </w:p>
    <w:p w:rsidR="00233D48" w:rsidRPr="00024B33" w:rsidRDefault="00233D48" w:rsidP="00233D48">
      <w:pPr>
        <w:keepNext/>
        <w:widowControl w:val="0"/>
        <w:spacing w:line="360" w:lineRule="auto"/>
        <w:jc w:val="both"/>
        <w:rPr>
          <w:rFonts w:cs="Arial"/>
          <w:lang w:val="es-UY"/>
        </w:rPr>
      </w:pPr>
      <w:r w:rsidRPr="00024B33">
        <w:rPr>
          <w:rFonts w:cs="Arial"/>
          <w:lang w:val="es-UY"/>
        </w:rPr>
        <w:t>Su eva</w:t>
      </w:r>
      <w:r>
        <w:rPr>
          <w:rFonts w:cs="Arial"/>
          <w:lang w:val="es-UY"/>
        </w:rPr>
        <w:t>luación permitió constatar que:</w:t>
      </w:r>
    </w:p>
    <w:p w:rsidR="00233D48" w:rsidRPr="00024B33" w:rsidRDefault="00233D48" w:rsidP="00233D48">
      <w:pPr>
        <w:keepNext/>
        <w:widowControl w:val="0"/>
        <w:numPr>
          <w:ilvl w:val="1"/>
          <w:numId w:val="4"/>
        </w:numPr>
        <w:tabs>
          <w:tab w:val="clear" w:pos="390"/>
          <w:tab w:val="num" w:pos="720"/>
        </w:tabs>
        <w:spacing w:line="360" w:lineRule="auto"/>
        <w:ind w:left="720" w:hanging="720"/>
        <w:jc w:val="both"/>
        <w:rPr>
          <w:rFonts w:ascii="Times" w:hAnsi="Times"/>
          <w:sz w:val="22"/>
          <w:szCs w:val="20"/>
        </w:rPr>
      </w:pPr>
      <w:r w:rsidRPr="00024B33">
        <w:rPr>
          <w:rFonts w:cs="Arial"/>
        </w:rPr>
        <w:t>En cuanto a los arqueos de fondos se constató que en la Unidad de Tesorería que incluye fondos propios y Cajas Chicas, se realizaron siete arqueos a lo largo del año, sie</w:t>
      </w:r>
      <w:r>
        <w:rPr>
          <w:rFonts w:cs="Arial"/>
        </w:rPr>
        <w:t>ndo cinco de ellos sorpresivos.</w:t>
      </w:r>
    </w:p>
    <w:p w:rsidR="00233D48" w:rsidRPr="00024B33" w:rsidRDefault="00233D48" w:rsidP="00233D48">
      <w:pPr>
        <w:keepNext/>
        <w:widowControl w:val="0"/>
        <w:numPr>
          <w:ilvl w:val="0"/>
          <w:numId w:val="9"/>
        </w:numPr>
        <w:spacing w:line="360" w:lineRule="auto"/>
        <w:ind w:hanging="720"/>
        <w:jc w:val="both"/>
        <w:rPr>
          <w:rFonts w:cs="Arial"/>
        </w:rPr>
      </w:pPr>
      <w:r w:rsidRPr="00024B33">
        <w:rPr>
          <w:rFonts w:cs="Arial"/>
        </w:rPr>
        <w:t xml:space="preserve">En la cuenta BROU Caja Ahorro U$S Puertos Interior (auxiliar 5.7.4.22)  el saldo registrado en los estados financieros al 31/12/2016 difiere con el  saldo contable tomado para </w:t>
      </w:r>
      <w:r>
        <w:rPr>
          <w:rFonts w:cs="Arial"/>
        </w:rPr>
        <w:t>efectuar la conciliación en U$S</w:t>
      </w:r>
      <w:r w:rsidRPr="00024B33">
        <w:rPr>
          <w:rFonts w:cs="Arial"/>
        </w:rPr>
        <w:t>9.253.impo</w:t>
      </w:r>
      <w:r>
        <w:rPr>
          <w:rFonts w:cs="Arial"/>
        </w:rPr>
        <w:t>rte que carece de materialidad.</w:t>
      </w:r>
    </w:p>
    <w:p w:rsidR="00233D48" w:rsidRPr="00024B33" w:rsidRDefault="00233D48" w:rsidP="00233D48">
      <w:pPr>
        <w:keepNext/>
        <w:widowControl w:val="0"/>
        <w:numPr>
          <w:ilvl w:val="0"/>
          <w:numId w:val="10"/>
        </w:numPr>
        <w:spacing w:line="360" w:lineRule="auto"/>
        <w:ind w:hanging="720"/>
        <w:jc w:val="both"/>
        <w:rPr>
          <w:rFonts w:cs="Arial"/>
        </w:rPr>
      </w:pPr>
      <w:r w:rsidRPr="00024B33">
        <w:rPr>
          <w:rFonts w:cs="Arial"/>
        </w:rPr>
        <w:t>En relación a los Bienes de Cambio, se realizó solamente un recuento físico que representa el 60,4% del total de bienes, no efectuándose  el inventario general de los mismos. No se realizó el inventario físico de los Bienes en Desuso  y no se cuenta  con un protocolo para determinar los bienes de</w:t>
      </w:r>
      <w:r>
        <w:rPr>
          <w:rFonts w:cs="Arial"/>
        </w:rPr>
        <w:t>l stock que están fuera de uso.</w:t>
      </w:r>
    </w:p>
    <w:p w:rsidR="00233D48" w:rsidRPr="00024B33" w:rsidRDefault="00233D48" w:rsidP="00233D48">
      <w:pPr>
        <w:keepNext/>
        <w:widowControl w:val="0"/>
        <w:numPr>
          <w:ilvl w:val="0"/>
          <w:numId w:val="11"/>
        </w:numPr>
        <w:spacing w:line="360" w:lineRule="auto"/>
        <w:ind w:hanging="720"/>
        <w:jc w:val="both"/>
        <w:rPr>
          <w:rFonts w:cs="Arial"/>
        </w:rPr>
      </w:pPr>
      <w:r w:rsidRPr="00024B33">
        <w:rPr>
          <w:rFonts w:cs="Arial"/>
        </w:rPr>
        <w:t>En el capítulo “Créditos por Ventas”, la ANP prevé las categorías de Deudores por Servicios, Deudores Morosos y Deudores en Gestión. Se constató la existencia de deudores que no se encuentran en situación regular de pago, que deberían integrar el saldo de Deudores en Gestión  y están expues</w:t>
      </w:r>
      <w:r>
        <w:rPr>
          <w:rFonts w:cs="Arial"/>
        </w:rPr>
        <w:t>tos dentro de Deudores Morosos.</w:t>
      </w:r>
    </w:p>
    <w:p w:rsidR="00233D48" w:rsidRPr="00024B33" w:rsidRDefault="00233D48" w:rsidP="00233D48">
      <w:pPr>
        <w:keepNext/>
        <w:widowControl w:val="0"/>
        <w:numPr>
          <w:ilvl w:val="0"/>
          <w:numId w:val="12"/>
        </w:numPr>
        <w:spacing w:line="360" w:lineRule="auto"/>
        <w:ind w:hanging="720"/>
        <w:jc w:val="both"/>
        <w:rPr>
          <w:rFonts w:cs="Arial"/>
        </w:rPr>
      </w:pPr>
      <w:r w:rsidRPr="00024B33">
        <w:rPr>
          <w:rFonts w:cs="Arial"/>
        </w:rPr>
        <w:t>En relación al rubro Obras en Curso se pudo comprobar que no existe un inventario al 31/12/2016 que exprese la composición del rubro. Existen detalles de las altas y de las bajas del ejercicio correspondientes a obras finalizadas que fueron transferidas a otros rubros del capítulo Bienes de Uso.</w:t>
      </w:r>
    </w:p>
    <w:p w:rsidR="00233D48" w:rsidRPr="00024B33" w:rsidRDefault="00233D48" w:rsidP="00233D48">
      <w:pPr>
        <w:keepNext/>
        <w:widowControl w:val="0"/>
        <w:numPr>
          <w:ilvl w:val="0"/>
          <w:numId w:val="13"/>
        </w:numPr>
        <w:spacing w:line="360" w:lineRule="auto"/>
        <w:ind w:hanging="720"/>
        <w:jc w:val="both"/>
        <w:rPr>
          <w:rFonts w:cs="Arial"/>
        </w:rPr>
      </w:pPr>
      <w:r w:rsidRPr="00024B33">
        <w:rPr>
          <w:rFonts w:cs="Arial"/>
        </w:rPr>
        <w:lastRenderedPageBreak/>
        <w:t>El inventario de altas</w:t>
      </w:r>
      <w:r>
        <w:rPr>
          <w:rFonts w:cs="Arial"/>
        </w:rPr>
        <w:t xml:space="preserve"> de activo fijo no incluye $ 20:</w:t>
      </w:r>
      <w:r w:rsidRPr="00024B33">
        <w:rPr>
          <w:rFonts w:cs="Arial"/>
        </w:rPr>
        <w:t>376.501  considerados en el cuadro de Bienes de Uso correspondientes a inversiones que aumentan su valor o extienden su vida útil.</w:t>
      </w:r>
    </w:p>
    <w:p w:rsidR="00233D48" w:rsidRPr="00024B33" w:rsidRDefault="00233D48" w:rsidP="00233D48">
      <w:pPr>
        <w:keepNext/>
        <w:widowControl w:val="0"/>
        <w:numPr>
          <w:ilvl w:val="0"/>
          <w:numId w:val="14"/>
        </w:numPr>
        <w:spacing w:line="360" w:lineRule="auto"/>
        <w:ind w:hanging="720"/>
        <w:jc w:val="both"/>
        <w:rPr>
          <w:rFonts w:cs="Arial"/>
        </w:rPr>
      </w:pPr>
      <w:r w:rsidRPr="00024B33">
        <w:rPr>
          <w:rFonts w:cs="Arial"/>
        </w:rPr>
        <w:t xml:space="preserve">En los inventarios generales de Bienes Muebles e Inmuebles existen bienes cuyos años de vida útil no coinciden con el rango de años por categoría expuesto en la Nota </w:t>
      </w:r>
      <w:smartTag w:uri="urn:schemas-microsoft-com:office:smarttags" w:element="metricconverter">
        <w:smartTagPr>
          <w:attr w:name="ProductID" w:val="2.8 a"/>
        </w:smartTagPr>
        <w:r w:rsidRPr="00024B33">
          <w:rPr>
            <w:rFonts w:cs="Arial"/>
          </w:rPr>
          <w:t>2.8 a</w:t>
        </w:r>
      </w:smartTag>
      <w:r w:rsidRPr="00024B33">
        <w:rPr>
          <w:rFonts w:cs="Arial"/>
        </w:rPr>
        <w:t xml:space="preserve"> los estados financieros.</w:t>
      </w:r>
    </w:p>
    <w:p w:rsidR="00233D48" w:rsidRDefault="00233D48" w:rsidP="00233D48">
      <w:pPr>
        <w:keepNext/>
        <w:widowControl w:val="0"/>
        <w:numPr>
          <w:ilvl w:val="0"/>
          <w:numId w:val="15"/>
        </w:numPr>
        <w:spacing w:line="360" w:lineRule="auto"/>
        <w:ind w:hanging="720"/>
        <w:jc w:val="both"/>
        <w:rPr>
          <w:rFonts w:cs="Arial"/>
        </w:rPr>
      </w:pPr>
      <w:r w:rsidRPr="00024B33">
        <w:rPr>
          <w:rFonts w:cs="Arial"/>
        </w:rPr>
        <w:t>En relación a la información expuesta en l</w:t>
      </w:r>
      <w:r>
        <w:rPr>
          <w:rFonts w:cs="Arial"/>
        </w:rPr>
        <w:t>a Nota 21 “Bienes en Concesión”</w:t>
      </w:r>
      <w:r w:rsidRPr="00024B33">
        <w:rPr>
          <w:rFonts w:cs="Arial"/>
        </w:rPr>
        <w:t>, se constató que los ingresos del auxiliar 8013 se encuentran disminuido</w:t>
      </w:r>
      <w:r>
        <w:rPr>
          <w:rFonts w:cs="Arial"/>
        </w:rPr>
        <w:t>s</w:t>
      </w:r>
      <w:r w:rsidRPr="00024B33">
        <w:rPr>
          <w:rFonts w:cs="Arial"/>
        </w:rPr>
        <w:t xml:space="preserve"> en U$S 30.000 y se omitió incluir los correspondientes al  auxiliar 8094  por U$S 35.500. Esto implica que el detalle expuesto en la nota </w:t>
      </w:r>
      <w:r>
        <w:rPr>
          <w:rFonts w:cs="Arial"/>
        </w:rPr>
        <w:t>no concuerda</w:t>
      </w:r>
      <w:r w:rsidRPr="00024B33">
        <w:rPr>
          <w:rFonts w:cs="Arial"/>
        </w:rPr>
        <w:t xml:space="preserve"> con el correspondiente saldo  contable.</w:t>
      </w:r>
    </w:p>
    <w:p w:rsidR="00233D48" w:rsidRPr="00024B33" w:rsidRDefault="00233D48" w:rsidP="00233D48">
      <w:pPr>
        <w:keepNext/>
        <w:widowControl w:val="0"/>
        <w:spacing w:line="360" w:lineRule="auto"/>
        <w:ind w:left="720"/>
        <w:jc w:val="both"/>
        <w:rPr>
          <w:rFonts w:cs="Arial"/>
        </w:rPr>
      </w:pPr>
      <w:r w:rsidRPr="00024B33">
        <w:rPr>
          <w:rFonts w:cs="Arial"/>
        </w:rPr>
        <w:t xml:space="preserve"> </w:t>
      </w:r>
    </w:p>
    <w:p w:rsidR="00233D48" w:rsidRPr="00024B33" w:rsidRDefault="00233D48" w:rsidP="00233D48">
      <w:pPr>
        <w:keepNext/>
        <w:widowControl w:val="0"/>
        <w:numPr>
          <w:ilvl w:val="0"/>
          <w:numId w:val="4"/>
        </w:numPr>
        <w:spacing w:line="360" w:lineRule="auto"/>
        <w:ind w:hanging="720"/>
        <w:jc w:val="both"/>
        <w:rPr>
          <w:rFonts w:cs="Arial"/>
          <w:b/>
          <w:bCs/>
        </w:rPr>
      </w:pPr>
      <w:r w:rsidRPr="00024B33">
        <w:rPr>
          <w:rFonts w:cs="Arial"/>
          <w:b/>
          <w:bCs/>
        </w:rPr>
        <w:t>Otras constataciones</w:t>
      </w:r>
    </w:p>
    <w:p w:rsidR="00233D48" w:rsidRPr="00024B33" w:rsidRDefault="00233D48" w:rsidP="00233D48">
      <w:pPr>
        <w:keepNext/>
        <w:widowControl w:val="0"/>
        <w:numPr>
          <w:ilvl w:val="1"/>
          <w:numId w:val="4"/>
        </w:numPr>
        <w:tabs>
          <w:tab w:val="clear" w:pos="390"/>
          <w:tab w:val="num" w:pos="709"/>
        </w:tabs>
        <w:spacing w:line="360" w:lineRule="auto"/>
        <w:ind w:left="720" w:hanging="720"/>
        <w:jc w:val="both"/>
        <w:rPr>
          <w:rFonts w:cs="Arial"/>
        </w:rPr>
      </w:pPr>
      <w:r w:rsidRPr="00024B33">
        <w:rPr>
          <w:rFonts w:cs="Arial"/>
        </w:rPr>
        <w:t>Las diferen</w:t>
      </w:r>
      <w:r>
        <w:rPr>
          <w:rFonts w:cs="Arial"/>
        </w:rPr>
        <w:t>cias de cambio generadas en el E</w:t>
      </w:r>
      <w:r w:rsidRPr="00024B33">
        <w:rPr>
          <w:rFonts w:cs="Arial"/>
        </w:rPr>
        <w:t>jercicio se exponen en forma neta, sin discriminar las diferencias de cambio ganadas y las diferencias de cambio perdidas, tal como lo establece el Decreto 103/991, vigente al 31/12/16.</w:t>
      </w:r>
    </w:p>
    <w:p w:rsidR="00233D48" w:rsidRPr="00024B33" w:rsidRDefault="00233D48" w:rsidP="00233D48">
      <w:pPr>
        <w:keepNext/>
        <w:widowControl w:val="0"/>
        <w:rPr>
          <w:rFonts w:ascii="Times New Roman" w:hAnsi="Times New Roman"/>
        </w:rPr>
      </w:pPr>
    </w:p>
    <w:p w:rsidR="00233D48" w:rsidRPr="00024B33" w:rsidRDefault="00233D48" w:rsidP="00233D48">
      <w:pPr>
        <w:keepNext/>
        <w:widowControl w:val="0"/>
        <w:numPr>
          <w:ilvl w:val="0"/>
          <w:numId w:val="4"/>
        </w:numPr>
        <w:spacing w:line="360" w:lineRule="auto"/>
        <w:ind w:hanging="720"/>
        <w:jc w:val="both"/>
        <w:rPr>
          <w:rFonts w:cs="Arial"/>
          <w:b/>
          <w:bCs/>
        </w:rPr>
      </w:pPr>
      <w:r>
        <w:rPr>
          <w:rFonts w:cs="Arial"/>
          <w:b/>
          <w:bCs/>
        </w:rPr>
        <w:t>Recomendaciones</w:t>
      </w:r>
    </w:p>
    <w:p w:rsidR="00233D48" w:rsidRPr="00024B33" w:rsidRDefault="00233D48" w:rsidP="00233D48">
      <w:pPr>
        <w:keepNext/>
        <w:widowControl w:val="0"/>
        <w:spacing w:line="360" w:lineRule="auto"/>
        <w:ind w:left="709"/>
        <w:jc w:val="both"/>
        <w:rPr>
          <w:rFonts w:cs="Arial"/>
          <w:bCs/>
        </w:rPr>
      </w:pPr>
      <w:r w:rsidRPr="00024B33">
        <w:rPr>
          <w:rFonts w:cs="Arial"/>
          <w:bCs/>
        </w:rPr>
        <w:t>De acuerdo con la evaluación del control interno  y al examen  de los estados financieros realizados, se sugieren las siguientes recomendacio</w:t>
      </w:r>
      <w:r>
        <w:rPr>
          <w:rFonts w:cs="Arial"/>
          <w:bCs/>
        </w:rPr>
        <w:softHyphen/>
      </w:r>
      <w:r w:rsidRPr="00024B33">
        <w:rPr>
          <w:rFonts w:cs="Arial"/>
          <w:bCs/>
        </w:rPr>
        <w:t>nes a efectos de ser consideradas por el Organismo.</w:t>
      </w:r>
    </w:p>
    <w:p w:rsidR="00233D48" w:rsidRDefault="00233D48" w:rsidP="00233D48">
      <w:pPr>
        <w:keepNext/>
        <w:widowControl w:val="0"/>
        <w:spacing w:line="360" w:lineRule="auto"/>
        <w:jc w:val="both"/>
        <w:rPr>
          <w:rFonts w:cs="Arial"/>
          <w:bCs/>
        </w:rPr>
      </w:pPr>
    </w:p>
    <w:p w:rsidR="00233D48" w:rsidRPr="00024B33" w:rsidRDefault="00233D48" w:rsidP="00233D48">
      <w:pPr>
        <w:keepNext/>
        <w:widowControl w:val="0"/>
        <w:numPr>
          <w:ilvl w:val="1"/>
          <w:numId w:val="6"/>
        </w:numPr>
        <w:tabs>
          <w:tab w:val="num" w:pos="709"/>
          <w:tab w:val="center" w:pos="4819"/>
          <w:tab w:val="right" w:pos="9071"/>
        </w:tabs>
        <w:spacing w:line="360" w:lineRule="auto"/>
        <w:ind w:left="709" w:hanging="709"/>
        <w:jc w:val="both"/>
        <w:rPr>
          <w:rFonts w:cs="Arial"/>
          <w:b/>
        </w:rPr>
      </w:pPr>
      <w:r>
        <w:rPr>
          <w:rFonts w:cs="Arial"/>
          <w:b/>
        </w:rPr>
        <w:t>Recomendaciones de E</w:t>
      </w:r>
      <w:r w:rsidRPr="00024B33">
        <w:rPr>
          <w:rFonts w:cs="Arial"/>
          <w:b/>
        </w:rPr>
        <w:t>jercicios anteriores</w:t>
      </w:r>
    </w:p>
    <w:p w:rsidR="00233D48" w:rsidRPr="00024B33" w:rsidRDefault="00233D48" w:rsidP="00233D48">
      <w:pPr>
        <w:keepNext/>
        <w:widowControl w:val="0"/>
        <w:numPr>
          <w:ilvl w:val="2"/>
          <w:numId w:val="5"/>
        </w:numPr>
        <w:spacing w:line="360" w:lineRule="auto"/>
        <w:jc w:val="both"/>
        <w:rPr>
          <w:rFonts w:cs="Arial"/>
          <w:b/>
          <w:szCs w:val="20"/>
        </w:rPr>
      </w:pPr>
      <w:r w:rsidRPr="00024B33">
        <w:rPr>
          <w:rFonts w:cs="Arial"/>
          <w:b/>
          <w:szCs w:val="20"/>
        </w:rPr>
        <w:t>Cumplidas</w:t>
      </w:r>
    </w:p>
    <w:p w:rsidR="00233D48" w:rsidRPr="00024B33" w:rsidRDefault="00233D48" w:rsidP="00233D48">
      <w:pPr>
        <w:keepNext/>
        <w:widowControl w:val="0"/>
        <w:numPr>
          <w:ilvl w:val="0"/>
          <w:numId w:val="8"/>
        </w:numPr>
        <w:spacing w:line="360" w:lineRule="auto"/>
        <w:jc w:val="both"/>
        <w:rPr>
          <w:rFonts w:cs="Arial"/>
        </w:rPr>
      </w:pPr>
      <w:r w:rsidRPr="00024B33">
        <w:rPr>
          <w:rFonts w:cs="Arial"/>
        </w:rPr>
        <w:t xml:space="preserve">Se obtuvo la aprobación de los estados financieros por parte del Directorio, para su remisión al </w:t>
      </w:r>
      <w:smartTag w:uri="urn:schemas-microsoft-com:office:smarttags" w:element="PersonName">
        <w:smartTagPr>
          <w:attr w:name="ProductID" w:val="Tribunal de Cuentas"/>
        </w:smartTagPr>
        <w:r w:rsidRPr="00024B33">
          <w:rPr>
            <w:rFonts w:cs="Arial"/>
          </w:rPr>
          <w:t>Tribunal de Cuentas</w:t>
        </w:r>
      </w:smartTag>
      <w:r w:rsidRPr="00024B33">
        <w:rPr>
          <w:rFonts w:cs="Arial"/>
        </w:rPr>
        <w:t>, dentro de los</w:t>
      </w:r>
      <w:r>
        <w:rPr>
          <w:rFonts w:cs="Arial"/>
        </w:rPr>
        <w:t xml:space="preserve"> noventa días de finalizado el E</w:t>
      </w:r>
      <w:r w:rsidRPr="00024B33">
        <w:rPr>
          <w:rFonts w:cs="Arial"/>
        </w:rPr>
        <w:t>jercicio.</w:t>
      </w:r>
    </w:p>
    <w:p w:rsidR="00233D48" w:rsidRPr="00024B33" w:rsidRDefault="00233D48" w:rsidP="00233D48">
      <w:pPr>
        <w:keepNext/>
        <w:widowControl w:val="0"/>
        <w:numPr>
          <w:ilvl w:val="0"/>
          <w:numId w:val="8"/>
        </w:numPr>
        <w:spacing w:line="360" w:lineRule="auto"/>
        <w:jc w:val="both"/>
        <w:rPr>
          <w:rFonts w:cs="Arial"/>
        </w:rPr>
      </w:pPr>
      <w:r w:rsidRPr="00024B33">
        <w:rPr>
          <w:rFonts w:cs="Arial"/>
        </w:rPr>
        <w:lastRenderedPageBreak/>
        <w:t>Se adoptaron las medidas necesarias a efectos de ajustar las partidas conciliatoria</w:t>
      </w:r>
      <w:r>
        <w:rPr>
          <w:rFonts w:cs="Arial"/>
        </w:rPr>
        <w:t>s cuya antigüedad sea mayor al E</w:t>
      </w:r>
      <w:r w:rsidRPr="00024B33">
        <w:rPr>
          <w:rFonts w:cs="Arial"/>
        </w:rPr>
        <w:t>jercicio en curso.</w:t>
      </w:r>
    </w:p>
    <w:p w:rsidR="00233D48" w:rsidRPr="00024B33" w:rsidRDefault="00233D48" w:rsidP="00233D48">
      <w:pPr>
        <w:keepNext/>
        <w:widowControl w:val="0"/>
        <w:numPr>
          <w:ilvl w:val="0"/>
          <w:numId w:val="8"/>
        </w:numPr>
        <w:spacing w:line="360" w:lineRule="auto"/>
        <w:jc w:val="both"/>
        <w:rPr>
          <w:rFonts w:cs="Arial"/>
        </w:rPr>
      </w:pPr>
      <w:r w:rsidRPr="00024B33">
        <w:rPr>
          <w:rFonts w:cs="Arial"/>
        </w:rPr>
        <w:t>Se instrumentaron las medidas necesarias a efectos de reali</w:t>
      </w:r>
      <w:r>
        <w:rPr>
          <w:rFonts w:cs="Arial"/>
        </w:rPr>
        <w:t>zar un recuento físico del 60,4</w:t>
      </w:r>
      <w:r w:rsidRPr="00024B33">
        <w:rPr>
          <w:rFonts w:cs="Arial"/>
        </w:rPr>
        <w:t>% de los Bienes de Cambio.</w:t>
      </w:r>
    </w:p>
    <w:p w:rsidR="00233D48" w:rsidRPr="00024B33" w:rsidRDefault="00233D48" w:rsidP="00233D48">
      <w:pPr>
        <w:keepNext/>
        <w:widowControl w:val="0"/>
        <w:spacing w:line="360" w:lineRule="auto"/>
        <w:ind w:left="714"/>
        <w:jc w:val="both"/>
        <w:rPr>
          <w:rFonts w:cs="Arial"/>
        </w:rPr>
      </w:pPr>
    </w:p>
    <w:p w:rsidR="00233D48" w:rsidRPr="00024B33" w:rsidRDefault="00233D48" w:rsidP="00233D48">
      <w:pPr>
        <w:keepNext/>
        <w:widowControl w:val="0"/>
        <w:numPr>
          <w:ilvl w:val="2"/>
          <w:numId w:val="5"/>
        </w:numPr>
        <w:tabs>
          <w:tab w:val="num" w:pos="720"/>
        </w:tabs>
        <w:spacing w:line="360" w:lineRule="auto"/>
        <w:jc w:val="both"/>
        <w:rPr>
          <w:rFonts w:cs="Arial"/>
          <w:b/>
        </w:rPr>
      </w:pPr>
      <w:r w:rsidRPr="00024B33">
        <w:rPr>
          <w:rFonts w:cs="Arial"/>
          <w:b/>
        </w:rPr>
        <w:t>No cumplidas</w:t>
      </w:r>
    </w:p>
    <w:p w:rsidR="00233D48" w:rsidRPr="00024B33" w:rsidRDefault="00233D48" w:rsidP="00233D48">
      <w:pPr>
        <w:keepNext/>
        <w:widowControl w:val="0"/>
        <w:numPr>
          <w:ilvl w:val="0"/>
          <w:numId w:val="3"/>
        </w:numPr>
        <w:spacing w:line="360" w:lineRule="auto"/>
        <w:ind w:left="714" w:hanging="357"/>
        <w:jc w:val="both"/>
        <w:rPr>
          <w:rFonts w:cs="Arial"/>
        </w:rPr>
      </w:pPr>
      <w:r w:rsidRPr="00024B33">
        <w:rPr>
          <w:rFonts w:cs="Arial"/>
        </w:rPr>
        <w:t>No se adoptaron las medidas necesarias a efectos de realizar arqueos de fondos en forma periódica, con frecuencia mensual.</w:t>
      </w:r>
    </w:p>
    <w:p w:rsidR="00233D48" w:rsidRPr="00024B33" w:rsidRDefault="00233D48" w:rsidP="00233D48">
      <w:pPr>
        <w:keepNext/>
        <w:widowControl w:val="0"/>
        <w:numPr>
          <w:ilvl w:val="0"/>
          <w:numId w:val="3"/>
        </w:numPr>
        <w:spacing w:line="360" w:lineRule="auto"/>
        <w:ind w:left="714" w:hanging="357"/>
        <w:jc w:val="both"/>
        <w:rPr>
          <w:rFonts w:cs="Arial"/>
        </w:rPr>
      </w:pPr>
      <w:r w:rsidRPr="00024B33">
        <w:rPr>
          <w:rFonts w:cs="Arial"/>
        </w:rPr>
        <w:t>Respecto a los Bienes de Cambio, no se instrumentaron procedimientos para evaluar el estado de uso de los bienes afectados al consumo interno y para su registro cuando corresponda en la cuenta “Bienes en Desuso” hasta su remate.</w:t>
      </w:r>
    </w:p>
    <w:p w:rsidR="00233D48" w:rsidRPr="00024B33" w:rsidRDefault="00233D48" w:rsidP="00233D48">
      <w:pPr>
        <w:keepNext/>
        <w:widowControl w:val="0"/>
        <w:numPr>
          <w:ilvl w:val="0"/>
          <w:numId w:val="3"/>
        </w:numPr>
        <w:spacing w:line="360" w:lineRule="auto"/>
        <w:ind w:left="714" w:hanging="357"/>
        <w:jc w:val="both"/>
        <w:rPr>
          <w:rFonts w:cs="Arial"/>
        </w:rPr>
      </w:pPr>
      <w:r w:rsidRPr="00024B33">
        <w:rPr>
          <w:rFonts w:cs="Arial"/>
        </w:rPr>
        <w:t>No se efectivizaron las gestiones para realizar un inventario general de Bienes de Cambio.</w:t>
      </w:r>
    </w:p>
    <w:p w:rsidR="00233D48" w:rsidRPr="00024B33" w:rsidRDefault="00233D48" w:rsidP="00233D48">
      <w:pPr>
        <w:keepNext/>
        <w:widowControl w:val="0"/>
        <w:numPr>
          <w:ilvl w:val="0"/>
          <w:numId w:val="3"/>
        </w:numPr>
        <w:spacing w:line="360" w:lineRule="auto"/>
        <w:ind w:left="714" w:hanging="357"/>
        <w:jc w:val="both"/>
        <w:rPr>
          <w:rFonts w:cs="Arial"/>
        </w:rPr>
      </w:pPr>
      <w:r w:rsidRPr="00024B33">
        <w:rPr>
          <w:rFonts w:cs="Arial"/>
        </w:rPr>
        <w:t>A pesar de haber efectuado los controles que aseguren que la información complementaria revelada en las notas a los estados financieros concuerde con los saldos expuestos en dichos estados, persisten diferencias entre los auxiliares 8013 y 8094 y el saldo contable de los mismos, en lo que respect</w:t>
      </w:r>
      <w:r>
        <w:rPr>
          <w:rFonts w:cs="Arial"/>
        </w:rPr>
        <w:t>a a las Concesiones y Permisos.</w:t>
      </w:r>
    </w:p>
    <w:p w:rsidR="00233D48" w:rsidRPr="00024B33" w:rsidRDefault="00233D48" w:rsidP="00233D48">
      <w:pPr>
        <w:keepNext/>
        <w:widowControl w:val="0"/>
        <w:numPr>
          <w:ilvl w:val="0"/>
          <w:numId w:val="3"/>
        </w:numPr>
        <w:spacing w:line="360" w:lineRule="auto"/>
        <w:ind w:left="714" w:hanging="357"/>
        <w:jc w:val="both"/>
        <w:rPr>
          <w:rFonts w:cs="Arial"/>
        </w:rPr>
      </w:pPr>
      <w:r w:rsidRPr="00024B33">
        <w:rPr>
          <w:rFonts w:cs="Arial"/>
        </w:rPr>
        <w:t>Las diferen</w:t>
      </w:r>
      <w:r>
        <w:rPr>
          <w:rFonts w:cs="Arial"/>
        </w:rPr>
        <w:t>cias de cambio generadas en el E</w:t>
      </w:r>
      <w:r w:rsidRPr="00024B33">
        <w:rPr>
          <w:rFonts w:cs="Arial"/>
        </w:rPr>
        <w:t xml:space="preserve">jercicio se exponen sin discriminar las diferencias de cambio ganadas y </w:t>
      </w:r>
      <w:r>
        <w:rPr>
          <w:rFonts w:cs="Arial"/>
        </w:rPr>
        <w:t>diferencias de cambio perdidas.</w:t>
      </w:r>
    </w:p>
    <w:p w:rsidR="00233D48" w:rsidRPr="00024B33" w:rsidRDefault="00233D48" w:rsidP="00233D48">
      <w:pPr>
        <w:keepNext/>
        <w:widowControl w:val="0"/>
        <w:rPr>
          <w:rFonts w:ascii="Times New Roman" w:hAnsi="Times New Roman"/>
        </w:rPr>
      </w:pPr>
    </w:p>
    <w:p w:rsidR="00233D48" w:rsidRPr="00024B33" w:rsidRDefault="00233D48" w:rsidP="00233D48">
      <w:pPr>
        <w:keepNext/>
        <w:widowControl w:val="0"/>
        <w:rPr>
          <w:rFonts w:ascii="Times New Roman" w:hAnsi="Times New Roman"/>
        </w:rPr>
      </w:pPr>
    </w:p>
    <w:p w:rsidR="00233D48" w:rsidRPr="00024B33" w:rsidRDefault="00233D48" w:rsidP="00233D48">
      <w:pPr>
        <w:keepNext/>
        <w:widowControl w:val="0"/>
        <w:numPr>
          <w:ilvl w:val="1"/>
          <w:numId w:val="6"/>
        </w:numPr>
        <w:tabs>
          <w:tab w:val="num" w:pos="709"/>
          <w:tab w:val="center" w:pos="4819"/>
          <w:tab w:val="right" w:pos="9071"/>
        </w:tabs>
        <w:spacing w:line="360" w:lineRule="auto"/>
        <w:ind w:left="709" w:hanging="709"/>
        <w:jc w:val="both"/>
        <w:rPr>
          <w:rFonts w:cs="Arial"/>
          <w:b/>
          <w:snapToGrid w:val="0"/>
          <w:szCs w:val="20"/>
        </w:rPr>
      </w:pPr>
      <w:r>
        <w:rPr>
          <w:rFonts w:cs="Arial"/>
          <w:b/>
          <w:snapToGrid w:val="0"/>
          <w:szCs w:val="20"/>
        </w:rPr>
        <w:t>Recomendaciones del presente E</w:t>
      </w:r>
      <w:r w:rsidRPr="00024B33">
        <w:rPr>
          <w:rFonts w:cs="Arial"/>
          <w:b/>
          <w:snapToGrid w:val="0"/>
          <w:szCs w:val="20"/>
        </w:rPr>
        <w:t>jercicio</w:t>
      </w:r>
    </w:p>
    <w:p w:rsidR="00233D48" w:rsidRPr="00024B33" w:rsidRDefault="00233D48" w:rsidP="00233D48">
      <w:pPr>
        <w:keepNext/>
        <w:widowControl w:val="0"/>
        <w:spacing w:line="360" w:lineRule="auto"/>
        <w:jc w:val="both"/>
        <w:rPr>
          <w:rFonts w:cs="Arial"/>
          <w:snapToGrid w:val="0"/>
        </w:rPr>
      </w:pPr>
      <w:r w:rsidRPr="00024B33">
        <w:rPr>
          <w:rFonts w:cs="Arial"/>
          <w:snapToGrid w:val="0"/>
        </w:rPr>
        <w:t>A las re</w:t>
      </w:r>
      <w:r>
        <w:rPr>
          <w:rFonts w:cs="Arial"/>
          <w:snapToGrid w:val="0"/>
        </w:rPr>
        <w:t>comendaciones no cumplidas del E</w:t>
      </w:r>
      <w:r w:rsidRPr="00024B33">
        <w:rPr>
          <w:rFonts w:cs="Arial"/>
          <w:snapToGrid w:val="0"/>
        </w:rPr>
        <w:t>jercicio anterior  expuestas en el punto precedente,  se agregan las siguientes:</w:t>
      </w:r>
    </w:p>
    <w:p w:rsidR="00233D48" w:rsidRDefault="00233D48" w:rsidP="00233D48">
      <w:pPr>
        <w:keepNext/>
        <w:widowControl w:val="0"/>
        <w:rPr>
          <w:rFonts w:ascii="Times New Roman" w:hAnsi="Times New Roman"/>
        </w:rPr>
      </w:pPr>
    </w:p>
    <w:p w:rsidR="00233D48" w:rsidRDefault="00233D48" w:rsidP="00233D48">
      <w:pPr>
        <w:keepNext/>
        <w:widowControl w:val="0"/>
        <w:rPr>
          <w:rFonts w:ascii="Times New Roman" w:hAnsi="Times New Roman"/>
        </w:rPr>
      </w:pPr>
    </w:p>
    <w:p w:rsidR="00233D48" w:rsidRPr="00024B33" w:rsidRDefault="00233D48" w:rsidP="00233D48">
      <w:pPr>
        <w:keepNext/>
        <w:widowControl w:val="0"/>
        <w:rPr>
          <w:rFonts w:ascii="Times New Roman" w:hAnsi="Times New Roman"/>
        </w:rPr>
      </w:pPr>
    </w:p>
    <w:p w:rsidR="00233D48" w:rsidRPr="00024B33" w:rsidRDefault="00233D48" w:rsidP="00233D48">
      <w:pPr>
        <w:keepNext/>
        <w:widowControl w:val="0"/>
        <w:numPr>
          <w:ilvl w:val="2"/>
          <w:numId w:val="7"/>
        </w:numPr>
        <w:tabs>
          <w:tab w:val="num" w:pos="720"/>
        </w:tabs>
        <w:spacing w:line="360" w:lineRule="auto"/>
        <w:ind w:left="720" w:hanging="720"/>
        <w:jc w:val="both"/>
        <w:rPr>
          <w:rFonts w:cs="Arial"/>
        </w:rPr>
      </w:pPr>
      <w:r w:rsidRPr="00024B33">
        <w:rPr>
          <w:rFonts w:cs="Arial"/>
        </w:rPr>
        <w:lastRenderedPageBreak/>
        <w:t xml:space="preserve">Presentar conjuntamente con los estados financieros la memoria explicativa, en cumplimiento del Numeral 15 de </w:t>
      </w:r>
      <w:smartTag w:uri="urn:schemas-microsoft-com:office:smarttags" w:element="PersonName">
        <w:smartTagPr>
          <w:attr w:name="ProductID" w:val="la Ordenanza N"/>
        </w:smartTagPr>
        <w:r w:rsidRPr="00024B33">
          <w:rPr>
            <w:rFonts w:cs="Arial"/>
          </w:rPr>
          <w:t>la Ordenanza N</w:t>
        </w:r>
      </w:smartTag>
      <w:r w:rsidRPr="00024B33">
        <w:rPr>
          <w:rFonts w:cs="Arial"/>
        </w:rPr>
        <w:t>º 81.(1)</w:t>
      </w:r>
    </w:p>
    <w:p w:rsidR="00233D48" w:rsidRPr="00024B33" w:rsidRDefault="00233D48" w:rsidP="00233D48">
      <w:pPr>
        <w:keepNext/>
        <w:widowControl w:val="0"/>
        <w:numPr>
          <w:ilvl w:val="2"/>
          <w:numId w:val="7"/>
        </w:numPr>
        <w:tabs>
          <w:tab w:val="num" w:pos="720"/>
        </w:tabs>
        <w:spacing w:line="360" w:lineRule="auto"/>
        <w:ind w:left="720" w:hanging="720"/>
        <w:jc w:val="both"/>
        <w:rPr>
          <w:rFonts w:cs="Arial"/>
          <w:sz w:val="22"/>
          <w:szCs w:val="20"/>
        </w:rPr>
      </w:pPr>
      <w:r w:rsidRPr="00024B33">
        <w:rPr>
          <w:rFonts w:cs="Arial"/>
        </w:rPr>
        <w:t xml:space="preserve">Remitir al </w:t>
      </w:r>
      <w:smartTag w:uri="urn:schemas-microsoft-com:office:smarttags" w:element="PersonName">
        <w:smartTagPr>
          <w:attr w:name="ProductID" w:val="Tribunal de Cuentas"/>
        </w:smartTagPr>
        <w:r w:rsidRPr="00024B33">
          <w:rPr>
            <w:rFonts w:cs="Arial"/>
          </w:rPr>
          <w:t>Tribunal de Cuentas</w:t>
        </w:r>
      </w:smartTag>
      <w:r w:rsidRPr="00024B33">
        <w:rPr>
          <w:rFonts w:cs="Arial"/>
        </w:rPr>
        <w:t xml:space="preserve">, junto con los estados financieros, la carta de representaciones de la administración en cumplimiento del Numeral 28 de </w:t>
      </w:r>
      <w:smartTag w:uri="urn:schemas-microsoft-com:office:smarttags" w:element="PersonName">
        <w:smartTagPr>
          <w:attr w:name="ProductID" w:val="la Ordenanza N"/>
        </w:smartTagPr>
        <w:r w:rsidRPr="00024B33">
          <w:rPr>
            <w:rFonts w:cs="Arial"/>
          </w:rPr>
          <w:t>la Ordenanza N</w:t>
        </w:r>
      </w:smartTag>
      <w:r w:rsidRPr="00024B33">
        <w:rPr>
          <w:rFonts w:cs="Arial"/>
        </w:rPr>
        <w:t>º 81. (1)</w:t>
      </w:r>
    </w:p>
    <w:p w:rsidR="00233D48" w:rsidRPr="00024B33" w:rsidRDefault="00233D48" w:rsidP="00233D48">
      <w:pPr>
        <w:keepNext/>
        <w:widowControl w:val="0"/>
        <w:numPr>
          <w:ilvl w:val="2"/>
          <w:numId w:val="7"/>
        </w:numPr>
        <w:tabs>
          <w:tab w:val="num" w:pos="720"/>
        </w:tabs>
        <w:spacing w:line="360" w:lineRule="auto"/>
        <w:ind w:left="720" w:hanging="720"/>
        <w:jc w:val="both"/>
        <w:rPr>
          <w:rFonts w:cs="Arial"/>
        </w:rPr>
      </w:pPr>
      <w:r w:rsidRPr="00024B33">
        <w:rPr>
          <w:rFonts w:cs="Arial"/>
        </w:rPr>
        <w:t>Registrar las diferencias detectadas en las conciliaciones de la cuenta BROU Caja de Aho</w:t>
      </w:r>
      <w:r>
        <w:rPr>
          <w:rFonts w:cs="Arial"/>
        </w:rPr>
        <w:t>rro U$S Puertos Interior en el E</w:t>
      </w:r>
      <w:r w:rsidRPr="00024B33">
        <w:rPr>
          <w:rFonts w:cs="Arial"/>
        </w:rPr>
        <w:t>jercicio, correspon</w:t>
      </w:r>
      <w:r>
        <w:rPr>
          <w:rFonts w:cs="Arial"/>
        </w:rPr>
        <w:softHyphen/>
      </w:r>
      <w:r w:rsidRPr="00024B33">
        <w:rPr>
          <w:rFonts w:cs="Arial"/>
        </w:rPr>
        <w:t>dien</w:t>
      </w:r>
      <w:r>
        <w:rPr>
          <w:rFonts w:cs="Arial"/>
        </w:rPr>
        <w:softHyphen/>
      </w:r>
      <w:r w:rsidRPr="00024B33">
        <w:rPr>
          <w:rFonts w:cs="Arial"/>
        </w:rPr>
        <w:t>tes a los Puertos de Nueva Palmira y Fray Bentos. (2.2)</w:t>
      </w:r>
    </w:p>
    <w:p w:rsidR="00233D48" w:rsidRPr="00024B33" w:rsidRDefault="00233D48" w:rsidP="00233D48">
      <w:pPr>
        <w:keepNext/>
        <w:widowControl w:val="0"/>
        <w:numPr>
          <w:ilvl w:val="2"/>
          <w:numId w:val="7"/>
        </w:numPr>
        <w:tabs>
          <w:tab w:val="num" w:pos="720"/>
        </w:tabs>
        <w:spacing w:line="360" w:lineRule="auto"/>
        <w:ind w:left="720" w:hanging="720"/>
        <w:jc w:val="both"/>
        <w:rPr>
          <w:rFonts w:cs="Arial"/>
        </w:rPr>
      </w:pPr>
      <w:r w:rsidRPr="00024B33">
        <w:rPr>
          <w:rFonts w:cs="Arial"/>
        </w:rPr>
        <w:t>Ajustar los procesos internos para reclasificar los Deudores Morosos con   antigüedad  mayor a un año como Deudores en Gestión.(2.4)</w:t>
      </w:r>
    </w:p>
    <w:p w:rsidR="00233D48" w:rsidRPr="00024B33" w:rsidRDefault="00233D48" w:rsidP="00233D48">
      <w:pPr>
        <w:keepNext/>
        <w:widowControl w:val="0"/>
        <w:numPr>
          <w:ilvl w:val="2"/>
          <w:numId w:val="7"/>
        </w:numPr>
        <w:tabs>
          <w:tab w:val="num" w:pos="720"/>
        </w:tabs>
        <w:spacing w:line="360" w:lineRule="auto"/>
        <w:ind w:left="720" w:hanging="720"/>
        <w:jc w:val="both"/>
        <w:rPr>
          <w:rFonts w:cs="Arial"/>
        </w:rPr>
      </w:pPr>
      <w:r w:rsidRPr="00024B33">
        <w:rPr>
          <w:rFonts w:cs="Arial"/>
        </w:rPr>
        <w:t xml:space="preserve">Implementar los mecanismos necesarios a efectos de obtener un inventario de obras en curso al cierre del </w:t>
      </w:r>
      <w:r>
        <w:rPr>
          <w:rFonts w:cs="Arial"/>
        </w:rPr>
        <w:t>E</w:t>
      </w:r>
      <w:r w:rsidRPr="00024B33">
        <w:rPr>
          <w:rFonts w:cs="Arial"/>
        </w:rPr>
        <w:t>jercicio. (2.5)</w:t>
      </w:r>
    </w:p>
    <w:p w:rsidR="00233D48" w:rsidRPr="00024B33" w:rsidRDefault="00233D48" w:rsidP="00233D48">
      <w:pPr>
        <w:keepNext/>
        <w:widowControl w:val="0"/>
        <w:numPr>
          <w:ilvl w:val="2"/>
          <w:numId w:val="7"/>
        </w:numPr>
        <w:tabs>
          <w:tab w:val="num" w:pos="720"/>
        </w:tabs>
        <w:spacing w:line="360" w:lineRule="auto"/>
        <w:ind w:left="720" w:hanging="720"/>
        <w:jc w:val="both"/>
        <w:rPr>
          <w:rFonts w:cs="Arial"/>
        </w:rPr>
      </w:pPr>
      <w:r w:rsidRPr="00024B33">
        <w:rPr>
          <w:rFonts w:cs="Arial"/>
        </w:rPr>
        <w:t>Incluir en el inventario de altas de activo fijo, las incorporaciones de bienes de uso que corresponden a inversiones que aumentan su valor o extienden su vida útil.(2.6)</w:t>
      </w:r>
    </w:p>
    <w:p w:rsidR="00233D48" w:rsidRPr="00024B33" w:rsidRDefault="00233D48" w:rsidP="00233D48">
      <w:pPr>
        <w:keepNext/>
        <w:widowControl w:val="0"/>
        <w:numPr>
          <w:ilvl w:val="2"/>
          <w:numId w:val="7"/>
        </w:numPr>
        <w:tabs>
          <w:tab w:val="num" w:pos="720"/>
        </w:tabs>
        <w:spacing w:line="360" w:lineRule="auto"/>
        <w:ind w:left="720" w:hanging="720"/>
        <w:jc w:val="both"/>
        <w:rPr>
          <w:rFonts w:cs="Arial"/>
        </w:rPr>
      </w:pPr>
      <w:r w:rsidRPr="00024B33">
        <w:rPr>
          <w:rFonts w:cs="Arial"/>
        </w:rPr>
        <w:t xml:space="preserve">Exponer en </w:t>
      </w:r>
      <w:smartTag w:uri="urn:schemas-microsoft-com:office:smarttags" w:element="PersonName">
        <w:smartTagPr>
          <w:attr w:name="ProductID" w:val="la Nota N"/>
        </w:smartTagPr>
        <w:r w:rsidRPr="00024B33">
          <w:rPr>
            <w:rFonts w:cs="Arial"/>
          </w:rPr>
          <w:t>la Nota N</w:t>
        </w:r>
      </w:smartTag>
      <w:r w:rsidRPr="00024B33">
        <w:rPr>
          <w:rFonts w:cs="Arial"/>
        </w:rPr>
        <w:t xml:space="preserve">º </w:t>
      </w:r>
      <w:smartTag w:uri="urn:schemas-microsoft-com:office:smarttags" w:element="metricconverter">
        <w:smartTagPr>
          <w:attr w:name="ProductID" w:val="2.8 a"/>
        </w:smartTagPr>
        <w:r w:rsidRPr="00024B33">
          <w:rPr>
            <w:rFonts w:cs="Arial"/>
          </w:rPr>
          <w:t>2.8 a</w:t>
        </w:r>
      </w:smartTag>
      <w:r w:rsidRPr="00024B33">
        <w:rPr>
          <w:rFonts w:cs="Arial"/>
        </w:rPr>
        <w:t xml:space="preserve"> los estados financieros las mismas vidas útiles utilizadas para el cálculo </w:t>
      </w:r>
      <w:r>
        <w:rPr>
          <w:rFonts w:cs="Arial"/>
        </w:rPr>
        <w:t>de las amortizaciones del E</w:t>
      </w:r>
      <w:r w:rsidRPr="00024B33">
        <w:rPr>
          <w:rFonts w:cs="Arial"/>
        </w:rPr>
        <w:t>jercicio en cada bien de uso.(2.7)</w:t>
      </w:r>
    </w:p>
    <w:p w:rsidR="00233D48" w:rsidRDefault="00233D48" w:rsidP="00233D48">
      <w:pPr>
        <w:keepNext/>
        <w:widowControl w:val="0"/>
        <w:spacing w:line="360" w:lineRule="auto"/>
        <w:jc w:val="right"/>
        <w:rPr>
          <w:rFonts w:cs="Arial"/>
        </w:rPr>
      </w:pPr>
      <w:r w:rsidRPr="00024B33">
        <w:rPr>
          <w:rFonts w:cs="Arial"/>
        </w:rPr>
        <w:t>Montevideo, 1 de agosto de 2017</w:t>
      </w:r>
    </w:p>
    <w:p w:rsidR="00233D48" w:rsidRPr="00233D48" w:rsidRDefault="00233D48" w:rsidP="00233D48">
      <w:pPr>
        <w:keepNext/>
        <w:widowControl w:val="0"/>
        <w:spacing w:line="360" w:lineRule="auto"/>
        <w:ind w:hanging="426"/>
        <w:rPr>
          <w:rFonts w:cs="Arial"/>
        </w:rPr>
      </w:pPr>
      <w:proofErr w:type="gramStart"/>
      <w:r>
        <w:rPr>
          <w:rFonts w:cs="Arial"/>
        </w:rPr>
        <w:t>dc</w:t>
      </w:r>
      <w:proofErr w:type="gramEnd"/>
    </w:p>
    <w:sectPr w:rsidR="00233D48" w:rsidRPr="00233D48" w:rsidSect="00723EC6">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9FD"/>
    <w:multiLevelType w:val="hybridMultilevel"/>
    <w:tmpl w:val="F0BC1C60"/>
    <w:lvl w:ilvl="0" w:tplc="FFFFFFFF">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A2F5A0A"/>
    <w:multiLevelType w:val="multilevel"/>
    <w:tmpl w:val="D86C3720"/>
    <w:lvl w:ilvl="0">
      <w:start w:val="2"/>
      <w:numFmt w:val="decimal"/>
      <w:lvlText w:val="%1.4"/>
      <w:lvlJc w:val="left"/>
      <w:pPr>
        <w:tabs>
          <w:tab w:val="num" w:pos="720"/>
        </w:tabs>
        <w:ind w:left="720" w:hanging="360"/>
      </w:pPr>
      <w:rPr>
        <w:rFonts w:hint="default"/>
        <w:b/>
        <w:i w:val="0"/>
      </w:rPr>
    </w:lvl>
    <w:lvl w:ilvl="1">
      <w:start w:val="2"/>
      <w:numFmt w:val="decimal"/>
      <w:isLgl/>
      <w:lvlText w:val="%1.5"/>
      <w:lvlJc w:val="left"/>
      <w:pPr>
        <w:tabs>
          <w:tab w:val="num" w:pos="390"/>
        </w:tabs>
        <w:ind w:left="390" w:hanging="390"/>
      </w:pPr>
      <w:rPr>
        <w:rFonts w:hint="default"/>
        <w:b/>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15F2133"/>
    <w:multiLevelType w:val="multilevel"/>
    <w:tmpl w:val="FC0E61F4"/>
    <w:lvl w:ilvl="0">
      <w:start w:val="2"/>
      <w:numFmt w:val="decimal"/>
      <w:lvlText w:val="%1.8"/>
      <w:lvlJc w:val="left"/>
      <w:pPr>
        <w:tabs>
          <w:tab w:val="num" w:pos="720"/>
        </w:tabs>
        <w:ind w:left="720" w:hanging="360"/>
      </w:pPr>
      <w:rPr>
        <w:rFonts w:hint="default"/>
        <w:b/>
        <w:i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83E32EF"/>
    <w:multiLevelType w:val="multilevel"/>
    <w:tmpl w:val="5FB88E64"/>
    <w:lvl w:ilvl="0">
      <w:start w:val="2"/>
      <w:numFmt w:val="decimal"/>
      <w:lvlText w:val="%1.5"/>
      <w:lvlJc w:val="left"/>
      <w:pPr>
        <w:tabs>
          <w:tab w:val="num" w:pos="720"/>
        </w:tabs>
        <w:ind w:left="720" w:hanging="360"/>
      </w:pPr>
      <w:rPr>
        <w:rFonts w:hint="default"/>
        <w:b/>
        <w:i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D353670"/>
    <w:multiLevelType w:val="multilevel"/>
    <w:tmpl w:val="A6404DB8"/>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5C45F8"/>
    <w:multiLevelType w:val="multilevel"/>
    <w:tmpl w:val="B0DC66F0"/>
    <w:lvl w:ilvl="0">
      <w:start w:val="2"/>
      <w:numFmt w:val="decimal"/>
      <w:lvlText w:val="%1.3"/>
      <w:lvlJc w:val="left"/>
      <w:pPr>
        <w:tabs>
          <w:tab w:val="num" w:pos="720"/>
        </w:tabs>
        <w:ind w:left="720" w:hanging="360"/>
      </w:pPr>
      <w:rPr>
        <w:rFonts w:hint="default"/>
        <w:b/>
        <w:i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D1D6456"/>
    <w:multiLevelType w:val="multilevel"/>
    <w:tmpl w:val="54BC033C"/>
    <w:lvl w:ilvl="0">
      <w:start w:val="2"/>
      <w:numFmt w:val="decimal"/>
      <w:lvlText w:val="%1.2"/>
      <w:lvlJc w:val="left"/>
      <w:pPr>
        <w:tabs>
          <w:tab w:val="num" w:pos="720"/>
        </w:tabs>
        <w:ind w:left="720" w:hanging="360"/>
      </w:pPr>
      <w:rPr>
        <w:rFonts w:hint="default"/>
        <w:b/>
        <w:i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1526639"/>
    <w:multiLevelType w:val="multilevel"/>
    <w:tmpl w:val="4EB4D542"/>
    <w:lvl w:ilvl="0">
      <w:start w:val="4"/>
      <w:numFmt w:val="decimal"/>
      <w:lvlText w:val="%1."/>
      <w:lvlJc w:val="left"/>
      <w:pPr>
        <w:tabs>
          <w:tab w:val="num" w:pos="360"/>
        </w:tabs>
        <w:ind w:left="1134" w:hanging="567"/>
      </w:pPr>
      <w:rPr>
        <w:rFonts w:ascii="Arial" w:hAnsi="Arial" w:hint="default"/>
        <w:b/>
        <w:i w:val="0"/>
        <w:sz w:val="20"/>
        <w:szCs w:val="20"/>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0"/>
        </w:tabs>
        <w:ind w:left="0" w:firstLine="0"/>
      </w:pPr>
      <w:rPr>
        <w:rFonts w:ascii="Arial" w:hAnsi="Arial" w:hint="default"/>
        <w:b/>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97E4AB8"/>
    <w:multiLevelType w:val="multilevel"/>
    <w:tmpl w:val="183876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Arial" w:hAnsi="Arial" w:cs="Arial" w:hint="default"/>
        <w:b/>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47124612"/>
    <w:multiLevelType w:val="hybridMultilevel"/>
    <w:tmpl w:val="DFA2037A"/>
    <w:lvl w:ilvl="0" w:tplc="FFFFFFFF">
      <w:start w:val="1"/>
      <w:numFmt w:val="bullet"/>
      <w:lvlText w:val=""/>
      <w:lvlJc w:val="left"/>
      <w:pPr>
        <w:tabs>
          <w:tab w:val="num" w:pos="1428"/>
        </w:tabs>
        <w:ind w:left="1428"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4084335"/>
    <w:multiLevelType w:val="multilevel"/>
    <w:tmpl w:val="870092C2"/>
    <w:lvl w:ilvl="0">
      <w:start w:val="2"/>
      <w:numFmt w:val="decimal"/>
      <w:lvlText w:val="%1.7"/>
      <w:lvlJc w:val="left"/>
      <w:pPr>
        <w:tabs>
          <w:tab w:val="num" w:pos="720"/>
        </w:tabs>
        <w:ind w:left="720" w:hanging="360"/>
      </w:pPr>
      <w:rPr>
        <w:rFonts w:hint="default"/>
        <w:b/>
        <w:i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67EC12AC"/>
    <w:multiLevelType w:val="multilevel"/>
    <w:tmpl w:val="562672BA"/>
    <w:lvl w:ilvl="0">
      <w:start w:val="2"/>
      <w:numFmt w:val="decimal"/>
      <w:lvlText w:val="%1.6"/>
      <w:lvlJc w:val="left"/>
      <w:pPr>
        <w:tabs>
          <w:tab w:val="num" w:pos="720"/>
        </w:tabs>
        <w:ind w:left="720" w:hanging="360"/>
      </w:pPr>
      <w:rPr>
        <w:rFonts w:hint="default"/>
        <w:b/>
        <w:i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687F1144"/>
    <w:multiLevelType w:val="singleLevel"/>
    <w:tmpl w:val="1116FA94"/>
    <w:lvl w:ilvl="0">
      <w:start w:val="1"/>
      <w:numFmt w:val="decimal"/>
      <w:lvlText w:val="%1)"/>
      <w:lvlJc w:val="left"/>
      <w:pPr>
        <w:tabs>
          <w:tab w:val="num" w:pos="360"/>
        </w:tabs>
        <w:ind w:left="340" w:hanging="340"/>
      </w:pPr>
      <w:rPr>
        <w:rFonts w:hint="default"/>
        <w:b/>
      </w:rPr>
    </w:lvl>
  </w:abstractNum>
  <w:abstractNum w:abstractNumId="13">
    <w:nsid w:val="77A07771"/>
    <w:multiLevelType w:val="multilevel"/>
    <w:tmpl w:val="C2A81DFC"/>
    <w:lvl w:ilvl="0">
      <w:start w:val="4"/>
      <w:numFmt w:val="decimal"/>
      <w:lvlText w:val="%1."/>
      <w:lvlJc w:val="left"/>
      <w:pPr>
        <w:tabs>
          <w:tab w:val="num" w:pos="360"/>
        </w:tabs>
        <w:ind w:left="1134" w:hanging="567"/>
      </w:pPr>
      <w:rPr>
        <w:rFonts w:ascii="Arial" w:hAnsi="Arial" w:hint="default"/>
        <w:b/>
        <w:i w:val="0"/>
        <w:sz w:val="20"/>
        <w:szCs w:val="20"/>
      </w:rPr>
    </w:lvl>
    <w:lvl w:ilvl="1">
      <w:start w:val="2"/>
      <w:numFmt w:val="decimal"/>
      <w:lvlText w:val="%1.%2."/>
      <w:lvlJc w:val="left"/>
      <w:pPr>
        <w:tabs>
          <w:tab w:val="num" w:pos="792"/>
        </w:tabs>
        <w:ind w:left="792" w:hanging="432"/>
      </w:pPr>
      <w:rPr>
        <w:rFonts w:hint="default"/>
      </w:rPr>
    </w:lvl>
    <w:lvl w:ilvl="2">
      <w:start w:val="1"/>
      <w:numFmt w:val="decimal"/>
      <w:lvlText w:val="%1.1.%3."/>
      <w:lvlJc w:val="left"/>
      <w:pPr>
        <w:tabs>
          <w:tab w:val="num" w:pos="0"/>
        </w:tabs>
        <w:ind w:left="0" w:firstLine="0"/>
      </w:pPr>
      <w:rPr>
        <w:rFonts w:ascii="Arial" w:hAnsi="Arial" w:hint="default"/>
        <w:b/>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7B663FD8"/>
    <w:multiLevelType w:val="hybridMultilevel"/>
    <w:tmpl w:val="0DCA7CBE"/>
    <w:lvl w:ilvl="0" w:tplc="8AAA0BB6">
      <w:start w:val="1"/>
      <w:numFmt w:val="bullet"/>
      <w:lvlText w:val=""/>
      <w:lvlJc w:val="left"/>
      <w:pPr>
        <w:tabs>
          <w:tab w:val="num" w:pos="720"/>
        </w:tabs>
        <w:ind w:left="624"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3"/>
  </w:num>
  <w:num w:numId="6">
    <w:abstractNumId w:val="4"/>
  </w:num>
  <w:num w:numId="7">
    <w:abstractNumId w:val="7"/>
  </w:num>
  <w:num w:numId="8">
    <w:abstractNumId w:val="14"/>
  </w:num>
  <w:num w:numId="9">
    <w:abstractNumId w:val="6"/>
  </w:num>
  <w:num w:numId="10">
    <w:abstractNumId w:val="5"/>
  </w:num>
  <w:num w:numId="11">
    <w:abstractNumId w:val="1"/>
  </w:num>
  <w:num w:numId="12">
    <w:abstractNumId w:val="3"/>
  </w:num>
  <w:num w:numId="13">
    <w:abstractNumId w:val="1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C6"/>
    <w:rsid w:val="00233D48"/>
    <w:rsid w:val="00330727"/>
    <w:rsid w:val="003B6C3F"/>
    <w:rsid w:val="00721330"/>
    <w:rsid w:val="00723EC6"/>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1958</Words>
  <Characters>10563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2017-08-21T14:58:00Z</cp:lastPrinted>
  <dcterms:created xsi:type="dcterms:W3CDTF">2017-08-21T14:51:00Z</dcterms:created>
  <dcterms:modified xsi:type="dcterms:W3CDTF">2017-10-31T17:52:00Z</dcterms:modified>
</cp:coreProperties>
</file>