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C54" w:rsidRPr="00786EEB" w:rsidRDefault="00DC4C54" w:rsidP="00786EEB">
      <w:pPr>
        <w:tabs>
          <w:tab w:val="center" w:pos="4253"/>
        </w:tabs>
        <w:suppressAutoHyphens/>
        <w:jc w:val="right"/>
        <w:rPr>
          <w:rFonts w:ascii="Arial" w:hAnsi="Arial" w:cs="Arial"/>
          <w:b/>
          <w:sz w:val="28"/>
          <w:szCs w:val="28"/>
        </w:rPr>
      </w:pPr>
      <w:bookmarkStart w:id="0" w:name="_GoBack"/>
      <w:bookmarkEnd w:id="0"/>
      <w:r>
        <w:rPr>
          <w:rFonts w:ascii="Arial" w:hAnsi="Arial" w:cs="Arial"/>
          <w:b/>
          <w:sz w:val="28"/>
          <w:szCs w:val="28"/>
        </w:rPr>
        <w:t>RES. 473/17</w:t>
      </w:r>
    </w:p>
    <w:p w:rsidR="00DC4C54" w:rsidRDefault="00DC4C54" w:rsidP="00786EEB">
      <w:pPr>
        <w:tabs>
          <w:tab w:val="center" w:pos="4253"/>
        </w:tabs>
        <w:suppressAutoHyphens/>
        <w:jc w:val="right"/>
        <w:rPr>
          <w:rFonts w:ascii="Arial" w:hAnsi="Arial" w:cs="Arial"/>
          <w:b/>
        </w:rPr>
      </w:pPr>
    </w:p>
    <w:p w:rsidR="00DC4C54" w:rsidRPr="00762B34" w:rsidRDefault="00DC4C54" w:rsidP="00DC4C54">
      <w:pPr>
        <w:tabs>
          <w:tab w:val="center" w:pos="4253"/>
        </w:tabs>
        <w:suppressAutoHyphens/>
        <w:spacing w:after="0" w:line="240" w:lineRule="auto"/>
        <w:jc w:val="center"/>
        <w:rPr>
          <w:rFonts w:ascii="Arial" w:hAnsi="Arial" w:cs="Arial"/>
          <w:b/>
        </w:rPr>
      </w:pPr>
      <w:r w:rsidRPr="00762B34">
        <w:rPr>
          <w:rFonts w:ascii="Arial" w:hAnsi="Arial" w:cs="Arial"/>
          <w:b/>
        </w:rPr>
        <w:t>RESOLUCION ADOPTADA POR EL</w:t>
      </w:r>
    </w:p>
    <w:p w:rsidR="00DC4C54" w:rsidRPr="00762B34" w:rsidRDefault="00DC4C54" w:rsidP="00DC4C54">
      <w:pPr>
        <w:tabs>
          <w:tab w:val="left" w:pos="-720"/>
        </w:tabs>
        <w:suppressAutoHyphens/>
        <w:spacing w:after="0" w:line="240" w:lineRule="auto"/>
        <w:jc w:val="center"/>
        <w:rPr>
          <w:rFonts w:ascii="Arial" w:hAnsi="Arial" w:cs="Arial"/>
          <w:b/>
        </w:rPr>
      </w:pPr>
    </w:p>
    <w:p w:rsidR="00DC4C54" w:rsidRPr="00762B34" w:rsidRDefault="00DC4C54" w:rsidP="00DC4C54">
      <w:pPr>
        <w:tabs>
          <w:tab w:val="center" w:pos="4253"/>
        </w:tabs>
        <w:suppressAutoHyphens/>
        <w:spacing w:after="0" w:line="240" w:lineRule="auto"/>
        <w:jc w:val="center"/>
        <w:rPr>
          <w:rFonts w:ascii="Arial" w:hAnsi="Arial" w:cs="Arial"/>
          <w:b/>
        </w:rPr>
      </w:pPr>
      <w:r w:rsidRPr="00762B34">
        <w:rPr>
          <w:rFonts w:ascii="Arial" w:hAnsi="Arial" w:cs="Arial"/>
          <w:b/>
        </w:rPr>
        <w:t>TRIBUNAL DE CUENTAS</w:t>
      </w:r>
    </w:p>
    <w:p w:rsidR="00DC4C54" w:rsidRPr="00762B34" w:rsidRDefault="00DC4C54" w:rsidP="00DC4C54">
      <w:pPr>
        <w:tabs>
          <w:tab w:val="left" w:pos="-720"/>
        </w:tabs>
        <w:suppressAutoHyphens/>
        <w:spacing w:after="0" w:line="240" w:lineRule="auto"/>
        <w:jc w:val="center"/>
        <w:rPr>
          <w:rFonts w:ascii="Arial" w:hAnsi="Arial" w:cs="Arial"/>
          <w:b/>
        </w:rPr>
      </w:pPr>
    </w:p>
    <w:p w:rsidR="00DC4C54" w:rsidRPr="00762B34" w:rsidRDefault="00DC4C54" w:rsidP="00DC4C54">
      <w:pPr>
        <w:tabs>
          <w:tab w:val="center" w:pos="4253"/>
        </w:tabs>
        <w:suppressAutoHyphens/>
        <w:spacing w:after="0" w:line="240" w:lineRule="auto"/>
        <w:jc w:val="center"/>
        <w:rPr>
          <w:rFonts w:ascii="Arial" w:hAnsi="Arial" w:cs="Arial"/>
          <w:b/>
        </w:rPr>
      </w:pPr>
      <w:r w:rsidRPr="00762B34">
        <w:rPr>
          <w:rFonts w:ascii="Arial" w:hAnsi="Arial" w:cs="Arial"/>
          <w:b/>
        </w:rPr>
        <w:t xml:space="preserve">EN SESION DE FECHA </w:t>
      </w:r>
      <w:r>
        <w:rPr>
          <w:rFonts w:ascii="Arial" w:hAnsi="Arial" w:cs="Arial"/>
          <w:b/>
        </w:rPr>
        <w:t xml:space="preserve">8 DE FEBRERO </w:t>
      </w:r>
      <w:r>
        <w:rPr>
          <w:rFonts w:ascii="Helvetica" w:hAnsi="Helvetica"/>
          <w:b/>
        </w:rPr>
        <w:t>DE 2017</w:t>
      </w:r>
    </w:p>
    <w:p w:rsidR="00DC4C54" w:rsidRPr="00762B34" w:rsidRDefault="00DC4C54" w:rsidP="00DC4C54">
      <w:pPr>
        <w:tabs>
          <w:tab w:val="center" w:pos="4253"/>
        </w:tabs>
        <w:suppressAutoHyphens/>
        <w:spacing w:after="0" w:line="240" w:lineRule="auto"/>
        <w:jc w:val="center"/>
        <w:rPr>
          <w:rFonts w:ascii="Arial" w:hAnsi="Arial" w:cs="Arial"/>
          <w:b/>
        </w:rPr>
      </w:pPr>
    </w:p>
    <w:p w:rsidR="00DC4C54" w:rsidRPr="00AA3704" w:rsidRDefault="00DC4C54" w:rsidP="00DC4C54">
      <w:pPr>
        <w:tabs>
          <w:tab w:val="center" w:pos="4253"/>
        </w:tabs>
        <w:suppressAutoHyphens/>
        <w:spacing w:after="0" w:line="240" w:lineRule="auto"/>
        <w:jc w:val="center"/>
        <w:rPr>
          <w:rFonts w:ascii="Arial" w:hAnsi="Arial" w:cs="Arial"/>
          <w:b/>
          <w:lang w:val="es-UY"/>
        </w:rPr>
      </w:pPr>
      <w:r w:rsidRPr="00AA3704">
        <w:rPr>
          <w:rFonts w:ascii="Arial" w:hAnsi="Arial" w:cs="Arial"/>
          <w:b/>
          <w:lang w:val="es-UY"/>
        </w:rPr>
        <w:t xml:space="preserve">(E. E. Nº  2016-17-1-0008109, </w:t>
      </w:r>
      <w:proofErr w:type="spellStart"/>
      <w:r w:rsidRPr="00AA3704">
        <w:rPr>
          <w:rFonts w:ascii="Arial" w:hAnsi="Arial" w:cs="Arial"/>
          <w:b/>
          <w:lang w:val="es-UY"/>
        </w:rPr>
        <w:t>Ent</w:t>
      </w:r>
      <w:proofErr w:type="spellEnd"/>
      <w:r w:rsidRPr="00AA3704">
        <w:rPr>
          <w:rFonts w:ascii="Arial" w:hAnsi="Arial" w:cs="Arial"/>
          <w:b/>
          <w:lang w:val="es-UY"/>
        </w:rPr>
        <w:t>. N° 6284/16)</w:t>
      </w:r>
    </w:p>
    <w:p w:rsidR="005857B8" w:rsidRPr="00545696" w:rsidRDefault="005857B8" w:rsidP="00643C26">
      <w:pPr>
        <w:spacing w:line="360" w:lineRule="auto"/>
        <w:jc w:val="both"/>
        <w:rPr>
          <w:rFonts w:ascii="Arial" w:hAnsi="Arial" w:cs="Arial"/>
          <w:sz w:val="24"/>
          <w:lang w:val="es-ES"/>
        </w:rPr>
      </w:pPr>
    </w:p>
    <w:p w:rsidR="002F4DFB" w:rsidRDefault="00DC4C54" w:rsidP="00DC4C54">
      <w:pPr>
        <w:spacing w:after="0" w:line="360" w:lineRule="auto"/>
        <w:ind w:firstLine="708"/>
        <w:jc w:val="both"/>
        <w:rPr>
          <w:rFonts w:ascii="Arial" w:hAnsi="Arial" w:cs="Arial"/>
          <w:sz w:val="24"/>
          <w:lang w:val="es-ES"/>
        </w:rPr>
      </w:pPr>
      <w:r>
        <w:rPr>
          <w:rFonts w:ascii="Arial" w:hAnsi="Arial" w:cs="Arial"/>
          <w:b/>
          <w:sz w:val="24"/>
          <w:lang w:val="es-ES"/>
        </w:rPr>
        <w:t>VISTO</w:t>
      </w:r>
      <w:r w:rsidR="007C32F7">
        <w:rPr>
          <w:rFonts w:ascii="Arial" w:hAnsi="Arial" w:cs="Arial"/>
          <w:sz w:val="24"/>
          <w:lang w:val="es-ES"/>
        </w:rPr>
        <w:t>: l</w:t>
      </w:r>
      <w:r w:rsidR="003B3EBF">
        <w:rPr>
          <w:rFonts w:ascii="Arial" w:hAnsi="Arial" w:cs="Arial"/>
          <w:sz w:val="24"/>
          <w:lang w:val="es-ES"/>
        </w:rPr>
        <w:t xml:space="preserve">a </w:t>
      </w:r>
      <w:r w:rsidR="0026288D" w:rsidRPr="00545696">
        <w:rPr>
          <w:rFonts w:ascii="Arial" w:hAnsi="Arial" w:cs="Arial"/>
          <w:sz w:val="24"/>
          <w:lang w:val="es-ES"/>
        </w:rPr>
        <w:t>nota d</w:t>
      </w:r>
      <w:r w:rsidR="002F4DFB" w:rsidRPr="00545696">
        <w:rPr>
          <w:rFonts w:ascii="Arial" w:hAnsi="Arial" w:cs="Arial"/>
          <w:sz w:val="24"/>
          <w:lang w:val="es-ES"/>
        </w:rPr>
        <w:t xml:space="preserve">e fecha 22 de noviembre de 2016 presentada por la Contadora General de la </w:t>
      </w:r>
      <w:r w:rsidR="002C7FC7" w:rsidRPr="00545696">
        <w:rPr>
          <w:rFonts w:ascii="Arial" w:hAnsi="Arial" w:cs="Arial"/>
          <w:sz w:val="24"/>
          <w:lang w:val="es-ES"/>
        </w:rPr>
        <w:t>Nación</w:t>
      </w:r>
      <w:r w:rsidR="002C7FC7">
        <w:rPr>
          <w:rFonts w:ascii="Arial" w:hAnsi="Arial" w:cs="Arial"/>
          <w:sz w:val="24"/>
          <w:lang w:val="es-ES"/>
        </w:rPr>
        <w:t xml:space="preserve"> en</w:t>
      </w:r>
      <w:r w:rsidR="007C32F7">
        <w:rPr>
          <w:rFonts w:ascii="Arial" w:hAnsi="Arial" w:cs="Arial"/>
          <w:sz w:val="24"/>
          <w:lang w:val="es-ES"/>
        </w:rPr>
        <w:t xml:space="preserve"> la que solicita</w:t>
      </w:r>
      <w:r w:rsidR="0026288D" w:rsidRPr="00545696">
        <w:rPr>
          <w:rFonts w:ascii="Arial" w:hAnsi="Arial" w:cs="Arial"/>
          <w:sz w:val="24"/>
          <w:lang w:val="es-ES"/>
        </w:rPr>
        <w:t xml:space="preserve"> </w:t>
      </w:r>
      <w:r w:rsidR="002F4DFB" w:rsidRPr="00545696">
        <w:rPr>
          <w:rFonts w:ascii="Arial" w:hAnsi="Arial" w:cs="Arial"/>
          <w:sz w:val="24"/>
          <w:lang w:val="es-ES"/>
        </w:rPr>
        <w:t>la conformidad del Tribunal de Cuentas</w:t>
      </w:r>
      <w:r w:rsidR="008B3D08">
        <w:rPr>
          <w:rFonts w:ascii="Arial" w:hAnsi="Arial" w:cs="Arial"/>
          <w:sz w:val="24"/>
          <w:lang w:val="es-ES"/>
        </w:rPr>
        <w:t xml:space="preserve"> </w:t>
      </w:r>
      <w:r w:rsidR="0026288D" w:rsidRPr="00545696">
        <w:rPr>
          <w:rFonts w:ascii="Arial" w:hAnsi="Arial" w:cs="Arial"/>
          <w:sz w:val="24"/>
          <w:lang w:val="es-ES"/>
        </w:rPr>
        <w:t xml:space="preserve">sobre el documento denominado </w:t>
      </w:r>
      <w:r w:rsidR="002F4DFB" w:rsidRPr="00545696">
        <w:rPr>
          <w:rFonts w:ascii="Arial" w:hAnsi="Arial" w:cs="Arial"/>
          <w:sz w:val="24"/>
          <w:lang w:val="es-ES"/>
        </w:rPr>
        <w:t>Marco Conceptual Contable</w:t>
      </w:r>
      <w:r w:rsidR="008B3D08">
        <w:rPr>
          <w:rFonts w:ascii="Arial" w:hAnsi="Arial" w:cs="Arial"/>
          <w:sz w:val="24"/>
          <w:lang w:val="es-ES"/>
        </w:rPr>
        <w:t>;</w:t>
      </w:r>
    </w:p>
    <w:p w:rsidR="008B3D08" w:rsidRDefault="00DC4C54" w:rsidP="00DC4C54">
      <w:pPr>
        <w:spacing w:after="0" w:line="360" w:lineRule="auto"/>
        <w:ind w:firstLine="708"/>
        <w:jc w:val="both"/>
        <w:rPr>
          <w:rFonts w:ascii="Arial" w:hAnsi="Arial" w:cs="Arial"/>
          <w:sz w:val="24"/>
          <w:lang w:val="es-ES"/>
        </w:rPr>
      </w:pPr>
      <w:r>
        <w:rPr>
          <w:rFonts w:ascii="Arial" w:hAnsi="Arial" w:cs="Arial"/>
          <w:b/>
          <w:sz w:val="24"/>
          <w:lang w:val="es-ES"/>
        </w:rPr>
        <w:t>RESULTANDO</w:t>
      </w:r>
      <w:r w:rsidR="00307373" w:rsidRPr="008B3D08">
        <w:rPr>
          <w:rFonts w:ascii="Arial" w:hAnsi="Arial" w:cs="Arial"/>
          <w:b/>
          <w:sz w:val="24"/>
          <w:lang w:val="es-ES"/>
        </w:rPr>
        <w:t>:</w:t>
      </w:r>
      <w:r w:rsidR="00307373">
        <w:rPr>
          <w:rFonts w:ascii="Arial" w:hAnsi="Arial" w:cs="Arial"/>
          <w:b/>
          <w:sz w:val="24"/>
          <w:lang w:val="es-ES"/>
        </w:rPr>
        <w:t xml:space="preserve"> </w:t>
      </w:r>
      <w:r w:rsidR="00307373" w:rsidRPr="00DC4C54">
        <w:rPr>
          <w:rFonts w:ascii="Arial" w:hAnsi="Arial" w:cs="Arial"/>
          <w:b/>
          <w:sz w:val="24"/>
          <w:lang w:val="es-ES"/>
        </w:rPr>
        <w:t>1</w:t>
      </w:r>
      <w:r w:rsidR="008B3D08" w:rsidRPr="00DC4C54">
        <w:rPr>
          <w:rFonts w:ascii="Arial" w:hAnsi="Arial" w:cs="Arial"/>
          <w:b/>
          <w:sz w:val="24"/>
          <w:lang w:val="es-ES"/>
        </w:rPr>
        <w:t>)</w:t>
      </w:r>
      <w:r w:rsidR="008B3D08">
        <w:rPr>
          <w:rFonts w:ascii="Arial" w:hAnsi="Arial" w:cs="Arial"/>
          <w:b/>
          <w:sz w:val="24"/>
          <w:lang w:val="es-ES"/>
        </w:rPr>
        <w:t xml:space="preserve"> </w:t>
      </w:r>
      <w:r w:rsidR="008B3D08" w:rsidRPr="008B3D08">
        <w:rPr>
          <w:rFonts w:ascii="Arial" w:hAnsi="Arial" w:cs="Arial"/>
          <w:sz w:val="24"/>
          <w:lang w:val="es-ES"/>
        </w:rPr>
        <w:t>que</w:t>
      </w:r>
      <w:r w:rsidR="008B3D08">
        <w:rPr>
          <w:rFonts w:ascii="Arial" w:hAnsi="Arial" w:cs="Arial"/>
          <w:b/>
          <w:sz w:val="24"/>
          <w:lang w:val="es-ES"/>
        </w:rPr>
        <w:t xml:space="preserve"> </w:t>
      </w:r>
      <w:r w:rsidR="003369BE" w:rsidRPr="00EB039E">
        <w:rPr>
          <w:rFonts w:ascii="Arial" w:hAnsi="Arial" w:cs="Arial"/>
          <w:sz w:val="24"/>
          <w:lang w:val="es-ES"/>
        </w:rPr>
        <w:t>se establece que</w:t>
      </w:r>
      <w:r w:rsidR="003369BE">
        <w:rPr>
          <w:rFonts w:ascii="Arial" w:hAnsi="Arial" w:cs="Arial"/>
          <w:b/>
          <w:sz w:val="24"/>
          <w:lang w:val="es-ES"/>
        </w:rPr>
        <w:t xml:space="preserve"> </w:t>
      </w:r>
      <w:r w:rsidR="008B3D08">
        <w:rPr>
          <w:rFonts w:ascii="Arial" w:hAnsi="Arial" w:cs="Arial"/>
          <w:sz w:val="24"/>
          <w:lang w:val="es-ES"/>
        </w:rPr>
        <w:t xml:space="preserve">el objetivo de dicho documento es servir de instrumento básico para registrar, ordenar y analizar las operaciones de carácter económico, financiero, presupuestal y patrimonial que se producen en las diferentes entidades gubernamentales; </w:t>
      </w:r>
    </w:p>
    <w:p w:rsidR="008B3D08" w:rsidRDefault="008B3D08" w:rsidP="00DC4C54">
      <w:pPr>
        <w:tabs>
          <w:tab w:val="left" w:pos="1560"/>
        </w:tabs>
        <w:spacing w:after="0" w:line="360" w:lineRule="auto"/>
        <w:ind w:firstLine="2552"/>
        <w:jc w:val="both"/>
        <w:rPr>
          <w:rFonts w:ascii="Arial" w:hAnsi="Arial" w:cs="Arial"/>
          <w:color w:val="000000"/>
          <w:sz w:val="24"/>
          <w:szCs w:val="23"/>
        </w:rPr>
      </w:pPr>
      <w:r w:rsidRPr="00DC4C54">
        <w:rPr>
          <w:rFonts w:ascii="Arial" w:hAnsi="Arial" w:cs="Arial"/>
          <w:b/>
          <w:sz w:val="24"/>
          <w:lang w:val="es-ES"/>
        </w:rPr>
        <w:t>2)</w:t>
      </w:r>
      <w:r w:rsidR="00307373">
        <w:rPr>
          <w:rFonts w:ascii="Arial" w:hAnsi="Arial" w:cs="Arial"/>
          <w:sz w:val="24"/>
          <w:lang w:val="es-ES"/>
        </w:rPr>
        <w:t xml:space="preserve"> </w:t>
      </w:r>
      <w:r w:rsidR="007C32F7">
        <w:rPr>
          <w:rFonts w:ascii="Arial" w:hAnsi="Arial" w:cs="Arial"/>
          <w:sz w:val="24"/>
          <w:lang w:val="es-ES"/>
        </w:rPr>
        <w:t xml:space="preserve">que en </w:t>
      </w:r>
      <w:r w:rsidR="00307373">
        <w:rPr>
          <w:rFonts w:ascii="Arial" w:hAnsi="Arial" w:cs="Arial"/>
          <w:color w:val="000000"/>
          <w:sz w:val="24"/>
          <w:szCs w:val="23"/>
        </w:rPr>
        <w:t>e</w:t>
      </w:r>
      <w:r w:rsidRPr="008B3D08">
        <w:rPr>
          <w:rFonts w:ascii="Arial" w:hAnsi="Arial" w:cs="Arial"/>
          <w:color w:val="000000"/>
          <w:sz w:val="24"/>
          <w:szCs w:val="23"/>
        </w:rPr>
        <w:t>l</w:t>
      </w:r>
      <w:r w:rsidRPr="00545696">
        <w:rPr>
          <w:rFonts w:ascii="Arial" w:hAnsi="Arial" w:cs="Arial"/>
          <w:color w:val="000000"/>
          <w:sz w:val="24"/>
          <w:szCs w:val="23"/>
        </w:rPr>
        <w:t xml:space="preserve"> documento </w:t>
      </w:r>
      <w:r w:rsidR="007C32F7">
        <w:rPr>
          <w:rFonts w:ascii="Arial" w:hAnsi="Arial" w:cs="Arial"/>
          <w:color w:val="000000"/>
          <w:sz w:val="24"/>
          <w:szCs w:val="23"/>
        </w:rPr>
        <w:t>mencionado se</w:t>
      </w:r>
      <w:r w:rsidRPr="00545696">
        <w:rPr>
          <w:rFonts w:ascii="Arial" w:hAnsi="Arial" w:cs="Arial"/>
          <w:color w:val="000000"/>
          <w:sz w:val="24"/>
          <w:szCs w:val="23"/>
        </w:rPr>
        <w:t xml:space="preserve"> desarrolla</w:t>
      </w:r>
      <w:r w:rsidR="007C32F7">
        <w:rPr>
          <w:rFonts w:ascii="Arial" w:hAnsi="Arial" w:cs="Arial"/>
          <w:color w:val="000000"/>
          <w:sz w:val="24"/>
          <w:szCs w:val="23"/>
        </w:rPr>
        <w:t>n</w:t>
      </w:r>
      <w:r w:rsidRPr="00545696">
        <w:rPr>
          <w:rFonts w:ascii="Arial" w:hAnsi="Arial" w:cs="Arial"/>
          <w:color w:val="000000"/>
          <w:sz w:val="24"/>
          <w:szCs w:val="23"/>
        </w:rPr>
        <w:t xml:space="preserve"> los conceptos básicos para registrar, ordenar y analizar las operaciones de carácter económico, financiero, presupuestal y patrimonial que se producen en las entidades que conformarán</w:t>
      </w:r>
      <w:r w:rsidR="00307373">
        <w:rPr>
          <w:rFonts w:ascii="Arial" w:hAnsi="Arial" w:cs="Arial"/>
          <w:color w:val="000000"/>
          <w:sz w:val="24"/>
          <w:szCs w:val="23"/>
        </w:rPr>
        <w:t xml:space="preserve"> el ente contable gubernamental;</w:t>
      </w:r>
    </w:p>
    <w:p w:rsidR="00307373" w:rsidRDefault="00307373" w:rsidP="00DC4C54">
      <w:pPr>
        <w:tabs>
          <w:tab w:val="left" w:pos="0"/>
        </w:tabs>
        <w:spacing w:after="0" w:line="360" w:lineRule="auto"/>
        <w:ind w:firstLine="2552"/>
        <w:jc w:val="both"/>
        <w:rPr>
          <w:rFonts w:ascii="Arial" w:hAnsi="Arial" w:cs="Arial"/>
          <w:color w:val="000000"/>
          <w:sz w:val="24"/>
          <w:szCs w:val="23"/>
        </w:rPr>
      </w:pPr>
      <w:r w:rsidRPr="00DC4C54">
        <w:rPr>
          <w:rFonts w:ascii="Arial" w:hAnsi="Arial" w:cs="Arial"/>
          <w:b/>
          <w:color w:val="000000"/>
          <w:sz w:val="24"/>
          <w:szCs w:val="23"/>
        </w:rPr>
        <w:t>3)</w:t>
      </w:r>
      <w:r>
        <w:rPr>
          <w:rFonts w:ascii="Arial" w:hAnsi="Arial" w:cs="Arial"/>
          <w:color w:val="000000"/>
          <w:sz w:val="24"/>
          <w:szCs w:val="23"/>
        </w:rPr>
        <w:t xml:space="preserve"> que </w:t>
      </w:r>
      <w:r w:rsidR="007C32F7">
        <w:rPr>
          <w:rFonts w:ascii="Arial" w:hAnsi="Arial" w:cs="Arial"/>
          <w:color w:val="000000"/>
          <w:sz w:val="24"/>
          <w:szCs w:val="23"/>
        </w:rPr>
        <w:t>el Marco Conceptual Contable</w:t>
      </w:r>
      <w:r>
        <w:rPr>
          <w:rFonts w:ascii="Arial" w:hAnsi="Arial" w:cs="Arial"/>
          <w:color w:val="000000"/>
          <w:sz w:val="24"/>
          <w:szCs w:val="23"/>
        </w:rPr>
        <w:t xml:space="preserve"> fue analizado por el grupo de trabajo </w:t>
      </w:r>
      <w:r w:rsidR="007C32F7">
        <w:rPr>
          <w:rFonts w:ascii="Arial" w:hAnsi="Arial" w:cs="Arial"/>
          <w:color w:val="000000"/>
          <w:sz w:val="24"/>
          <w:szCs w:val="23"/>
        </w:rPr>
        <w:t>integrado por funcionarios</w:t>
      </w:r>
      <w:r>
        <w:rPr>
          <w:rFonts w:ascii="Arial" w:hAnsi="Arial" w:cs="Arial"/>
          <w:color w:val="000000"/>
          <w:sz w:val="24"/>
          <w:szCs w:val="23"/>
        </w:rPr>
        <w:t xml:space="preserve"> </w:t>
      </w:r>
      <w:r w:rsidR="007C32F7">
        <w:rPr>
          <w:rFonts w:ascii="Arial" w:hAnsi="Arial" w:cs="Arial"/>
          <w:color w:val="000000"/>
          <w:sz w:val="24"/>
          <w:szCs w:val="23"/>
        </w:rPr>
        <w:t xml:space="preserve">del Tribunal de Cuentas y la </w:t>
      </w:r>
      <w:r>
        <w:rPr>
          <w:rFonts w:ascii="Arial" w:hAnsi="Arial" w:cs="Arial"/>
          <w:color w:val="000000"/>
          <w:sz w:val="24"/>
          <w:szCs w:val="23"/>
        </w:rPr>
        <w:t xml:space="preserve">Contaduría General de la Nación, el que consideró </w:t>
      </w:r>
      <w:r w:rsidR="007C32F7">
        <w:rPr>
          <w:rFonts w:ascii="Arial" w:hAnsi="Arial" w:cs="Arial"/>
          <w:color w:val="000000"/>
          <w:sz w:val="24"/>
          <w:szCs w:val="23"/>
        </w:rPr>
        <w:t xml:space="preserve">que </w:t>
      </w:r>
      <w:r>
        <w:rPr>
          <w:rFonts w:ascii="Arial" w:hAnsi="Arial" w:cs="Arial"/>
          <w:color w:val="000000"/>
          <w:sz w:val="24"/>
          <w:szCs w:val="23"/>
        </w:rPr>
        <w:t>correspondía elevar dicho documento a efectos de obtener la conformidad de este Cuerpo, de acuerdo a</w:t>
      </w:r>
      <w:r w:rsidR="007C32F7">
        <w:rPr>
          <w:rFonts w:ascii="Arial" w:hAnsi="Arial" w:cs="Arial"/>
          <w:color w:val="000000"/>
          <w:sz w:val="24"/>
          <w:szCs w:val="23"/>
        </w:rPr>
        <w:t xml:space="preserve"> lo establecido en el A</w:t>
      </w:r>
      <w:r>
        <w:rPr>
          <w:rFonts w:ascii="Arial" w:hAnsi="Arial" w:cs="Arial"/>
          <w:color w:val="000000"/>
          <w:sz w:val="24"/>
          <w:szCs w:val="23"/>
        </w:rPr>
        <w:t>rtículo 100 del TOCAF;</w:t>
      </w:r>
    </w:p>
    <w:p w:rsidR="00307373" w:rsidRDefault="00307373" w:rsidP="00DC4C54">
      <w:pPr>
        <w:tabs>
          <w:tab w:val="left" w:pos="0"/>
        </w:tabs>
        <w:spacing w:line="360" w:lineRule="auto"/>
        <w:ind w:firstLine="2552"/>
        <w:jc w:val="both"/>
        <w:rPr>
          <w:rFonts w:ascii="Arial" w:hAnsi="Arial" w:cs="Arial"/>
          <w:color w:val="000000"/>
          <w:sz w:val="24"/>
          <w:szCs w:val="23"/>
        </w:rPr>
      </w:pPr>
      <w:r w:rsidRPr="00DC4C54">
        <w:rPr>
          <w:rFonts w:ascii="Arial" w:hAnsi="Arial" w:cs="Arial"/>
          <w:b/>
          <w:color w:val="000000"/>
          <w:sz w:val="24"/>
          <w:szCs w:val="23"/>
        </w:rPr>
        <w:t>4)</w:t>
      </w:r>
      <w:r>
        <w:rPr>
          <w:rFonts w:ascii="Arial" w:hAnsi="Arial" w:cs="Arial"/>
          <w:color w:val="000000"/>
          <w:sz w:val="24"/>
          <w:szCs w:val="23"/>
        </w:rPr>
        <w:t xml:space="preserve"> que </w:t>
      </w:r>
      <w:r w:rsidR="007C32F7">
        <w:rPr>
          <w:rFonts w:ascii="Arial" w:hAnsi="Arial" w:cs="Arial"/>
          <w:color w:val="000000"/>
          <w:sz w:val="24"/>
          <w:szCs w:val="23"/>
        </w:rPr>
        <w:t xml:space="preserve">los conceptos básicos referidos en el Resultando 2) </w:t>
      </w:r>
      <w:r>
        <w:rPr>
          <w:rFonts w:ascii="Arial" w:hAnsi="Arial" w:cs="Arial"/>
          <w:color w:val="000000"/>
          <w:sz w:val="24"/>
          <w:szCs w:val="23"/>
        </w:rPr>
        <w:t xml:space="preserve">formarán parte del pliego de bases y condiciones del procedimiento licitatorio para la adquisición e implementación del </w:t>
      </w:r>
      <w:r w:rsidR="005F4991">
        <w:rPr>
          <w:rFonts w:ascii="Arial" w:hAnsi="Arial" w:cs="Arial"/>
          <w:color w:val="000000"/>
          <w:sz w:val="24"/>
          <w:szCs w:val="23"/>
        </w:rPr>
        <w:t>Sistema Integrado de Información Financiera 2 (</w:t>
      </w:r>
      <w:r>
        <w:rPr>
          <w:rFonts w:ascii="Arial" w:hAnsi="Arial" w:cs="Arial"/>
          <w:color w:val="000000"/>
          <w:sz w:val="24"/>
          <w:szCs w:val="23"/>
        </w:rPr>
        <w:t>SIIF2</w:t>
      </w:r>
      <w:r w:rsidR="005F4991">
        <w:rPr>
          <w:rFonts w:ascii="Arial" w:hAnsi="Arial" w:cs="Arial"/>
          <w:color w:val="000000"/>
          <w:sz w:val="24"/>
          <w:szCs w:val="23"/>
        </w:rPr>
        <w:t>)</w:t>
      </w:r>
      <w:r>
        <w:rPr>
          <w:rFonts w:ascii="Arial" w:hAnsi="Arial" w:cs="Arial"/>
          <w:color w:val="000000"/>
          <w:sz w:val="24"/>
          <w:szCs w:val="23"/>
        </w:rPr>
        <w:t>;</w:t>
      </w:r>
    </w:p>
    <w:p w:rsidR="008B3D08" w:rsidRDefault="006D45BF" w:rsidP="00DC4C54">
      <w:pPr>
        <w:tabs>
          <w:tab w:val="left" w:pos="0"/>
        </w:tabs>
        <w:spacing w:after="0" w:line="360" w:lineRule="auto"/>
        <w:ind w:firstLine="2552"/>
        <w:jc w:val="both"/>
        <w:rPr>
          <w:rFonts w:ascii="Arial" w:hAnsi="Arial" w:cs="Arial"/>
          <w:sz w:val="24"/>
        </w:rPr>
      </w:pPr>
      <w:r w:rsidRPr="00DC4C54">
        <w:rPr>
          <w:rFonts w:ascii="Arial" w:hAnsi="Arial" w:cs="Arial"/>
          <w:b/>
          <w:sz w:val="24"/>
          <w:szCs w:val="23"/>
        </w:rPr>
        <w:lastRenderedPageBreak/>
        <w:t>5</w:t>
      </w:r>
      <w:r w:rsidR="00307373" w:rsidRPr="00DC4C54">
        <w:rPr>
          <w:rFonts w:ascii="Arial" w:hAnsi="Arial" w:cs="Arial"/>
          <w:b/>
          <w:sz w:val="24"/>
          <w:szCs w:val="23"/>
        </w:rPr>
        <w:t>)</w:t>
      </w:r>
      <w:r w:rsidR="00307373">
        <w:rPr>
          <w:rFonts w:ascii="Arial" w:hAnsi="Arial" w:cs="Arial"/>
          <w:sz w:val="24"/>
          <w:szCs w:val="23"/>
        </w:rPr>
        <w:t xml:space="preserve"> que el </w:t>
      </w:r>
      <w:r w:rsidR="008B3D08" w:rsidRPr="00545696">
        <w:rPr>
          <w:rFonts w:ascii="Arial" w:hAnsi="Arial" w:cs="Arial"/>
          <w:sz w:val="24"/>
        </w:rPr>
        <w:t xml:space="preserve">Marco </w:t>
      </w:r>
      <w:r w:rsidR="008B3D08" w:rsidRPr="00545696">
        <w:rPr>
          <w:rFonts w:ascii="Arial" w:hAnsi="Arial" w:cs="Arial"/>
          <w:sz w:val="24"/>
          <w:szCs w:val="23"/>
        </w:rPr>
        <w:t>Conceptual</w:t>
      </w:r>
      <w:r w:rsidR="008B3D08" w:rsidRPr="00545696">
        <w:rPr>
          <w:rFonts w:ascii="Arial" w:hAnsi="Arial" w:cs="Arial"/>
          <w:sz w:val="24"/>
        </w:rPr>
        <w:t xml:space="preserve"> Contable es</w:t>
      </w:r>
      <w:r w:rsidR="00303EFA">
        <w:rPr>
          <w:rFonts w:ascii="Arial" w:hAnsi="Arial" w:cs="Arial"/>
          <w:sz w:val="24"/>
        </w:rPr>
        <w:t>tá organizado en tres capítulos:</w:t>
      </w:r>
      <w:r w:rsidR="00197C9F">
        <w:rPr>
          <w:rFonts w:ascii="Arial" w:hAnsi="Arial" w:cs="Arial"/>
          <w:sz w:val="24"/>
        </w:rPr>
        <w:t xml:space="preserve"> Contabilidad Gubernamental, Componentes de los Estados Financieros y Criterios de reconocimiento y medición de los Estados Financieros;</w:t>
      </w:r>
    </w:p>
    <w:p w:rsidR="008B3D08" w:rsidRDefault="006D45BF" w:rsidP="00DC4C54">
      <w:pPr>
        <w:tabs>
          <w:tab w:val="left" w:pos="0"/>
        </w:tabs>
        <w:spacing w:after="0" w:line="360" w:lineRule="auto"/>
        <w:ind w:firstLine="2552"/>
        <w:jc w:val="both"/>
        <w:rPr>
          <w:rFonts w:ascii="Arial" w:hAnsi="Arial" w:cs="Arial"/>
          <w:sz w:val="24"/>
          <w:szCs w:val="24"/>
        </w:rPr>
      </w:pPr>
      <w:r w:rsidRPr="00DC4C54">
        <w:rPr>
          <w:rFonts w:ascii="Arial" w:hAnsi="Arial" w:cs="Arial"/>
          <w:b/>
          <w:sz w:val="24"/>
          <w:szCs w:val="24"/>
        </w:rPr>
        <w:t>6</w:t>
      </w:r>
      <w:r w:rsidR="00197C9F" w:rsidRPr="00DC4C54">
        <w:rPr>
          <w:rFonts w:ascii="Arial" w:hAnsi="Arial" w:cs="Arial"/>
          <w:b/>
          <w:sz w:val="24"/>
          <w:szCs w:val="24"/>
        </w:rPr>
        <w:t>)</w:t>
      </w:r>
      <w:r w:rsidR="00197C9F">
        <w:rPr>
          <w:rFonts w:ascii="Arial" w:hAnsi="Arial" w:cs="Arial"/>
          <w:szCs w:val="23"/>
        </w:rPr>
        <w:t xml:space="preserve"> </w:t>
      </w:r>
      <w:r w:rsidR="00197C9F" w:rsidRPr="00197C9F">
        <w:rPr>
          <w:rFonts w:ascii="Arial" w:hAnsi="Arial" w:cs="Arial"/>
          <w:sz w:val="24"/>
          <w:szCs w:val="24"/>
        </w:rPr>
        <w:t xml:space="preserve">que </w:t>
      </w:r>
      <w:r>
        <w:rPr>
          <w:rFonts w:ascii="Arial" w:hAnsi="Arial" w:cs="Arial"/>
          <w:sz w:val="24"/>
          <w:szCs w:val="24"/>
        </w:rPr>
        <w:t xml:space="preserve">en </w:t>
      </w:r>
      <w:r w:rsidR="00197C9F" w:rsidRPr="00197C9F">
        <w:rPr>
          <w:rFonts w:ascii="Arial" w:hAnsi="Arial" w:cs="Arial"/>
          <w:sz w:val="24"/>
          <w:szCs w:val="24"/>
        </w:rPr>
        <w:t xml:space="preserve">el </w:t>
      </w:r>
      <w:r w:rsidR="005F4991">
        <w:rPr>
          <w:rFonts w:ascii="Arial" w:hAnsi="Arial" w:cs="Arial"/>
          <w:sz w:val="24"/>
          <w:szCs w:val="24"/>
        </w:rPr>
        <w:t>C</w:t>
      </w:r>
      <w:r w:rsidR="00197C9F" w:rsidRPr="00197C9F">
        <w:rPr>
          <w:rFonts w:ascii="Arial" w:hAnsi="Arial" w:cs="Arial"/>
          <w:sz w:val="24"/>
          <w:szCs w:val="24"/>
        </w:rPr>
        <w:t>apítulo</w:t>
      </w:r>
      <w:r w:rsidR="0040303C">
        <w:rPr>
          <w:rFonts w:ascii="Arial" w:hAnsi="Arial" w:cs="Arial"/>
          <w:sz w:val="24"/>
          <w:szCs w:val="24"/>
        </w:rPr>
        <w:t xml:space="preserve"> 1</w:t>
      </w:r>
      <w:r w:rsidR="005F4991">
        <w:rPr>
          <w:rFonts w:ascii="Arial" w:hAnsi="Arial" w:cs="Arial"/>
          <w:sz w:val="24"/>
          <w:szCs w:val="24"/>
        </w:rPr>
        <w:t>,</w:t>
      </w:r>
      <w:r w:rsidR="0040303C">
        <w:rPr>
          <w:rFonts w:ascii="Arial" w:hAnsi="Arial" w:cs="Arial"/>
          <w:sz w:val="24"/>
          <w:szCs w:val="24"/>
        </w:rPr>
        <w:t>“</w:t>
      </w:r>
      <w:r w:rsidR="008B3D08" w:rsidRPr="00197C9F">
        <w:rPr>
          <w:rFonts w:ascii="Arial" w:hAnsi="Arial" w:cs="Arial"/>
          <w:sz w:val="24"/>
          <w:szCs w:val="24"/>
        </w:rPr>
        <w:t>Contabilidad Gubernamental</w:t>
      </w:r>
      <w:r w:rsidR="0040303C">
        <w:rPr>
          <w:rFonts w:ascii="Arial" w:hAnsi="Arial" w:cs="Arial"/>
          <w:sz w:val="24"/>
          <w:szCs w:val="24"/>
        </w:rPr>
        <w:t>”</w:t>
      </w:r>
      <w:r w:rsidR="00197C9F" w:rsidRPr="00197C9F">
        <w:rPr>
          <w:rFonts w:ascii="Arial" w:hAnsi="Arial" w:cs="Arial"/>
          <w:sz w:val="24"/>
          <w:szCs w:val="24"/>
        </w:rPr>
        <w:t xml:space="preserve">, se </w:t>
      </w:r>
      <w:r w:rsidR="008B3D08" w:rsidRPr="00197C9F">
        <w:rPr>
          <w:rFonts w:ascii="Arial" w:hAnsi="Arial" w:cs="Arial"/>
          <w:sz w:val="24"/>
          <w:szCs w:val="24"/>
        </w:rPr>
        <w:t xml:space="preserve">define </w:t>
      </w:r>
      <w:r>
        <w:rPr>
          <w:rFonts w:ascii="Arial" w:hAnsi="Arial" w:cs="Arial"/>
          <w:sz w:val="24"/>
          <w:szCs w:val="24"/>
        </w:rPr>
        <w:t>este</w:t>
      </w:r>
      <w:r w:rsidR="008B3D08" w:rsidRPr="00197C9F">
        <w:rPr>
          <w:rFonts w:ascii="Arial" w:hAnsi="Arial" w:cs="Arial"/>
          <w:sz w:val="24"/>
          <w:szCs w:val="24"/>
        </w:rPr>
        <w:t xml:space="preserve"> concepto</w:t>
      </w:r>
      <w:r w:rsidR="00440789">
        <w:rPr>
          <w:rFonts w:ascii="Arial" w:hAnsi="Arial" w:cs="Arial"/>
          <w:sz w:val="24"/>
          <w:szCs w:val="24"/>
        </w:rPr>
        <w:t>,</w:t>
      </w:r>
      <w:r w:rsidR="008B3D08" w:rsidRPr="00197C9F">
        <w:rPr>
          <w:rFonts w:ascii="Arial" w:hAnsi="Arial" w:cs="Arial"/>
          <w:sz w:val="24"/>
          <w:szCs w:val="24"/>
        </w:rPr>
        <w:t xml:space="preserve"> de acuerdo con lo</w:t>
      </w:r>
      <w:r w:rsidR="00C94768">
        <w:rPr>
          <w:rFonts w:ascii="Arial" w:hAnsi="Arial" w:cs="Arial"/>
          <w:sz w:val="24"/>
          <w:szCs w:val="24"/>
        </w:rPr>
        <w:t xml:space="preserve"> </w:t>
      </w:r>
      <w:r w:rsidR="00440789">
        <w:rPr>
          <w:rFonts w:ascii="Arial" w:hAnsi="Arial" w:cs="Arial"/>
          <w:sz w:val="24"/>
          <w:szCs w:val="24"/>
        </w:rPr>
        <w:t>prescrito por los</w:t>
      </w:r>
      <w:r w:rsidR="008B3D08" w:rsidRPr="00197C9F">
        <w:rPr>
          <w:rFonts w:ascii="Arial" w:hAnsi="Arial" w:cs="Arial"/>
          <w:sz w:val="24"/>
          <w:szCs w:val="24"/>
        </w:rPr>
        <w:t xml:space="preserve"> Artículos 93 y 94 del TOCAF, a los usuarios de la información financiera del </w:t>
      </w:r>
      <w:r w:rsidR="00C94768">
        <w:rPr>
          <w:rFonts w:ascii="Arial" w:hAnsi="Arial" w:cs="Arial"/>
          <w:sz w:val="24"/>
          <w:szCs w:val="24"/>
        </w:rPr>
        <w:t>E</w:t>
      </w:r>
      <w:r w:rsidR="00C94768" w:rsidRPr="00197C9F">
        <w:rPr>
          <w:rFonts w:ascii="Arial" w:hAnsi="Arial" w:cs="Arial"/>
          <w:sz w:val="24"/>
          <w:szCs w:val="24"/>
        </w:rPr>
        <w:t xml:space="preserve">nte </w:t>
      </w:r>
      <w:r w:rsidR="00EB039E">
        <w:rPr>
          <w:rFonts w:ascii="Arial" w:hAnsi="Arial" w:cs="Arial"/>
          <w:sz w:val="24"/>
          <w:szCs w:val="24"/>
        </w:rPr>
        <w:t>c</w:t>
      </w:r>
      <w:r w:rsidR="008B3D08" w:rsidRPr="00197C9F">
        <w:rPr>
          <w:rFonts w:ascii="Arial" w:hAnsi="Arial" w:cs="Arial"/>
          <w:sz w:val="24"/>
          <w:szCs w:val="24"/>
        </w:rPr>
        <w:t>ontable gubernamental y al órgano rector en materia contable conforme a lo establecido en lo</w:t>
      </w:r>
      <w:r w:rsidR="00197C9F" w:rsidRPr="00197C9F">
        <w:rPr>
          <w:rFonts w:ascii="Arial" w:hAnsi="Arial" w:cs="Arial"/>
          <w:sz w:val="24"/>
          <w:szCs w:val="24"/>
        </w:rPr>
        <w:t>s Artículos 100 y 101 del TOCAF;</w:t>
      </w:r>
    </w:p>
    <w:p w:rsidR="008B3D08" w:rsidRPr="00545696" w:rsidRDefault="006D45BF" w:rsidP="00DC4C54">
      <w:pPr>
        <w:tabs>
          <w:tab w:val="left" w:pos="0"/>
        </w:tabs>
        <w:spacing w:after="0" w:line="360" w:lineRule="auto"/>
        <w:ind w:firstLine="2552"/>
        <w:jc w:val="both"/>
        <w:rPr>
          <w:rFonts w:ascii="Arial" w:hAnsi="Arial" w:cs="Arial"/>
          <w:szCs w:val="23"/>
        </w:rPr>
      </w:pPr>
      <w:r w:rsidRPr="00DC4C54">
        <w:rPr>
          <w:rFonts w:ascii="Arial" w:hAnsi="Arial" w:cs="Arial"/>
          <w:b/>
          <w:sz w:val="24"/>
          <w:szCs w:val="24"/>
        </w:rPr>
        <w:t>7</w:t>
      </w:r>
      <w:r w:rsidR="00197C9F" w:rsidRPr="00DC4C54">
        <w:rPr>
          <w:rFonts w:ascii="Arial" w:hAnsi="Arial" w:cs="Arial"/>
          <w:b/>
          <w:sz w:val="24"/>
          <w:szCs w:val="24"/>
        </w:rPr>
        <w:t>)</w:t>
      </w:r>
      <w:r w:rsidR="00197C9F">
        <w:rPr>
          <w:rFonts w:ascii="Arial" w:hAnsi="Arial" w:cs="Arial"/>
          <w:sz w:val="24"/>
          <w:szCs w:val="24"/>
        </w:rPr>
        <w:t xml:space="preserve"> </w:t>
      </w:r>
      <w:r w:rsidR="008B3D08" w:rsidRPr="00545696">
        <w:rPr>
          <w:rFonts w:ascii="Arial" w:hAnsi="Arial" w:cs="Arial"/>
          <w:sz w:val="24"/>
          <w:szCs w:val="23"/>
        </w:rPr>
        <w:t>que</w:t>
      </w:r>
      <w:r w:rsidR="00197C9F">
        <w:rPr>
          <w:rFonts w:ascii="Arial" w:hAnsi="Arial" w:cs="Arial"/>
          <w:sz w:val="24"/>
          <w:szCs w:val="23"/>
        </w:rPr>
        <w:t xml:space="preserve"> </w:t>
      </w:r>
      <w:r w:rsidR="00C94768">
        <w:rPr>
          <w:rFonts w:ascii="Arial" w:hAnsi="Arial" w:cs="Arial"/>
          <w:sz w:val="24"/>
          <w:szCs w:val="23"/>
        </w:rPr>
        <w:t xml:space="preserve">en </w:t>
      </w:r>
      <w:r w:rsidR="008B3D08" w:rsidRPr="00545696">
        <w:rPr>
          <w:rFonts w:ascii="Arial" w:hAnsi="Arial" w:cs="Arial"/>
          <w:sz w:val="24"/>
          <w:szCs w:val="23"/>
        </w:rPr>
        <w:t>el apartado 1.4 del documento</w:t>
      </w:r>
      <w:r w:rsidR="00197C9F">
        <w:rPr>
          <w:rFonts w:ascii="Arial" w:hAnsi="Arial" w:cs="Arial"/>
          <w:sz w:val="24"/>
          <w:szCs w:val="23"/>
        </w:rPr>
        <w:t xml:space="preserve"> </w:t>
      </w:r>
      <w:r w:rsidR="00C94768">
        <w:rPr>
          <w:rFonts w:ascii="Arial" w:hAnsi="Arial" w:cs="Arial"/>
          <w:sz w:val="24"/>
          <w:szCs w:val="23"/>
        </w:rPr>
        <w:t xml:space="preserve">se </w:t>
      </w:r>
      <w:r w:rsidR="008B3D08" w:rsidRPr="00545696">
        <w:rPr>
          <w:rFonts w:ascii="Arial" w:hAnsi="Arial" w:cs="Arial"/>
          <w:sz w:val="24"/>
          <w:szCs w:val="23"/>
        </w:rPr>
        <w:t>define al Ente Contable como el conjunto de las siguientes entidades del sector público:</w:t>
      </w:r>
    </w:p>
    <w:p w:rsidR="008B3D08" w:rsidRPr="00545696" w:rsidRDefault="00197C9F" w:rsidP="00DC4C54">
      <w:pPr>
        <w:spacing w:after="0" w:line="360" w:lineRule="auto"/>
        <w:ind w:left="852" w:firstLine="708"/>
        <w:jc w:val="both"/>
        <w:rPr>
          <w:rFonts w:ascii="Arial" w:hAnsi="Arial" w:cs="Arial"/>
          <w:sz w:val="24"/>
          <w:szCs w:val="23"/>
        </w:rPr>
      </w:pPr>
      <w:r>
        <w:rPr>
          <w:rFonts w:ascii="Arial" w:hAnsi="Arial" w:cs="Arial"/>
          <w:sz w:val="24"/>
          <w:szCs w:val="23"/>
        </w:rPr>
        <w:t>A)</w:t>
      </w:r>
      <w:r w:rsidR="008B3D08" w:rsidRPr="00545696">
        <w:rPr>
          <w:rFonts w:ascii="Arial" w:hAnsi="Arial" w:cs="Arial"/>
          <w:sz w:val="24"/>
          <w:szCs w:val="23"/>
        </w:rPr>
        <w:t xml:space="preserve"> La Administración Central</w:t>
      </w:r>
    </w:p>
    <w:p w:rsidR="008B3D08" w:rsidRPr="00545696" w:rsidRDefault="00197C9F" w:rsidP="00DC4C54">
      <w:pPr>
        <w:spacing w:after="0" w:line="360" w:lineRule="auto"/>
        <w:ind w:left="852" w:firstLine="708"/>
        <w:jc w:val="both"/>
        <w:rPr>
          <w:rFonts w:ascii="Arial" w:hAnsi="Arial" w:cs="Arial"/>
          <w:sz w:val="24"/>
          <w:szCs w:val="23"/>
        </w:rPr>
      </w:pPr>
      <w:r>
        <w:rPr>
          <w:rFonts w:ascii="Arial" w:hAnsi="Arial" w:cs="Arial"/>
          <w:sz w:val="24"/>
          <w:szCs w:val="23"/>
        </w:rPr>
        <w:t xml:space="preserve">B) </w:t>
      </w:r>
      <w:r w:rsidR="008B3D08" w:rsidRPr="00545696">
        <w:rPr>
          <w:rFonts w:ascii="Arial" w:hAnsi="Arial" w:cs="Arial"/>
          <w:sz w:val="24"/>
          <w:szCs w:val="23"/>
        </w:rPr>
        <w:t>Los Organismos del Artículo 220 de la Constitución.</w:t>
      </w:r>
    </w:p>
    <w:p w:rsidR="00197C9F" w:rsidRDefault="00197C9F" w:rsidP="00DC4C54">
      <w:pPr>
        <w:spacing w:after="0" w:line="360" w:lineRule="auto"/>
        <w:ind w:left="852" w:firstLine="708"/>
        <w:jc w:val="both"/>
        <w:rPr>
          <w:rFonts w:ascii="Arial" w:hAnsi="Arial" w:cs="Arial"/>
          <w:sz w:val="24"/>
          <w:szCs w:val="23"/>
        </w:rPr>
      </w:pPr>
      <w:r>
        <w:rPr>
          <w:rFonts w:ascii="Arial" w:hAnsi="Arial" w:cs="Arial"/>
          <w:sz w:val="24"/>
          <w:szCs w:val="23"/>
        </w:rPr>
        <w:t>C)</w:t>
      </w:r>
      <w:r w:rsidR="008B3D08" w:rsidRPr="00545696">
        <w:rPr>
          <w:rFonts w:ascii="Arial" w:hAnsi="Arial" w:cs="Arial"/>
          <w:sz w:val="24"/>
          <w:szCs w:val="23"/>
        </w:rPr>
        <w:t xml:space="preserve"> El Poder Legislativo</w:t>
      </w:r>
    </w:p>
    <w:p w:rsidR="008B3D08" w:rsidRPr="006D45BF" w:rsidRDefault="006D45BF" w:rsidP="00DC4C54">
      <w:pPr>
        <w:tabs>
          <w:tab w:val="left" w:pos="0"/>
        </w:tabs>
        <w:spacing w:after="0" w:line="360" w:lineRule="auto"/>
        <w:ind w:firstLine="2552"/>
        <w:jc w:val="both"/>
        <w:rPr>
          <w:rFonts w:ascii="Arial" w:hAnsi="Arial" w:cs="Arial"/>
          <w:sz w:val="24"/>
          <w:szCs w:val="24"/>
        </w:rPr>
      </w:pPr>
      <w:r w:rsidRPr="00DC4C54">
        <w:rPr>
          <w:rFonts w:ascii="Arial" w:hAnsi="Arial" w:cs="Arial"/>
          <w:b/>
          <w:sz w:val="24"/>
          <w:szCs w:val="24"/>
        </w:rPr>
        <w:t>8)</w:t>
      </w:r>
      <w:r>
        <w:rPr>
          <w:rFonts w:ascii="Arial" w:hAnsi="Arial" w:cs="Arial"/>
          <w:sz w:val="24"/>
          <w:szCs w:val="24"/>
        </w:rPr>
        <w:t xml:space="preserve"> </w:t>
      </w:r>
      <w:r w:rsidR="00303EFA" w:rsidRPr="006D45BF">
        <w:rPr>
          <w:rFonts w:ascii="Arial" w:hAnsi="Arial" w:cs="Arial"/>
          <w:sz w:val="24"/>
          <w:szCs w:val="24"/>
        </w:rPr>
        <w:t xml:space="preserve">que en el </w:t>
      </w:r>
      <w:r w:rsidR="0040303C">
        <w:rPr>
          <w:rFonts w:ascii="Arial" w:hAnsi="Arial" w:cs="Arial"/>
          <w:sz w:val="24"/>
          <w:szCs w:val="24"/>
        </w:rPr>
        <w:t>C</w:t>
      </w:r>
      <w:r w:rsidR="00303EFA" w:rsidRPr="006D45BF">
        <w:rPr>
          <w:rFonts w:ascii="Arial" w:hAnsi="Arial" w:cs="Arial"/>
          <w:sz w:val="24"/>
          <w:szCs w:val="24"/>
        </w:rPr>
        <w:t>apítulo</w:t>
      </w:r>
      <w:r w:rsidR="0040303C">
        <w:rPr>
          <w:rFonts w:ascii="Arial" w:hAnsi="Arial" w:cs="Arial"/>
          <w:sz w:val="24"/>
          <w:szCs w:val="24"/>
        </w:rPr>
        <w:t xml:space="preserve"> 2</w:t>
      </w:r>
      <w:r w:rsidR="00303EFA" w:rsidRPr="006D45BF">
        <w:rPr>
          <w:rFonts w:ascii="Arial" w:hAnsi="Arial" w:cs="Arial"/>
          <w:sz w:val="24"/>
          <w:szCs w:val="24"/>
        </w:rPr>
        <w:t xml:space="preserve"> </w:t>
      </w:r>
      <w:r w:rsidR="0040303C">
        <w:rPr>
          <w:rFonts w:ascii="Arial" w:hAnsi="Arial" w:cs="Arial"/>
          <w:sz w:val="24"/>
          <w:szCs w:val="24"/>
        </w:rPr>
        <w:t>“</w:t>
      </w:r>
      <w:r w:rsidR="00303EFA" w:rsidRPr="006D45BF">
        <w:rPr>
          <w:rFonts w:ascii="Arial" w:hAnsi="Arial" w:cs="Arial"/>
          <w:sz w:val="24"/>
          <w:szCs w:val="24"/>
        </w:rPr>
        <w:t>C</w:t>
      </w:r>
      <w:r w:rsidR="008B3D08" w:rsidRPr="006D45BF">
        <w:rPr>
          <w:rFonts w:ascii="Arial" w:hAnsi="Arial" w:cs="Arial"/>
          <w:sz w:val="24"/>
          <w:szCs w:val="24"/>
        </w:rPr>
        <w:t xml:space="preserve">omponentes de los </w:t>
      </w:r>
      <w:r w:rsidR="00303EFA" w:rsidRPr="006D45BF">
        <w:rPr>
          <w:rFonts w:ascii="Arial" w:hAnsi="Arial" w:cs="Arial"/>
          <w:sz w:val="24"/>
          <w:szCs w:val="24"/>
        </w:rPr>
        <w:t>E</w:t>
      </w:r>
      <w:r w:rsidR="008B3D08" w:rsidRPr="006D45BF">
        <w:rPr>
          <w:rFonts w:ascii="Arial" w:hAnsi="Arial" w:cs="Arial"/>
          <w:sz w:val="24"/>
          <w:szCs w:val="24"/>
        </w:rPr>
        <w:t xml:space="preserve">stados </w:t>
      </w:r>
      <w:r w:rsidR="00303EFA" w:rsidRPr="006D45BF">
        <w:rPr>
          <w:rFonts w:ascii="Arial" w:hAnsi="Arial" w:cs="Arial"/>
          <w:sz w:val="24"/>
          <w:szCs w:val="24"/>
        </w:rPr>
        <w:t>F</w:t>
      </w:r>
      <w:r w:rsidR="008B3D08" w:rsidRPr="006D45BF">
        <w:rPr>
          <w:rFonts w:ascii="Arial" w:hAnsi="Arial" w:cs="Arial"/>
          <w:sz w:val="24"/>
          <w:szCs w:val="24"/>
        </w:rPr>
        <w:t>inancieros</w:t>
      </w:r>
      <w:r w:rsidR="0040303C">
        <w:rPr>
          <w:rFonts w:ascii="Arial" w:hAnsi="Arial" w:cs="Arial"/>
          <w:sz w:val="24"/>
          <w:szCs w:val="24"/>
        </w:rPr>
        <w:t>”</w:t>
      </w:r>
      <w:r w:rsidR="00303EFA" w:rsidRPr="006D45BF">
        <w:rPr>
          <w:rFonts w:ascii="Arial" w:hAnsi="Arial" w:cs="Arial"/>
          <w:sz w:val="24"/>
          <w:szCs w:val="24"/>
        </w:rPr>
        <w:t xml:space="preserve"> se </w:t>
      </w:r>
      <w:r w:rsidR="008B3D08" w:rsidRPr="006D45BF">
        <w:rPr>
          <w:rFonts w:ascii="Arial" w:hAnsi="Arial" w:cs="Arial"/>
          <w:sz w:val="24"/>
          <w:szCs w:val="24"/>
        </w:rPr>
        <w:t xml:space="preserve">definen </w:t>
      </w:r>
      <w:r w:rsidR="00303EFA" w:rsidRPr="006D45BF">
        <w:rPr>
          <w:rFonts w:ascii="Arial" w:hAnsi="Arial" w:cs="Arial"/>
          <w:sz w:val="24"/>
          <w:szCs w:val="24"/>
        </w:rPr>
        <w:t>los conceptos de activo, pasivo</w:t>
      </w:r>
      <w:r w:rsidR="008B3D08" w:rsidRPr="006D45BF">
        <w:rPr>
          <w:rFonts w:ascii="Arial" w:hAnsi="Arial" w:cs="Arial"/>
          <w:sz w:val="24"/>
          <w:szCs w:val="24"/>
        </w:rPr>
        <w:t>, patrimonio, ingresos, gastos, recursos presupues</w:t>
      </w:r>
      <w:r w:rsidR="00303EFA" w:rsidRPr="006D45BF">
        <w:rPr>
          <w:rFonts w:ascii="Arial" w:hAnsi="Arial" w:cs="Arial"/>
          <w:sz w:val="24"/>
          <w:szCs w:val="24"/>
        </w:rPr>
        <w:t>tarios y gastos presupuestarios;</w:t>
      </w:r>
    </w:p>
    <w:p w:rsidR="008B3D08" w:rsidRPr="00545696" w:rsidRDefault="006D45BF" w:rsidP="00DC4C54">
      <w:pPr>
        <w:tabs>
          <w:tab w:val="left" w:pos="0"/>
        </w:tabs>
        <w:spacing w:line="360" w:lineRule="auto"/>
        <w:ind w:firstLine="2552"/>
        <w:jc w:val="both"/>
        <w:rPr>
          <w:rFonts w:ascii="Arial" w:hAnsi="Arial" w:cs="Arial"/>
          <w:szCs w:val="23"/>
        </w:rPr>
      </w:pPr>
      <w:r w:rsidRPr="00DC4C54">
        <w:rPr>
          <w:rFonts w:ascii="Arial" w:hAnsi="Arial" w:cs="Arial"/>
          <w:b/>
          <w:sz w:val="24"/>
          <w:szCs w:val="24"/>
        </w:rPr>
        <w:t>9)</w:t>
      </w:r>
      <w:r>
        <w:rPr>
          <w:rFonts w:ascii="Arial" w:hAnsi="Arial" w:cs="Arial"/>
          <w:sz w:val="24"/>
          <w:szCs w:val="24"/>
        </w:rPr>
        <w:t xml:space="preserve"> </w:t>
      </w:r>
      <w:r w:rsidR="00303EFA" w:rsidRPr="006D45BF">
        <w:rPr>
          <w:rFonts w:ascii="Arial" w:hAnsi="Arial" w:cs="Arial"/>
          <w:sz w:val="24"/>
          <w:szCs w:val="24"/>
        </w:rPr>
        <w:t>que en dicho capítulo se establece como estados financieros a los siguientes:</w:t>
      </w:r>
    </w:p>
    <w:p w:rsidR="008B3D08" w:rsidRPr="00545696" w:rsidRDefault="00303EFA" w:rsidP="00D70258">
      <w:pPr>
        <w:pStyle w:val="Default"/>
        <w:spacing w:line="360" w:lineRule="auto"/>
        <w:ind w:left="864" w:firstLine="696"/>
        <w:jc w:val="both"/>
        <w:rPr>
          <w:rFonts w:ascii="Arial" w:hAnsi="Arial" w:cs="Arial"/>
          <w:szCs w:val="23"/>
        </w:rPr>
      </w:pPr>
      <w:r>
        <w:rPr>
          <w:rFonts w:ascii="Arial" w:hAnsi="Arial" w:cs="Arial"/>
          <w:szCs w:val="23"/>
        </w:rPr>
        <w:t>A)</w:t>
      </w:r>
      <w:r w:rsidR="008B3D08" w:rsidRPr="00545696">
        <w:rPr>
          <w:rFonts w:ascii="Arial" w:hAnsi="Arial" w:cs="Arial"/>
          <w:szCs w:val="23"/>
        </w:rPr>
        <w:t xml:space="preserve"> Estado de Situación Patrimonial</w:t>
      </w:r>
      <w:r>
        <w:rPr>
          <w:rFonts w:ascii="Arial" w:hAnsi="Arial" w:cs="Arial"/>
          <w:szCs w:val="23"/>
        </w:rPr>
        <w:t>.</w:t>
      </w:r>
    </w:p>
    <w:p w:rsidR="008B3D08" w:rsidRPr="00545696" w:rsidRDefault="00303EFA" w:rsidP="00D70258">
      <w:pPr>
        <w:pStyle w:val="Default"/>
        <w:spacing w:line="360" w:lineRule="auto"/>
        <w:ind w:left="864" w:firstLine="696"/>
        <w:jc w:val="both"/>
        <w:rPr>
          <w:rFonts w:ascii="Arial" w:hAnsi="Arial" w:cs="Arial"/>
          <w:szCs w:val="23"/>
        </w:rPr>
      </w:pPr>
      <w:r>
        <w:rPr>
          <w:rFonts w:ascii="Arial" w:hAnsi="Arial" w:cs="Arial"/>
          <w:szCs w:val="23"/>
        </w:rPr>
        <w:t>B)</w:t>
      </w:r>
      <w:r w:rsidR="008B3D08" w:rsidRPr="00545696">
        <w:rPr>
          <w:rFonts w:ascii="Arial" w:hAnsi="Arial" w:cs="Arial"/>
          <w:szCs w:val="23"/>
        </w:rPr>
        <w:t xml:space="preserve"> Estado de Rendimiento Financiero</w:t>
      </w:r>
      <w:r>
        <w:rPr>
          <w:rFonts w:ascii="Arial" w:hAnsi="Arial" w:cs="Arial"/>
          <w:szCs w:val="23"/>
        </w:rPr>
        <w:t>.</w:t>
      </w:r>
    </w:p>
    <w:p w:rsidR="008B3D08" w:rsidRPr="00545696" w:rsidRDefault="00303EFA" w:rsidP="00D70258">
      <w:pPr>
        <w:pStyle w:val="Default"/>
        <w:spacing w:line="360" w:lineRule="auto"/>
        <w:ind w:left="864" w:firstLine="696"/>
        <w:jc w:val="both"/>
        <w:rPr>
          <w:rFonts w:ascii="Arial" w:hAnsi="Arial" w:cs="Arial"/>
          <w:szCs w:val="23"/>
        </w:rPr>
      </w:pPr>
      <w:r>
        <w:rPr>
          <w:rFonts w:ascii="Arial" w:hAnsi="Arial" w:cs="Arial"/>
          <w:szCs w:val="23"/>
        </w:rPr>
        <w:t>C)</w:t>
      </w:r>
      <w:r w:rsidR="008B3D08" w:rsidRPr="00545696">
        <w:rPr>
          <w:rFonts w:ascii="Arial" w:hAnsi="Arial" w:cs="Arial"/>
          <w:szCs w:val="23"/>
        </w:rPr>
        <w:t xml:space="preserve"> Estado de Cambios en el Patrimonio</w:t>
      </w:r>
      <w:r>
        <w:rPr>
          <w:rFonts w:ascii="Arial" w:hAnsi="Arial" w:cs="Arial"/>
          <w:szCs w:val="23"/>
        </w:rPr>
        <w:t>.</w:t>
      </w:r>
    </w:p>
    <w:p w:rsidR="008B3D08" w:rsidRPr="00545696" w:rsidRDefault="00303EFA" w:rsidP="00D70258">
      <w:pPr>
        <w:pStyle w:val="Default"/>
        <w:spacing w:line="360" w:lineRule="auto"/>
        <w:ind w:left="864" w:firstLine="696"/>
        <w:jc w:val="both"/>
        <w:rPr>
          <w:rFonts w:ascii="Arial" w:hAnsi="Arial" w:cs="Arial"/>
          <w:szCs w:val="23"/>
        </w:rPr>
      </w:pPr>
      <w:r>
        <w:rPr>
          <w:rFonts w:ascii="Arial" w:hAnsi="Arial" w:cs="Arial"/>
          <w:szCs w:val="23"/>
        </w:rPr>
        <w:t>D)</w:t>
      </w:r>
      <w:r w:rsidR="008B3D08" w:rsidRPr="00545696">
        <w:rPr>
          <w:rFonts w:ascii="Arial" w:hAnsi="Arial" w:cs="Arial"/>
          <w:szCs w:val="23"/>
        </w:rPr>
        <w:t xml:space="preserve"> Estado de Flujos de Efectivo</w:t>
      </w:r>
      <w:r>
        <w:rPr>
          <w:rFonts w:ascii="Arial" w:hAnsi="Arial" w:cs="Arial"/>
          <w:szCs w:val="23"/>
        </w:rPr>
        <w:t>.</w:t>
      </w:r>
    </w:p>
    <w:p w:rsidR="008B3D08" w:rsidRPr="00545696" w:rsidRDefault="00303EFA" w:rsidP="00D70258">
      <w:pPr>
        <w:pStyle w:val="Default"/>
        <w:spacing w:line="360" w:lineRule="auto"/>
        <w:ind w:left="864" w:firstLine="696"/>
        <w:jc w:val="both"/>
        <w:rPr>
          <w:rFonts w:ascii="Arial" w:hAnsi="Arial" w:cs="Arial"/>
          <w:szCs w:val="23"/>
        </w:rPr>
      </w:pPr>
      <w:r>
        <w:rPr>
          <w:rFonts w:ascii="Arial" w:hAnsi="Arial" w:cs="Arial"/>
          <w:szCs w:val="23"/>
        </w:rPr>
        <w:t>E)</w:t>
      </w:r>
      <w:r w:rsidR="008B3D08" w:rsidRPr="00545696">
        <w:rPr>
          <w:rFonts w:ascii="Arial" w:hAnsi="Arial" w:cs="Arial"/>
          <w:szCs w:val="23"/>
        </w:rPr>
        <w:t xml:space="preserve"> Notas y Anexos</w:t>
      </w:r>
      <w:r>
        <w:rPr>
          <w:rFonts w:ascii="Arial" w:hAnsi="Arial" w:cs="Arial"/>
          <w:szCs w:val="23"/>
        </w:rPr>
        <w:t>.</w:t>
      </w:r>
    </w:p>
    <w:p w:rsidR="008B3D08" w:rsidRDefault="00303EFA" w:rsidP="00D70258">
      <w:pPr>
        <w:pStyle w:val="Default"/>
        <w:spacing w:line="360" w:lineRule="auto"/>
        <w:ind w:left="864" w:firstLine="696"/>
        <w:jc w:val="both"/>
        <w:rPr>
          <w:rFonts w:ascii="Arial" w:hAnsi="Arial" w:cs="Arial"/>
          <w:szCs w:val="23"/>
        </w:rPr>
      </w:pPr>
      <w:r>
        <w:rPr>
          <w:rFonts w:ascii="Arial" w:hAnsi="Arial" w:cs="Arial"/>
          <w:szCs w:val="23"/>
        </w:rPr>
        <w:t>F)</w:t>
      </w:r>
      <w:r w:rsidR="008B3D08" w:rsidRPr="00545696">
        <w:rPr>
          <w:rFonts w:ascii="Arial" w:hAnsi="Arial" w:cs="Arial"/>
          <w:szCs w:val="23"/>
        </w:rPr>
        <w:t xml:space="preserve"> Balance de Ejecución Presupuestal</w:t>
      </w:r>
      <w:r>
        <w:rPr>
          <w:rFonts w:ascii="Arial" w:hAnsi="Arial" w:cs="Arial"/>
          <w:szCs w:val="23"/>
        </w:rPr>
        <w:t>.</w:t>
      </w:r>
    </w:p>
    <w:p w:rsidR="00DA0998" w:rsidRPr="006D45BF" w:rsidRDefault="006D45BF" w:rsidP="00DC4C54">
      <w:pPr>
        <w:tabs>
          <w:tab w:val="left" w:pos="0"/>
        </w:tabs>
        <w:spacing w:after="0" w:line="360" w:lineRule="auto"/>
        <w:ind w:firstLine="2552"/>
        <w:jc w:val="both"/>
        <w:rPr>
          <w:rFonts w:ascii="Arial" w:hAnsi="Arial" w:cs="Arial"/>
          <w:sz w:val="24"/>
          <w:szCs w:val="24"/>
        </w:rPr>
      </w:pPr>
      <w:r w:rsidRPr="00DC4C54">
        <w:rPr>
          <w:rFonts w:ascii="Arial" w:hAnsi="Arial" w:cs="Arial"/>
          <w:b/>
          <w:sz w:val="24"/>
          <w:szCs w:val="24"/>
        </w:rPr>
        <w:t>10)</w:t>
      </w:r>
      <w:r>
        <w:rPr>
          <w:rFonts w:ascii="Arial" w:hAnsi="Arial" w:cs="Arial"/>
          <w:szCs w:val="23"/>
        </w:rPr>
        <w:t xml:space="preserve"> </w:t>
      </w:r>
      <w:r w:rsidR="00062782" w:rsidRPr="006D45BF">
        <w:rPr>
          <w:rFonts w:ascii="Arial" w:hAnsi="Arial" w:cs="Arial"/>
          <w:sz w:val="24"/>
          <w:szCs w:val="24"/>
        </w:rPr>
        <w:t xml:space="preserve">que en el </w:t>
      </w:r>
      <w:r w:rsidR="0040303C">
        <w:rPr>
          <w:rFonts w:ascii="Arial" w:hAnsi="Arial" w:cs="Arial"/>
          <w:sz w:val="24"/>
          <w:szCs w:val="24"/>
        </w:rPr>
        <w:t>C</w:t>
      </w:r>
      <w:r w:rsidR="00062782" w:rsidRPr="006D45BF">
        <w:rPr>
          <w:rFonts w:ascii="Arial" w:hAnsi="Arial" w:cs="Arial"/>
          <w:sz w:val="24"/>
          <w:szCs w:val="24"/>
        </w:rPr>
        <w:t>apítulo</w:t>
      </w:r>
      <w:r w:rsidR="0040303C">
        <w:rPr>
          <w:rFonts w:ascii="Arial" w:hAnsi="Arial" w:cs="Arial"/>
          <w:sz w:val="24"/>
          <w:szCs w:val="24"/>
        </w:rPr>
        <w:t xml:space="preserve"> 3</w:t>
      </w:r>
      <w:r w:rsidR="00062782" w:rsidRPr="006D45BF">
        <w:rPr>
          <w:rFonts w:ascii="Arial" w:hAnsi="Arial" w:cs="Arial"/>
          <w:sz w:val="24"/>
          <w:szCs w:val="24"/>
        </w:rPr>
        <w:t xml:space="preserve"> </w:t>
      </w:r>
      <w:r w:rsidR="0059508E">
        <w:rPr>
          <w:rFonts w:ascii="Arial" w:hAnsi="Arial" w:cs="Arial"/>
          <w:sz w:val="24"/>
          <w:szCs w:val="24"/>
        </w:rPr>
        <w:t>“</w:t>
      </w:r>
      <w:r w:rsidR="008B3D08" w:rsidRPr="006D45BF">
        <w:rPr>
          <w:rFonts w:ascii="Arial" w:hAnsi="Arial" w:cs="Arial"/>
          <w:sz w:val="24"/>
          <w:szCs w:val="24"/>
        </w:rPr>
        <w:t>Criterios de reconocimiento y medición de los estados financieros</w:t>
      </w:r>
      <w:r w:rsidR="0059508E">
        <w:rPr>
          <w:rFonts w:ascii="Arial" w:hAnsi="Arial" w:cs="Arial"/>
          <w:sz w:val="24"/>
          <w:szCs w:val="24"/>
        </w:rPr>
        <w:t>”</w:t>
      </w:r>
      <w:r>
        <w:rPr>
          <w:rFonts w:ascii="Arial" w:hAnsi="Arial" w:cs="Arial"/>
          <w:sz w:val="24"/>
          <w:szCs w:val="24"/>
        </w:rPr>
        <w:t xml:space="preserve"> </w:t>
      </w:r>
      <w:r w:rsidR="008B3D08" w:rsidRPr="006D45BF">
        <w:rPr>
          <w:rFonts w:ascii="Arial" w:hAnsi="Arial" w:cs="Arial"/>
          <w:sz w:val="24"/>
          <w:szCs w:val="24"/>
        </w:rPr>
        <w:t xml:space="preserve">se definen los criterios </w:t>
      </w:r>
      <w:r>
        <w:rPr>
          <w:rFonts w:ascii="Arial" w:hAnsi="Arial" w:cs="Arial"/>
          <w:sz w:val="24"/>
          <w:szCs w:val="24"/>
        </w:rPr>
        <w:t xml:space="preserve">de reconocimiento </w:t>
      </w:r>
      <w:r>
        <w:rPr>
          <w:rFonts w:ascii="Arial" w:hAnsi="Arial" w:cs="Arial"/>
          <w:sz w:val="24"/>
          <w:szCs w:val="24"/>
        </w:rPr>
        <w:lastRenderedPageBreak/>
        <w:t xml:space="preserve">de </w:t>
      </w:r>
      <w:r w:rsidR="008B3D08" w:rsidRPr="006D45BF">
        <w:rPr>
          <w:rFonts w:ascii="Arial" w:hAnsi="Arial" w:cs="Arial"/>
          <w:sz w:val="24"/>
          <w:szCs w:val="24"/>
        </w:rPr>
        <w:t>las partidas correspondientes a la definición</w:t>
      </w:r>
      <w:r>
        <w:rPr>
          <w:rFonts w:ascii="Arial" w:hAnsi="Arial" w:cs="Arial"/>
          <w:sz w:val="24"/>
          <w:szCs w:val="24"/>
        </w:rPr>
        <w:t xml:space="preserve"> de activos, pasivos, ingresos,</w:t>
      </w:r>
      <w:r w:rsidR="008B3D08" w:rsidRPr="006D45BF">
        <w:rPr>
          <w:rFonts w:ascii="Arial" w:hAnsi="Arial" w:cs="Arial"/>
          <w:sz w:val="24"/>
          <w:szCs w:val="24"/>
        </w:rPr>
        <w:t xml:space="preserve"> gastos, </w:t>
      </w:r>
      <w:r>
        <w:rPr>
          <w:rFonts w:ascii="Arial" w:hAnsi="Arial" w:cs="Arial"/>
          <w:sz w:val="24"/>
          <w:szCs w:val="24"/>
        </w:rPr>
        <w:t xml:space="preserve">ingresos </w:t>
      </w:r>
      <w:r w:rsidR="008B3D08" w:rsidRPr="006D45BF">
        <w:rPr>
          <w:rFonts w:ascii="Arial" w:hAnsi="Arial" w:cs="Arial"/>
          <w:sz w:val="24"/>
          <w:szCs w:val="24"/>
        </w:rPr>
        <w:t>presupues</w:t>
      </w:r>
      <w:r w:rsidR="00062782" w:rsidRPr="006D45BF">
        <w:rPr>
          <w:rFonts w:ascii="Arial" w:hAnsi="Arial" w:cs="Arial"/>
          <w:sz w:val="24"/>
          <w:szCs w:val="24"/>
        </w:rPr>
        <w:t>tarios y gastos presupuestarios;</w:t>
      </w:r>
    </w:p>
    <w:p w:rsidR="0056469C" w:rsidRPr="006D45BF" w:rsidRDefault="006D45BF" w:rsidP="00DC4C54">
      <w:pPr>
        <w:tabs>
          <w:tab w:val="left" w:pos="0"/>
        </w:tabs>
        <w:spacing w:after="0" w:line="360" w:lineRule="auto"/>
        <w:ind w:firstLine="2552"/>
        <w:jc w:val="both"/>
        <w:rPr>
          <w:rFonts w:ascii="Arial" w:hAnsi="Arial" w:cs="Arial"/>
          <w:sz w:val="24"/>
          <w:szCs w:val="24"/>
        </w:rPr>
      </w:pPr>
      <w:r w:rsidRPr="00DC4C54">
        <w:rPr>
          <w:rFonts w:ascii="Arial" w:hAnsi="Arial" w:cs="Arial"/>
          <w:b/>
          <w:sz w:val="24"/>
          <w:szCs w:val="24"/>
        </w:rPr>
        <w:t>11)</w:t>
      </w:r>
      <w:r w:rsidRPr="006D45BF">
        <w:rPr>
          <w:rFonts w:ascii="Arial" w:hAnsi="Arial" w:cs="Arial"/>
          <w:sz w:val="24"/>
          <w:szCs w:val="24"/>
        </w:rPr>
        <w:t xml:space="preserve"> que d</w:t>
      </w:r>
      <w:r w:rsidR="0056469C" w:rsidRPr="006D45BF">
        <w:rPr>
          <w:rFonts w:ascii="Arial" w:hAnsi="Arial" w:cs="Arial"/>
          <w:sz w:val="24"/>
          <w:szCs w:val="24"/>
        </w:rPr>
        <w:t>esde la vigencia de</w:t>
      </w:r>
      <w:r>
        <w:rPr>
          <w:rFonts w:ascii="Arial" w:hAnsi="Arial" w:cs="Arial"/>
          <w:sz w:val="24"/>
          <w:szCs w:val="24"/>
        </w:rPr>
        <w:t xml:space="preserve"> </w:t>
      </w:r>
      <w:r w:rsidR="0056469C" w:rsidRPr="006D45BF">
        <w:rPr>
          <w:rFonts w:ascii="Arial" w:hAnsi="Arial" w:cs="Arial"/>
          <w:sz w:val="24"/>
          <w:szCs w:val="24"/>
        </w:rPr>
        <w:t>la Ordenanza N°</w:t>
      </w:r>
      <w:r w:rsidR="0059508E">
        <w:rPr>
          <w:rFonts w:ascii="Arial" w:hAnsi="Arial" w:cs="Arial"/>
          <w:sz w:val="24"/>
          <w:szCs w:val="24"/>
        </w:rPr>
        <w:t xml:space="preserve"> </w:t>
      </w:r>
      <w:r w:rsidR="0056469C" w:rsidRPr="006D45BF">
        <w:rPr>
          <w:rFonts w:ascii="Arial" w:hAnsi="Arial" w:cs="Arial"/>
          <w:sz w:val="24"/>
          <w:szCs w:val="24"/>
        </w:rPr>
        <w:t>81</w:t>
      </w:r>
      <w:r w:rsidR="0059508E">
        <w:rPr>
          <w:rFonts w:ascii="Arial" w:hAnsi="Arial" w:cs="Arial"/>
          <w:sz w:val="24"/>
          <w:szCs w:val="24"/>
        </w:rPr>
        <w:t xml:space="preserve"> </w:t>
      </w:r>
      <w:r>
        <w:rPr>
          <w:rFonts w:ascii="Arial" w:hAnsi="Arial" w:cs="Arial"/>
          <w:sz w:val="24"/>
          <w:szCs w:val="24"/>
        </w:rPr>
        <w:t>del Tribunal de Cuentas</w:t>
      </w:r>
      <w:r w:rsidR="0056469C" w:rsidRPr="006D45BF">
        <w:rPr>
          <w:rFonts w:ascii="Arial" w:hAnsi="Arial" w:cs="Arial"/>
          <w:sz w:val="24"/>
          <w:szCs w:val="24"/>
        </w:rPr>
        <w:t xml:space="preserve"> para los ejercicios iniciados el 1° de enero de 2003, la CGN no ha presentado los estados financieros del Estado</w:t>
      </w:r>
      <w:r>
        <w:rPr>
          <w:rFonts w:ascii="Arial" w:hAnsi="Arial" w:cs="Arial"/>
          <w:sz w:val="24"/>
          <w:szCs w:val="24"/>
        </w:rPr>
        <w:t xml:space="preserve"> persona pública mayor, </w:t>
      </w:r>
      <w:r w:rsidR="0056469C" w:rsidRPr="006D45BF">
        <w:rPr>
          <w:rFonts w:ascii="Arial" w:hAnsi="Arial" w:cs="Arial"/>
          <w:sz w:val="24"/>
          <w:szCs w:val="24"/>
        </w:rPr>
        <w:t xml:space="preserve">situación </w:t>
      </w:r>
      <w:r>
        <w:rPr>
          <w:rFonts w:ascii="Arial" w:hAnsi="Arial" w:cs="Arial"/>
          <w:sz w:val="24"/>
          <w:szCs w:val="24"/>
        </w:rPr>
        <w:t xml:space="preserve">que </w:t>
      </w:r>
      <w:r w:rsidR="0056469C" w:rsidRPr="006D45BF">
        <w:rPr>
          <w:rFonts w:ascii="Arial" w:hAnsi="Arial" w:cs="Arial"/>
          <w:sz w:val="24"/>
          <w:szCs w:val="24"/>
        </w:rPr>
        <w:t xml:space="preserve">se expresa en los Dictámenes del Tribunal de Cuentas </w:t>
      </w:r>
      <w:r w:rsidR="009906D2">
        <w:rPr>
          <w:rFonts w:ascii="Arial" w:hAnsi="Arial" w:cs="Arial"/>
          <w:sz w:val="24"/>
          <w:szCs w:val="24"/>
        </w:rPr>
        <w:t>respecto de los</w:t>
      </w:r>
      <w:r w:rsidR="009906D2" w:rsidRPr="006D45BF">
        <w:rPr>
          <w:rFonts w:ascii="Arial" w:hAnsi="Arial" w:cs="Arial"/>
          <w:sz w:val="24"/>
          <w:szCs w:val="24"/>
        </w:rPr>
        <w:t xml:space="preserve"> </w:t>
      </w:r>
      <w:r w:rsidR="0056469C" w:rsidRPr="006D45BF">
        <w:rPr>
          <w:rFonts w:ascii="Arial" w:hAnsi="Arial" w:cs="Arial"/>
          <w:sz w:val="24"/>
          <w:szCs w:val="24"/>
        </w:rPr>
        <w:t>Balance</w:t>
      </w:r>
      <w:r w:rsidR="009906D2">
        <w:rPr>
          <w:rFonts w:ascii="Arial" w:hAnsi="Arial" w:cs="Arial"/>
          <w:sz w:val="24"/>
          <w:szCs w:val="24"/>
        </w:rPr>
        <w:t>s</w:t>
      </w:r>
      <w:r w:rsidR="0056469C" w:rsidRPr="006D45BF">
        <w:rPr>
          <w:rFonts w:ascii="Arial" w:hAnsi="Arial" w:cs="Arial"/>
          <w:sz w:val="24"/>
          <w:szCs w:val="24"/>
        </w:rPr>
        <w:t xml:space="preserve"> de Ejecución Presupuestal</w:t>
      </w:r>
      <w:r w:rsidR="009906D2">
        <w:rPr>
          <w:rFonts w:ascii="Arial" w:hAnsi="Arial" w:cs="Arial"/>
          <w:sz w:val="24"/>
          <w:szCs w:val="24"/>
        </w:rPr>
        <w:t xml:space="preserve"> del Gobierno Central</w:t>
      </w:r>
      <w:r w:rsidR="0056469C" w:rsidRPr="006D45BF">
        <w:rPr>
          <w:rFonts w:ascii="Arial" w:hAnsi="Arial" w:cs="Arial"/>
          <w:sz w:val="24"/>
          <w:szCs w:val="24"/>
        </w:rPr>
        <w:t>, como incump</w:t>
      </w:r>
      <w:r>
        <w:rPr>
          <w:rFonts w:ascii="Arial" w:hAnsi="Arial" w:cs="Arial"/>
          <w:sz w:val="24"/>
          <w:szCs w:val="24"/>
        </w:rPr>
        <w:t>limiento a la normativa vigente;</w:t>
      </w:r>
    </w:p>
    <w:p w:rsidR="00F3600C" w:rsidRDefault="00DC4C54" w:rsidP="00DC4C54">
      <w:pPr>
        <w:tabs>
          <w:tab w:val="left" w:pos="1985"/>
        </w:tabs>
        <w:spacing w:after="0" w:line="360" w:lineRule="auto"/>
        <w:ind w:firstLine="709"/>
        <w:jc w:val="both"/>
        <w:rPr>
          <w:rFonts w:ascii="Arial" w:hAnsi="Arial" w:cs="Arial"/>
          <w:sz w:val="24"/>
          <w:lang w:val="es-ES"/>
        </w:rPr>
      </w:pPr>
      <w:r>
        <w:rPr>
          <w:rFonts w:ascii="Arial" w:hAnsi="Arial" w:cs="Arial"/>
          <w:b/>
          <w:sz w:val="24"/>
          <w:lang w:val="es-ES"/>
        </w:rPr>
        <w:t>CONSIDERANDO:</w:t>
      </w:r>
      <w:r w:rsidR="00062782">
        <w:rPr>
          <w:rFonts w:ascii="Arial" w:hAnsi="Arial" w:cs="Arial"/>
          <w:b/>
          <w:sz w:val="24"/>
          <w:lang w:val="es-ES"/>
        </w:rPr>
        <w:t xml:space="preserve"> </w:t>
      </w:r>
      <w:r w:rsidR="00062782" w:rsidRPr="00DC4C54">
        <w:rPr>
          <w:rFonts w:ascii="Arial" w:hAnsi="Arial" w:cs="Arial"/>
          <w:b/>
          <w:sz w:val="24"/>
          <w:lang w:val="es-ES"/>
        </w:rPr>
        <w:t>1)</w:t>
      </w:r>
      <w:r w:rsidR="00062782">
        <w:rPr>
          <w:rFonts w:ascii="Arial" w:hAnsi="Arial" w:cs="Arial"/>
          <w:b/>
          <w:sz w:val="24"/>
          <w:lang w:val="es-ES"/>
        </w:rPr>
        <w:t xml:space="preserve"> </w:t>
      </w:r>
      <w:r w:rsidR="00062782" w:rsidRPr="00062782">
        <w:rPr>
          <w:rFonts w:ascii="Arial" w:hAnsi="Arial" w:cs="Arial"/>
          <w:sz w:val="24"/>
          <w:lang w:val="es-ES"/>
        </w:rPr>
        <w:t>que</w:t>
      </w:r>
      <w:r w:rsidR="00062782">
        <w:rPr>
          <w:rFonts w:ascii="Arial" w:hAnsi="Arial" w:cs="Arial"/>
          <w:b/>
          <w:sz w:val="24"/>
          <w:lang w:val="es-ES"/>
        </w:rPr>
        <w:t xml:space="preserve"> </w:t>
      </w:r>
      <w:r w:rsidR="000A1D7D" w:rsidRPr="000A1D7D">
        <w:rPr>
          <w:rFonts w:ascii="Arial" w:hAnsi="Arial" w:cs="Arial"/>
          <w:sz w:val="24"/>
          <w:lang w:val="es-ES"/>
        </w:rPr>
        <w:t>e</w:t>
      </w:r>
      <w:r w:rsidR="00F3600C" w:rsidRPr="000A1D7D">
        <w:rPr>
          <w:rFonts w:ascii="Arial" w:hAnsi="Arial" w:cs="Arial"/>
          <w:sz w:val="24"/>
          <w:lang w:val="es-ES"/>
        </w:rPr>
        <w:t>l</w:t>
      </w:r>
      <w:r w:rsidR="00F3600C" w:rsidRPr="00545696">
        <w:rPr>
          <w:rFonts w:ascii="Arial" w:hAnsi="Arial" w:cs="Arial"/>
          <w:sz w:val="24"/>
          <w:lang w:val="es-ES"/>
        </w:rPr>
        <w:t xml:space="preserve"> Artículo 191 de la Constitución establece que “Los Entes Autónomos, los Servicios Descentralizados y, en general, todas las administraciones autónomas con patrimonio propio, cualquiera sea su naturaleza jurídica, publicarán periódicamente estados que reflejen claramente su vida financiera. La ley fijará la norma y número anual de los mismos y todos deberán llevar la </w:t>
      </w:r>
      <w:proofErr w:type="spellStart"/>
      <w:r w:rsidR="00F3600C" w:rsidRPr="00545696">
        <w:rPr>
          <w:rFonts w:ascii="Arial" w:hAnsi="Arial" w:cs="Arial"/>
          <w:sz w:val="24"/>
          <w:lang w:val="es-ES"/>
        </w:rPr>
        <w:t>vis</w:t>
      </w:r>
      <w:r w:rsidR="000A1D7D">
        <w:rPr>
          <w:rFonts w:ascii="Arial" w:hAnsi="Arial" w:cs="Arial"/>
          <w:sz w:val="24"/>
          <w:lang w:val="es-ES"/>
        </w:rPr>
        <w:t>ación</w:t>
      </w:r>
      <w:proofErr w:type="spellEnd"/>
      <w:r w:rsidR="000A1D7D">
        <w:rPr>
          <w:rFonts w:ascii="Arial" w:hAnsi="Arial" w:cs="Arial"/>
          <w:sz w:val="24"/>
          <w:lang w:val="es-ES"/>
        </w:rPr>
        <w:t xml:space="preserve"> del Tribunal de Cuentas.”;</w:t>
      </w:r>
    </w:p>
    <w:p w:rsidR="001D0230" w:rsidRPr="00545696" w:rsidRDefault="000A1D7D" w:rsidP="00DC4C54">
      <w:pPr>
        <w:spacing w:after="0" w:line="360" w:lineRule="auto"/>
        <w:ind w:firstLine="2835"/>
        <w:jc w:val="both"/>
        <w:rPr>
          <w:rFonts w:ascii="Arial" w:hAnsi="Arial" w:cs="Arial"/>
          <w:sz w:val="24"/>
          <w:lang w:val="es-ES"/>
        </w:rPr>
      </w:pPr>
      <w:r w:rsidRPr="00DC4C54">
        <w:rPr>
          <w:rFonts w:ascii="Arial" w:hAnsi="Arial" w:cs="Arial"/>
          <w:b/>
          <w:sz w:val="24"/>
          <w:lang w:val="es-ES"/>
        </w:rPr>
        <w:t>2)</w:t>
      </w:r>
      <w:r>
        <w:rPr>
          <w:rFonts w:ascii="Arial" w:hAnsi="Arial" w:cs="Arial"/>
          <w:sz w:val="24"/>
          <w:lang w:val="es-ES"/>
        </w:rPr>
        <w:t xml:space="preserve"> que el</w:t>
      </w:r>
      <w:r w:rsidR="00F3600C" w:rsidRPr="00545696">
        <w:rPr>
          <w:rFonts w:ascii="Arial" w:hAnsi="Arial" w:cs="Arial"/>
          <w:sz w:val="24"/>
          <w:lang w:val="es-ES"/>
        </w:rPr>
        <w:t xml:space="preserve"> TOCAF en su Título III</w:t>
      </w:r>
      <w:r w:rsidR="006D45BF">
        <w:rPr>
          <w:rFonts w:ascii="Arial" w:hAnsi="Arial" w:cs="Arial"/>
          <w:sz w:val="24"/>
          <w:lang w:val="es-ES"/>
        </w:rPr>
        <w:t>,</w:t>
      </w:r>
      <w:r w:rsidR="00F3600C" w:rsidRPr="00545696">
        <w:rPr>
          <w:rFonts w:ascii="Arial" w:hAnsi="Arial" w:cs="Arial"/>
          <w:sz w:val="24"/>
          <w:lang w:val="es-ES"/>
        </w:rPr>
        <w:t xml:space="preserve"> del Registro y Contralor de las Operaciones</w:t>
      </w:r>
      <w:r w:rsidR="006D45BF">
        <w:rPr>
          <w:rFonts w:ascii="Arial" w:hAnsi="Arial" w:cs="Arial"/>
          <w:sz w:val="24"/>
          <w:lang w:val="es-ES"/>
        </w:rPr>
        <w:t>,</w:t>
      </w:r>
      <w:r w:rsidR="00F3600C" w:rsidRPr="00545696">
        <w:rPr>
          <w:rFonts w:ascii="Arial" w:hAnsi="Arial" w:cs="Arial"/>
          <w:sz w:val="24"/>
          <w:lang w:val="es-ES"/>
        </w:rPr>
        <w:t xml:space="preserve"> </w:t>
      </w:r>
      <w:r w:rsidR="001D0230" w:rsidRPr="00545696">
        <w:rPr>
          <w:rFonts w:ascii="Arial" w:hAnsi="Arial" w:cs="Arial"/>
          <w:sz w:val="24"/>
          <w:lang w:val="es-ES"/>
        </w:rPr>
        <w:t>establece:</w:t>
      </w:r>
    </w:p>
    <w:p w:rsidR="008430B7" w:rsidRPr="00DC4C54" w:rsidRDefault="001D0230" w:rsidP="00DC4C54">
      <w:pPr>
        <w:pStyle w:val="Prrafodelista"/>
        <w:spacing w:after="0" w:line="360" w:lineRule="auto"/>
        <w:ind w:left="567" w:hanging="567"/>
        <w:jc w:val="both"/>
        <w:rPr>
          <w:rFonts w:ascii="Arial" w:hAnsi="Arial" w:cs="Arial"/>
          <w:sz w:val="24"/>
          <w:lang w:val="es-ES"/>
        </w:rPr>
      </w:pPr>
      <w:r w:rsidRPr="00DC4C54">
        <w:rPr>
          <w:rFonts w:ascii="Arial" w:hAnsi="Arial" w:cs="Arial"/>
          <w:b/>
          <w:sz w:val="24"/>
          <w:lang w:val="es-ES"/>
        </w:rPr>
        <w:t>2.1</w:t>
      </w:r>
      <w:r w:rsidR="00DC4C54" w:rsidRPr="00DC4C54">
        <w:rPr>
          <w:rFonts w:ascii="Arial" w:hAnsi="Arial" w:cs="Arial"/>
          <w:b/>
          <w:sz w:val="24"/>
          <w:lang w:val="es-ES"/>
        </w:rPr>
        <w:t>)</w:t>
      </w:r>
      <w:r w:rsidRPr="00545696">
        <w:rPr>
          <w:rFonts w:ascii="Arial" w:hAnsi="Arial" w:cs="Arial"/>
          <w:sz w:val="24"/>
          <w:lang w:val="es-ES"/>
        </w:rPr>
        <w:t xml:space="preserve"> </w:t>
      </w:r>
      <w:r w:rsidRPr="00DC4C54">
        <w:rPr>
          <w:rFonts w:ascii="Arial" w:hAnsi="Arial" w:cs="Arial"/>
          <w:sz w:val="24"/>
          <w:lang w:val="es-ES"/>
        </w:rPr>
        <w:t>A</w:t>
      </w:r>
      <w:r w:rsidR="008430B7" w:rsidRPr="00DC4C54">
        <w:rPr>
          <w:rFonts w:ascii="Arial" w:hAnsi="Arial" w:cs="Arial"/>
          <w:sz w:val="24"/>
          <w:lang w:val="es-ES"/>
        </w:rPr>
        <w:t xml:space="preserve">rtículo 93 </w:t>
      </w:r>
      <w:r w:rsidRPr="00DC4C54">
        <w:rPr>
          <w:rFonts w:ascii="Arial" w:hAnsi="Arial" w:cs="Arial"/>
          <w:sz w:val="24"/>
          <w:lang w:val="es-ES"/>
        </w:rPr>
        <w:t>:“..</w:t>
      </w:r>
      <w:r w:rsidR="008430B7" w:rsidRPr="00DC4C54">
        <w:rPr>
          <w:rFonts w:ascii="Arial" w:hAnsi="Arial" w:cs="Arial"/>
          <w:sz w:val="24"/>
          <w:lang w:val="es-ES"/>
        </w:rPr>
        <w:t>. que todos los actos y operaciones comprendidos en la presente ley deberán realizarse y registrarse mediante la utilización de un sistema uniforme de documentación y procesamiento electrónico de datos con los requisitos que establezca la Contaduría General de la Nación y reflejarse en cuentas, estados demostrativos y balances que permitan su medición y juzgamiento”</w:t>
      </w:r>
    </w:p>
    <w:p w:rsidR="008C429C" w:rsidRPr="00DC4C54" w:rsidRDefault="001D0230" w:rsidP="00DC4C54">
      <w:pPr>
        <w:spacing w:after="0" w:line="360" w:lineRule="auto"/>
        <w:ind w:left="567" w:hanging="567"/>
        <w:jc w:val="both"/>
        <w:rPr>
          <w:rFonts w:ascii="Arial" w:hAnsi="Arial" w:cs="Arial"/>
          <w:sz w:val="24"/>
          <w:lang w:val="es-ES"/>
        </w:rPr>
      </w:pPr>
      <w:r w:rsidRPr="00DC4C54">
        <w:rPr>
          <w:rFonts w:ascii="Arial" w:hAnsi="Arial" w:cs="Arial"/>
          <w:b/>
          <w:sz w:val="24"/>
          <w:lang w:val="es-ES"/>
        </w:rPr>
        <w:t>2.2</w:t>
      </w:r>
      <w:r w:rsidR="00DC4C54" w:rsidRPr="00DC4C54">
        <w:rPr>
          <w:rFonts w:ascii="Arial" w:hAnsi="Arial" w:cs="Arial"/>
          <w:b/>
          <w:sz w:val="24"/>
          <w:lang w:val="es-ES"/>
        </w:rPr>
        <w:t>)</w:t>
      </w:r>
      <w:r w:rsidRPr="00DC4C54">
        <w:rPr>
          <w:rFonts w:ascii="Arial" w:hAnsi="Arial" w:cs="Arial"/>
          <w:sz w:val="24"/>
          <w:lang w:val="es-ES"/>
        </w:rPr>
        <w:t xml:space="preserve">  Los Artículos 94 al 99 definen </w:t>
      </w:r>
      <w:r w:rsidR="009331E5" w:rsidRPr="00DC4C54">
        <w:rPr>
          <w:rFonts w:ascii="Arial" w:hAnsi="Arial" w:cs="Arial"/>
          <w:sz w:val="24"/>
          <w:lang w:val="es-ES"/>
        </w:rPr>
        <w:t>la información que se debe conoc</w:t>
      </w:r>
      <w:r w:rsidR="00CD2F50" w:rsidRPr="00DC4C54">
        <w:rPr>
          <w:rFonts w:ascii="Arial" w:hAnsi="Arial" w:cs="Arial"/>
          <w:sz w:val="24"/>
          <w:lang w:val="es-ES"/>
        </w:rPr>
        <w:t xml:space="preserve">er  para la gestión </w:t>
      </w:r>
      <w:r w:rsidR="009331E5" w:rsidRPr="00DC4C54">
        <w:rPr>
          <w:rFonts w:ascii="Arial" w:hAnsi="Arial" w:cs="Arial"/>
          <w:sz w:val="24"/>
          <w:lang w:val="es-ES"/>
        </w:rPr>
        <w:t xml:space="preserve">del sector público en su conjunto, estableciendo  los requisitos mínimos en materia </w:t>
      </w:r>
      <w:r w:rsidR="00DA0F9B" w:rsidRPr="00DC4C54">
        <w:rPr>
          <w:rFonts w:ascii="Arial" w:hAnsi="Arial" w:cs="Arial"/>
          <w:sz w:val="24"/>
          <w:lang w:val="es-ES"/>
        </w:rPr>
        <w:t>presupuestal,</w:t>
      </w:r>
      <w:r w:rsidR="009331E5" w:rsidRPr="00DC4C54">
        <w:rPr>
          <w:rFonts w:ascii="Arial" w:hAnsi="Arial" w:cs="Arial"/>
          <w:sz w:val="24"/>
          <w:lang w:val="es-ES"/>
        </w:rPr>
        <w:t xml:space="preserve"> financiera  y de responsabilidad</w:t>
      </w:r>
      <w:r w:rsidRPr="00DC4C54">
        <w:rPr>
          <w:rFonts w:ascii="Arial" w:hAnsi="Arial" w:cs="Arial"/>
          <w:sz w:val="24"/>
          <w:lang w:val="es-ES"/>
        </w:rPr>
        <w:t>.</w:t>
      </w:r>
    </w:p>
    <w:p w:rsidR="009331E5" w:rsidRPr="00DC4C54" w:rsidRDefault="00643C26" w:rsidP="00DC4C54">
      <w:pPr>
        <w:spacing w:after="0" w:line="360" w:lineRule="auto"/>
        <w:ind w:left="567" w:hanging="567"/>
        <w:jc w:val="both"/>
        <w:rPr>
          <w:rFonts w:ascii="Arial" w:hAnsi="Arial" w:cs="Arial"/>
          <w:sz w:val="24"/>
          <w:lang w:val="es-ES"/>
        </w:rPr>
      </w:pPr>
      <w:r w:rsidRPr="00DC4C54">
        <w:rPr>
          <w:rFonts w:ascii="Arial" w:hAnsi="Arial" w:cs="Arial"/>
          <w:b/>
          <w:sz w:val="24"/>
          <w:lang w:val="es-ES"/>
        </w:rPr>
        <w:t>2.3</w:t>
      </w:r>
      <w:r w:rsidR="00DC4C54" w:rsidRPr="00DC4C54">
        <w:rPr>
          <w:rFonts w:ascii="Arial" w:hAnsi="Arial" w:cs="Arial"/>
          <w:b/>
          <w:sz w:val="24"/>
          <w:lang w:val="es-ES"/>
        </w:rPr>
        <w:t>)</w:t>
      </w:r>
      <w:r w:rsidRPr="00DC4C54">
        <w:rPr>
          <w:rFonts w:ascii="Arial" w:hAnsi="Arial" w:cs="Arial"/>
          <w:sz w:val="24"/>
          <w:lang w:val="es-ES"/>
        </w:rPr>
        <w:t xml:space="preserve"> </w:t>
      </w:r>
      <w:r w:rsidR="009331E5" w:rsidRPr="00DC4C54">
        <w:rPr>
          <w:rFonts w:ascii="Arial" w:hAnsi="Arial" w:cs="Arial"/>
          <w:sz w:val="24"/>
          <w:lang w:val="es-ES"/>
        </w:rPr>
        <w:t xml:space="preserve">El </w:t>
      </w:r>
      <w:r w:rsidR="00DA0F9B" w:rsidRPr="00DC4C54">
        <w:rPr>
          <w:rFonts w:ascii="Arial" w:hAnsi="Arial" w:cs="Arial"/>
          <w:sz w:val="24"/>
          <w:lang w:val="es-ES"/>
        </w:rPr>
        <w:t>Artículo</w:t>
      </w:r>
      <w:r w:rsidR="009331E5" w:rsidRPr="00DC4C54">
        <w:rPr>
          <w:rFonts w:ascii="Arial" w:hAnsi="Arial" w:cs="Arial"/>
          <w:sz w:val="24"/>
          <w:lang w:val="es-ES"/>
        </w:rPr>
        <w:t xml:space="preserve"> 100 </w:t>
      </w:r>
      <w:r w:rsidR="00DA0F9B" w:rsidRPr="00DC4C54">
        <w:rPr>
          <w:rFonts w:ascii="Arial" w:hAnsi="Arial" w:cs="Arial"/>
          <w:sz w:val="24"/>
          <w:lang w:val="es-ES"/>
        </w:rPr>
        <w:t>dispone:</w:t>
      </w:r>
      <w:r w:rsidR="009331E5" w:rsidRPr="00DC4C54">
        <w:rPr>
          <w:rFonts w:ascii="Arial" w:hAnsi="Arial" w:cs="Arial"/>
          <w:sz w:val="24"/>
          <w:lang w:val="es-ES"/>
        </w:rPr>
        <w:t xml:space="preserve"> “ La </w:t>
      </w:r>
      <w:r w:rsidR="00CC0EE6" w:rsidRPr="00DC4C54">
        <w:rPr>
          <w:rFonts w:ascii="Arial" w:hAnsi="Arial" w:cs="Arial"/>
          <w:sz w:val="24"/>
          <w:lang w:val="es-ES"/>
        </w:rPr>
        <w:t>Contaduría</w:t>
      </w:r>
      <w:r w:rsidR="009331E5" w:rsidRPr="00DC4C54">
        <w:rPr>
          <w:rFonts w:ascii="Arial" w:hAnsi="Arial" w:cs="Arial"/>
          <w:sz w:val="24"/>
          <w:lang w:val="es-ES"/>
        </w:rPr>
        <w:t xml:space="preserve"> General de la </w:t>
      </w:r>
      <w:r w:rsidR="00CC0EE6" w:rsidRPr="00DC4C54">
        <w:rPr>
          <w:rFonts w:ascii="Arial" w:hAnsi="Arial" w:cs="Arial"/>
          <w:sz w:val="24"/>
          <w:lang w:val="es-ES"/>
        </w:rPr>
        <w:t>Nación</w:t>
      </w:r>
      <w:r w:rsidR="009331E5" w:rsidRPr="00DC4C54">
        <w:rPr>
          <w:rFonts w:ascii="Arial" w:hAnsi="Arial" w:cs="Arial"/>
          <w:sz w:val="24"/>
          <w:lang w:val="es-ES"/>
        </w:rPr>
        <w:t xml:space="preserve">, previa conformidad del Tribunal de Cuentas, </w:t>
      </w:r>
      <w:r w:rsidR="00CC0EE6" w:rsidRPr="00DC4C54">
        <w:rPr>
          <w:rFonts w:ascii="Arial" w:hAnsi="Arial" w:cs="Arial"/>
          <w:sz w:val="24"/>
          <w:lang w:val="es-ES"/>
        </w:rPr>
        <w:t xml:space="preserve">definirá los principios, normas, procedimientos, plan de cuentas </w:t>
      </w:r>
      <w:r w:rsidR="00DA0F9B" w:rsidRPr="00DC4C54">
        <w:rPr>
          <w:rFonts w:ascii="Arial" w:hAnsi="Arial" w:cs="Arial"/>
          <w:sz w:val="24"/>
          <w:lang w:val="es-ES"/>
        </w:rPr>
        <w:t>así</w:t>
      </w:r>
      <w:r w:rsidR="00CC0EE6" w:rsidRPr="00DC4C54">
        <w:rPr>
          <w:rFonts w:ascii="Arial" w:hAnsi="Arial" w:cs="Arial"/>
          <w:sz w:val="24"/>
          <w:lang w:val="es-ES"/>
        </w:rPr>
        <w:t xml:space="preserve"> como los registros auxiliares que  </w:t>
      </w:r>
      <w:r w:rsidR="00CC0EE6" w:rsidRPr="00DC4C54">
        <w:rPr>
          <w:rFonts w:ascii="Arial" w:hAnsi="Arial" w:cs="Arial"/>
          <w:sz w:val="24"/>
          <w:lang w:val="es-ES"/>
        </w:rPr>
        <w:lastRenderedPageBreak/>
        <w:t>sean necesarios y las formas de registros que regirán con carácter de obligatorio para todos los organismo</w:t>
      </w:r>
      <w:r w:rsidR="004B3499" w:rsidRPr="00DC4C54">
        <w:rPr>
          <w:rFonts w:ascii="Arial" w:hAnsi="Arial" w:cs="Arial"/>
          <w:sz w:val="24"/>
          <w:lang w:val="es-ES"/>
        </w:rPr>
        <w:t>s públicos”.</w:t>
      </w:r>
    </w:p>
    <w:p w:rsidR="00CC0EE6" w:rsidRPr="00DC4C54" w:rsidRDefault="00643C26" w:rsidP="00DC4C54">
      <w:pPr>
        <w:spacing w:after="0" w:line="360" w:lineRule="auto"/>
        <w:ind w:left="567" w:hanging="567"/>
        <w:jc w:val="both"/>
        <w:rPr>
          <w:rFonts w:ascii="Arial" w:hAnsi="Arial" w:cs="Arial"/>
          <w:sz w:val="24"/>
          <w:lang w:val="es-ES"/>
        </w:rPr>
      </w:pPr>
      <w:r w:rsidRPr="00DC4C54">
        <w:rPr>
          <w:rFonts w:ascii="Arial" w:hAnsi="Arial" w:cs="Arial"/>
          <w:b/>
          <w:sz w:val="24"/>
          <w:lang w:val="es-ES"/>
        </w:rPr>
        <w:t>2.4</w:t>
      </w:r>
      <w:r w:rsidR="00DC4C54" w:rsidRPr="00DC4C54">
        <w:rPr>
          <w:rFonts w:ascii="Arial" w:hAnsi="Arial" w:cs="Arial"/>
          <w:b/>
          <w:sz w:val="24"/>
          <w:lang w:val="es-ES"/>
        </w:rPr>
        <w:t>)</w:t>
      </w:r>
      <w:r w:rsidRPr="00DC4C54">
        <w:rPr>
          <w:rFonts w:ascii="Arial" w:hAnsi="Arial" w:cs="Arial"/>
          <w:sz w:val="24"/>
          <w:lang w:val="es-ES"/>
        </w:rPr>
        <w:t xml:space="preserve"> </w:t>
      </w:r>
      <w:r w:rsidR="00DA0F9B" w:rsidRPr="00DC4C54">
        <w:rPr>
          <w:rFonts w:ascii="Arial" w:hAnsi="Arial" w:cs="Arial"/>
          <w:sz w:val="24"/>
          <w:lang w:val="es-ES"/>
        </w:rPr>
        <w:t xml:space="preserve">El Artículo 101 </w:t>
      </w:r>
      <w:r w:rsidRPr="00DC4C54">
        <w:rPr>
          <w:rFonts w:ascii="Arial" w:hAnsi="Arial" w:cs="Arial"/>
          <w:sz w:val="24"/>
          <w:lang w:val="es-ES"/>
        </w:rPr>
        <w:t>asigna a la</w:t>
      </w:r>
      <w:r w:rsidR="00CC0EE6" w:rsidRPr="00DC4C54">
        <w:rPr>
          <w:rFonts w:ascii="Arial" w:hAnsi="Arial" w:cs="Arial"/>
          <w:sz w:val="24"/>
          <w:lang w:val="es-ES"/>
        </w:rPr>
        <w:t xml:space="preserve"> Contaduría General de la Nación</w:t>
      </w:r>
      <w:r w:rsidRPr="00DC4C54">
        <w:rPr>
          <w:rFonts w:ascii="Arial" w:hAnsi="Arial" w:cs="Arial"/>
          <w:sz w:val="24"/>
          <w:lang w:val="es-ES"/>
        </w:rPr>
        <w:t xml:space="preserve"> como el </w:t>
      </w:r>
      <w:r w:rsidR="00CC0EE6" w:rsidRPr="00DC4C54">
        <w:rPr>
          <w:rFonts w:ascii="Arial" w:hAnsi="Arial" w:cs="Arial"/>
          <w:sz w:val="24"/>
          <w:lang w:val="es-ES"/>
        </w:rPr>
        <w:t>órgano responsable del sistema integrado de información financiera  detallando todos los cometidos a su cargo</w:t>
      </w:r>
      <w:r w:rsidR="000A1D7D" w:rsidRPr="00DC4C54">
        <w:rPr>
          <w:rFonts w:ascii="Arial" w:hAnsi="Arial" w:cs="Arial"/>
          <w:sz w:val="24"/>
          <w:lang w:val="es-ES"/>
        </w:rPr>
        <w:t>;</w:t>
      </w:r>
    </w:p>
    <w:p w:rsidR="00643C26" w:rsidRDefault="000A1D7D" w:rsidP="00DC4C54">
      <w:pPr>
        <w:spacing w:after="0" w:line="360" w:lineRule="auto"/>
        <w:ind w:firstLine="2835"/>
        <w:jc w:val="both"/>
        <w:rPr>
          <w:rFonts w:ascii="Arial" w:hAnsi="Arial" w:cs="Arial"/>
          <w:sz w:val="24"/>
          <w:lang w:val="es-ES"/>
        </w:rPr>
      </w:pPr>
      <w:r w:rsidRPr="00DC4C54">
        <w:rPr>
          <w:rFonts w:ascii="Arial" w:hAnsi="Arial" w:cs="Arial"/>
          <w:b/>
          <w:sz w:val="24"/>
          <w:lang w:val="es-ES"/>
        </w:rPr>
        <w:t>3)</w:t>
      </w:r>
      <w:r>
        <w:rPr>
          <w:rFonts w:ascii="Arial" w:hAnsi="Arial" w:cs="Arial"/>
          <w:sz w:val="24"/>
          <w:lang w:val="es-ES"/>
        </w:rPr>
        <w:t xml:space="preserve"> que la</w:t>
      </w:r>
      <w:r w:rsidR="00643C26" w:rsidRPr="000A1D7D">
        <w:rPr>
          <w:rFonts w:ascii="Arial" w:hAnsi="Arial" w:cs="Arial"/>
          <w:sz w:val="24"/>
          <w:lang w:val="es-ES"/>
        </w:rPr>
        <w:t xml:space="preserve"> Ordenanz</w:t>
      </w:r>
      <w:r w:rsidR="00CD2F50" w:rsidRPr="000A1D7D">
        <w:rPr>
          <w:rFonts w:ascii="Arial" w:hAnsi="Arial" w:cs="Arial"/>
          <w:sz w:val="24"/>
          <w:lang w:val="es-ES"/>
        </w:rPr>
        <w:t>a Nº</w:t>
      </w:r>
      <w:r w:rsidR="009906D2">
        <w:rPr>
          <w:rFonts w:ascii="Arial" w:hAnsi="Arial" w:cs="Arial"/>
          <w:sz w:val="24"/>
          <w:lang w:val="es-ES"/>
        </w:rPr>
        <w:t xml:space="preserve"> </w:t>
      </w:r>
      <w:r w:rsidR="006D45BF">
        <w:rPr>
          <w:rFonts w:ascii="Arial" w:hAnsi="Arial" w:cs="Arial"/>
          <w:sz w:val="24"/>
          <w:lang w:val="es-ES"/>
        </w:rPr>
        <w:t>81</w:t>
      </w:r>
      <w:r w:rsidR="00B2679D" w:rsidRPr="000A1D7D">
        <w:rPr>
          <w:rFonts w:ascii="Arial" w:hAnsi="Arial" w:cs="Arial"/>
          <w:sz w:val="24"/>
          <w:lang w:val="es-ES"/>
        </w:rPr>
        <w:t xml:space="preserve">, </w:t>
      </w:r>
      <w:r>
        <w:rPr>
          <w:rFonts w:ascii="Arial" w:hAnsi="Arial" w:cs="Arial"/>
          <w:sz w:val="24"/>
          <w:lang w:val="es-ES"/>
        </w:rPr>
        <w:t xml:space="preserve">cuyo objetivo fue </w:t>
      </w:r>
      <w:r w:rsidR="00643C26" w:rsidRPr="000A1D7D">
        <w:rPr>
          <w:rFonts w:ascii="Arial" w:hAnsi="Arial" w:cs="Arial"/>
          <w:sz w:val="24"/>
          <w:lang w:val="es-ES"/>
        </w:rPr>
        <w:t xml:space="preserve"> </w:t>
      </w:r>
      <w:r w:rsidR="006D45BF">
        <w:rPr>
          <w:rFonts w:ascii="Arial" w:hAnsi="Arial" w:cs="Arial"/>
          <w:sz w:val="24"/>
          <w:lang w:val="es-ES"/>
        </w:rPr>
        <w:t>determinar</w:t>
      </w:r>
      <w:r w:rsidR="00643C26" w:rsidRPr="000A1D7D">
        <w:rPr>
          <w:rFonts w:ascii="Arial" w:hAnsi="Arial" w:cs="Arial"/>
          <w:sz w:val="24"/>
          <w:lang w:val="es-ES"/>
        </w:rPr>
        <w:t xml:space="preserve"> los criterios, normas y procedimientos para la formulación de los Estados Financieros que </w:t>
      </w:r>
      <w:r w:rsidR="009906D2">
        <w:rPr>
          <w:rFonts w:ascii="Arial" w:hAnsi="Arial" w:cs="Arial"/>
          <w:sz w:val="24"/>
          <w:lang w:val="es-ES"/>
        </w:rPr>
        <w:t xml:space="preserve">se </w:t>
      </w:r>
      <w:r w:rsidR="00643C26" w:rsidRPr="000A1D7D">
        <w:rPr>
          <w:rFonts w:ascii="Arial" w:hAnsi="Arial" w:cs="Arial"/>
          <w:sz w:val="24"/>
          <w:lang w:val="es-ES"/>
        </w:rPr>
        <w:t xml:space="preserve">deban presentar al Tribunal de Cuentas en cumplimiento de disposiciones </w:t>
      </w:r>
      <w:r w:rsidR="00643C26" w:rsidRPr="00DC71B9">
        <w:rPr>
          <w:rFonts w:ascii="Arial" w:hAnsi="Arial" w:cs="Arial"/>
          <w:sz w:val="24"/>
          <w:lang w:val="es-ES"/>
        </w:rPr>
        <w:t>constitucio</w:t>
      </w:r>
      <w:r w:rsidR="00B2679D" w:rsidRPr="00DC71B9">
        <w:rPr>
          <w:rFonts w:ascii="Arial" w:hAnsi="Arial" w:cs="Arial"/>
          <w:sz w:val="24"/>
          <w:lang w:val="es-ES"/>
        </w:rPr>
        <w:t>nales</w:t>
      </w:r>
      <w:r w:rsidR="00B2679D" w:rsidRPr="000A1D7D">
        <w:rPr>
          <w:rFonts w:ascii="Arial" w:hAnsi="Arial" w:cs="Arial"/>
          <w:sz w:val="24"/>
          <w:lang w:val="es-ES"/>
        </w:rPr>
        <w:t>, l</w:t>
      </w:r>
      <w:r w:rsidR="00CD2F50" w:rsidRPr="000A1D7D">
        <w:rPr>
          <w:rFonts w:ascii="Arial" w:hAnsi="Arial" w:cs="Arial"/>
          <w:sz w:val="24"/>
          <w:lang w:val="es-ES"/>
        </w:rPr>
        <w:t>egales o reglamentarias, en su Numeral 1</w:t>
      </w:r>
      <w:r>
        <w:rPr>
          <w:rFonts w:ascii="Arial" w:hAnsi="Arial" w:cs="Arial"/>
          <w:sz w:val="24"/>
          <w:lang w:val="es-ES"/>
        </w:rPr>
        <w:t xml:space="preserve"> </w:t>
      </w:r>
      <w:r w:rsidR="00B2679D" w:rsidRPr="000A1D7D">
        <w:rPr>
          <w:rFonts w:ascii="Arial" w:hAnsi="Arial" w:cs="Arial"/>
          <w:sz w:val="24"/>
          <w:lang w:val="es-ES"/>
        </w:rPr>
        <w:t>reconoce como una de las unidades contables al “Estado: persona pública mayor, que comprende  a los Poderes Legislativo, Ejecutivo y Judicial, Tribunal de Cuentas, Tribunal de lo Contencioso Administrativo y Corte Electoral.”</w:t>
      </w:r>
      <w:r>
        <w:rPr>
          <w:rFonts w:ascii="Arial" w:hAnsi="Arial" w:cs="Arial"/>
          <w:sz w:val="24"/>
          <w:lang w:val="es-ES"/>
        </w:rPr>
        <w:t>;</w:t>
      </w:r>
    </w:p>
    <w:p w:rsidR="000A1D7D" w:rsidRPr="00DC4C54" w:rsidRDefault="000A1D7D" w:rsidP="00DC4C54">
      <w:pPr>
        <w:spacing w:after="0" w:line="360" w:lineRule="auto"/>
        <w:ind w:firstLine="2835"/>
        <w:jc w:val="both"/>
        <w:rPr>
          <w:rFonts w:ascii="Arial" w:hAnsi="Arial" w:cs="Arial"/>
          <w:sz w:val="24"/>
          <w:lang w:val="es-ES"/>
        </w:rPr>
      </w:pPr>
      <w:r w:rsidRPr="00DC4C54">
        <w:rPr>
          <w:rFonts w:ascii="Arial" w:hAnsi="Arial" w:cs="Arial"/>
          <w:b/>
          <w:sz w:val="24"/>
          <w:lang w:val="es-ES"/>
        </w:rPr>
        <w:t>4)</w:t>
      </w:r>
      <w:r>
        <w:rPr>
          <w:rFonts w:ascii="Arial" w:hAnsi="Arial" w:cs="Arial"/>
          <w:sz w:val="24"/>
          <w:lang w:val="es-ES"/>
        </w:rPr>
        <w:t xml:space="preserve"> que </w:t>
      </w:r>
      <w:r w:rsidR="00DC71B9">
        <w:rPr>
          <w:rFonts w:ascii="Arial" w:hAnsi="Arial" w:cs="Arial"/>
          <w:sz w:val="24"/>
          <w:lang w:val="es-ES"/>
        </w:rPr>
        <w:t xml:space="preserve">en los Numerales 3 a 12 de la </w:t>
      </w:r>
      <w:r w:rsidR="00B2679D" w:rsidRPr="00545696">
        <w:rPr>
          <w:rFonts w:ascii="Arial" w:hAnsi="Arial" w:cs="Arial"/>
          <w:sz w:val="24"/>
          <w:lang w:val="es-ES"/>
        </w:rPr>
        <w:t xml:space="preserve">citada norma también </w:t>
      </w:r>
      <w:r w:rsidR="00DC71B9">
        <w:rPr>
          <w:rFonts w:ascii="Arial" w:hAnsi="Arial" w:cs="Arial"/>
          <w:sz w:val="24"/>
          <w:lang w:val="es-ES"/>
        </w:rPr>
        <w:t xml:space="preserve">se </w:t>
      </w:r>
      <w:r w:rsidR="00B2679D" w:rsidRPr="00545696">
        <w:rPr>
          <w:rFonts w:ascii="Arial" w:hAnsi="Arial" w:cs="Arial"/>
          <w:sz w:val="24"/>
          <w:lang w:val="es-ES"/>
        </w:rPr>
        <w:t xml:space="preserve">incluye un capítulo </w:t>
      </w:r>
      <w:r w:rsidR="009906D2">
        <w:rPr>
          <w:rFonts w:ascii="Arial" w:hAnsi="Arial" w:cs="Arial"/>
          <w:sz w:val="24"/>
          <w:lang w:val="es-ES"/>
        </w:rPr>
        <w:t xml:space="preserve">denominado </w:t>
      </w:r>
      <w:r w:rsidR="00DC71B9">
        <w:rPr>
          <w:rFonts w:ascii="Arial" w:hAnsi="Arial" w:cs="Arial"/>
          <w:sz w:val="24"/>
          <w:lang w:val="es-ES"/>
        </w:rPr>
        <w:t>Marco Conceptual  que</w:t>
      </w:r>
      <w:r w:rsidR="00B2679D" w:rsidRPr="00545696">
        <w:rPr>
          <w:rFonts w:ascii="Arial" w:hAnsi="Arial" w:cs="Arial"/>
          <w:sz w:val="24"/>
          <w:lang w:val="es-ES"/>
        </w:rPr>
        <w:t xml:space="preserve"> </w:t>
      </w:r>
      <w:r w:rsidR="00CD2F50" w:rsidRPr="00545696">
        <w:rPr>
          <w:rFonts w:ascii="Arial" w:hAnsi="Arial" w:cs="Arial"/>
          <w:sz w:val="24"/>
          <w:lang w:val="es-ES"/>
        </w:rPr>
        <w:t>define</w:t>
      </w:r>
      <w:r w:rsidR="00D13DB5" w:rsidRPr="00545696">
        <w:rPr>
          <w:rFonts w:ascii="Arial" w:hAnsi="Arial" w:cs="Arial"/>
          <w:sz w:val="24"/>
          <w:lang w:val="es-ES"/>
        </w:rPr>
        <w:t xml:space="preserve"> los conceptos de estados financieros, hipótesis fundamentales para presentar a los </w:t>
      </w:r>
      <w:r w:rsidR="00D13DB5" w:rsidRPr="00DC4C54">
        <w:rPr>
          <w:rFonts w:ascii="Arial" w:hAnsi="Arial" w:cs="Arial"/>
          <w:sz w:val="24"/>
          <w:lang w:val="es-ES"/>
        </w:rPr>
        <w:t xml:space="preserve">mismos </w:t>
      </w:r>
      <w:r w:rsidR="00B07992" w:rsidRPr="00DC4C54">
        <w:rPr>
          <w:rFonts w:ascii="Arial" w:hAnsi="Arial" w:cs="Arial"/>
          <w:sz w:val="24"/>
          <w:lang w:val="es-ES"/>
        </w:rPr>
        <w:t xml:space="preserve">y las </w:t>
      </w:r>
      <w:r w:rsidR="00D13DB5" w:rsidRPr="00DC4C54">
        <w:rPr>
          <w:rFonts w:ascii="Arial" w:hAnsi="Arial" w:cs="Arial"/>
          <w:sz w:val="24"/>
          <w:lang w:val="es-ES"/>
        </w:rPr>
        <w:t>normas contables</w:t>
      </w:r>
      <w:r w:rsidR="00CD2F50" w:rsidRPr="00DC4C54">
        <w:rPr>
          <w:rFonts w:ascii="Arial" w:hAnsi="Arial" w:cs="Arial"/>
          <w:sz w:val="24"/>
          <w:lang w:val="es-ES"/>
        </w:rPr>
        <w:t xml:space="preserve"> </w:t>
      </w:r>
      <w:r w:rsidR="00DC71B9" w:rsidRPr="00DC4C54">
        <w:rPr>
          <w:rFonts w:ascii="Arial" w:hAnsi="Arial" w:cs="Arial"/>
          <w:sz w:val="24"/>
          <w:lang w:val="es-ES"/>
        </w:rPr>
        <w:t>aplicables;</w:t>
      </w:r>
    </w:p>
    <w:p w:rsidR="00B07992" w:rsidRPr="00DC4C54" w:rsidRDefault="000A1D7D" w:rsidP="00DC4C54">
      <w:pPr>
        <w:spacing w:after="0" w:line="360" w:lineRule="auto"/>
        <w:ind w:firstLine="2835"/>
        <w:jc w:val="both"/>
        <w:rPr>
          <w:rFonts w:ascii="Arial" w:hAnsi="Arial" w:cs="Arial"/>
          <w:sz w:val="24"/>
          <w:lang w:val="es-ES"/>
        </w:rPr>
      </w:pPr>
      <w:r w:rsidRPr="00DC4C54">
        <w:rPr>
          <w:rFonts w:ascii="Arial" w:hAnsi="Arial" w:cs="Arial"/>
          <w:b/>
          <w:sz w:val="24"/>
          <w:lang w:val="es-ES"/>
        </w:rPr>
        <w:t>5)</w:t>
      </w:r>
      <w:r w:rsidRPr="00DC4C54">
        <w:rPr>
          <w:rFonts w:ascii="Arial" w:hAnsi="Arial" w:cs="Arial"/>
          <w:sz w:val="24"/>
          <w:lang w:val="es-ES"/>
        </w:rPr>
        <w:t xml:space="preserve"> que en particular</w:t>
      </w:r>
      <w:r w:rsidR="00DC71B9" w:rsidRPr="00DC4C54">
        <w:rPr>
          <w:rFonts w:ascii="Arial" w:hAnsi="Arial" w:cs="Arial"/>
          <w:sz w:val="24"/>
          <w:lang w:val="es-ES"/>
        </w:rPr>
        <w:t>,</w:t>
      </w:r>
      <w:r w:rsidRPr="00DC4C54">
        <w:rPr>
          <w:rFonts w:ascii="Arial" w:hAnsi="Arial" w:cs="Arial"/>
          <w:sz w:val="24"/>
          <w:lang w:val="es-ES"/>
        </w:rPr>
        <w:t xml:space="preserve"> el </w:t>
      </w:r>
      <w:r w:rsidR="00CD2F50" w:rsidRPr="00DC4C54">
        <w:rPr>
          <w:rFonts w:ascii="Arial" w:hAnsi="Arial" w:cs="Arial"/>
          <w:sz w:val="24"/>
          <w:lang w:val="es-ES"/>
        </w:rPr>
        <w:t>N</w:t>
      </w:r>
      <w:r w:rsidR="00B07992" w:rsidRPr="00DC4C54">
        <w:rPr>
          <w:rFonts w:ascii="Arial" w:hAnsi="Arial" w:cs="Arial"/>
          <w:sz w:val="24"/>
          <w:lang w:val="es-ES"/>
        </w:rPr>
        <w:t>umeral 21</w:t>
      </w:r>
      <w:r w:rsidRPr="00DC4C54">
        <w:rPr>
          <w:rFonts w:ascii="Arial" w:hAnsi="Arial" w:cs="Arial"/>
          <w:sz w:val="24"/>
          <w:lang w:val="es-ES"/>
        </w:rPr>
        <w:t xml:space="preserve"> de la Ordenanza</w:t>
      </w:r>
      <w:r w:rsidR="00DC71B9" w:rsidRPr="00DC4C54">
        <w:rPr>
          <w:rFonts w:ascii="Arial" w:hAnsi="Arial" w:cs="Arial"/>
          <w:sz w:val="24"/>
          <w:lang w:val="es-ES"/>
        </w:rPr>
        <w:t xml:space="preserve"> N°</w:t>
      </w:r>
      <w:r w:rsidR="009906D2" w:rsidRPr="00DC4C54">
        <w:rPr>
          <w:rFonts w:ascii="Arial" w:hAnsi="Arial" w:cs="Arial"/>
          <w:sz w:val="24"/>
          <w:lang w:val="es-ES"/>
        </w:rPr>
        <w:t xml:space="preserve"> </w:t>
      </w:r>
      <w:r w:rsidR="00DC71B9" w:rsidRPr="00DC4C54">
        <w:rPr>
          <w:rFonts w:ascii="Arial" w:hAnsi="Arial" w:cs="Arial"/>
          <w:sz w:val="24"/>
          <w:lang w:val="es-ES"/>
        </w:rPr>
        <w:t xml:space="preserve">81 </w:t>
      </w:r>
      <w:r w:rsidR="00B07992" w:rsidRPr="00DC4C54">
        <w:rPr>
          <w:rFonts w:ascii="Arial" w:hAnsi="Arial" w:cs="Arial"/>
          <w:sz w:val="24"/>
          <w:lang w:val="es-ES"/>
        </w:rPr>
        <w:t>expresa que las normas contables que deberán aplicarse para la formulación y presentación de los estados financieros serán</w:t>
      </w:r>
      <w:r w:rsidR="00202FCF" w:rsidRPr="00DC4C54">
        <w:rPr>
          <w:rFonts w:ascii="Arial" w:hAnsi="Arial" w:cs="Arial"/>
          <w:sz w:val="24"/>
          <w:lang w:val="es-ES"/>
        </w:rPr>
        <w:t xml:space="preserve">, </w:t>
      </w:r>
      <w:r w:rsidR="00D86188" w:rsidRPr="00DC4C54">
        <w:rPr>
          <w:rFonts w:ascii="Arial" w:hAnsi="Arial" w:cs="Arial"/>
          <w:sz w:val="24"/>
          <w:lang w:val="es-ES"/>
        </w:rPr>
        <w:t xml:space="preserve">por orden </w:t>
      </w:r>
      <w:r w:rsidR="00B07992" w:rsidRPr="00DC4C54">
        <w:rPr>
          <w:rFonts w:ascii="Arial" w:hAnsi="Arial" w:cs="Arial"/>
          <w:sz w:val="24"/>
          <w:lang w:val="es-ES"/>
        </w:rPr>
        <w:t>de p</w:t>
      </w:r>
      <w:r w:rsidR="00D86188" w:rsidRPr="00DC4C54">
        <w:rPr>
          <w:rFonts w:ascii="Arial" w:hAnsi="Arial" w:cs="Arial"/>
          <w:sz w:val="24"/>
          <w:lang w:val="es-ES"/>
        </w:rPr>
        <w:t>rioridad, las siguientes:</w:t>
      </w:r>
    </w:p>
    <w:p w:rsidR="00F72DB1" w:rsidRPr="00DC4C54" w:rsidRDefault="00DC4C54" w:rsidP="001C6703">
      <w:pPr>
        <w:tabs>
          <w:tab w:val="left" w:pos="851"/>
        </w:tabs>
        <w:spacing w:after="0" w:line="360" w:lineRule="auto"/>
        <w:ind w:left="426" w:hanging="426"/>
        <w:jc w:val="both"/>
        <w:rPr>
          <w:rFonts w:ascii="Arial" w:hAnsi="Arial" w:cs="Arial"/>
          <w:sz w:val="24"/>
          <w:lang w:val="es-ES"/>
        </w:rPr>
      </w:pPr>
      <w:r w:rsidRPr="00DC4C54">
        <w:rPr>
          <w:rFonts w:ascii="Arial" w:hAnsi="Arial" w:cs="Arial"/>
          <w:b/>
          <w:sz w:val="24"/>
          <w:lang w:val="es-ES"/>
        </w:rPr>
        <w:t>5.1)</w:t>
      </w:r>
      <w:r>
        <w:rPr>
          <w:rFonts w:ascii="Arial" w:hAnsi="Arial" w:cs="Arial"/>
          <w:sz w:val="24"/>
          <w:lang w:val="es-ES"/>
        </w:rPr>
        <w:t xml:space="preserve"> </w:t>
      </w:r>
      <w:r w:rsidR="00F72DB1" w:rsidRPr="00DC4C54">
        <w:rPr>
          <w:rFonts w:ascii="Arial" w:hAnsi="Arial" w:cs="Arial"/>
          <w:sz w:val="24"/>
          <w:lang w:val="es-ES"/>
        </w:rPr>
        <w:t>“Las establecidas por la presente Ordenanza del Tribunal de Cuentas y las que se dicten en el futuro.</w:t>
      </w:r>
    </w:p>
    <w:p w:rsidR="00F72DB1" w:rsidRPr="00DC4C54" w:rsidRDefault="00DC4C54" w:rsidP="001C6703">
      <w:pPr>
        <w:tabs>
          <w:tab w:val="left" w:pos="851"/>
        </w:tabs>
        <w:spacing w:after="0" w:line="360" w:lineRule="auto"/>
        <w:jc w:val="both"/>
        <w:rPr>
          <w:rFonts w:ascii="Arial" w:hAnsi="Arial" w:cs="Arial"/>
          <w:sz w:val="24"/>
          <w:lang w:val="es-ES"/>
        </w:rPr>
      </w:pPr>
      <w:r w:rsidRPr="00DC4C54">
        <w:rPr>
          <w:rFonts w:ascii="Arial" w:hAnsi="Arial" w:cs="Arial"/>
          <w:b/>
          <w:sz w:val="24"/>
          <w:lang w:val="es-ES"/>
        </w:rPr>
        <w:t>5.2)</w:t>
      </w:r>
      <w:r>
        <w:rPr>
          <w:rFonts w:ascii="Arial" w:hAnsi="Arial" w:cs="Arial"/>
          <w:sz w:val="24"/>
          <w:lang w:val="es-ES"/>
        </w:rPr>
        <w:t xml:space="preserve"> </w:t>
      </w:r>
      <w:r w:rsidR="00F72DB1" w:rsidRPr="00DC4C54">
        <w:rPr>
          <w:rFonts w:ascii="Arial" w:hAnsi="Arial" w:cs="Arial"/>
          <w:sz w:val="24"/>
          <w:lang w:val="es-ES"/>
        </w:rPr>
        <w:t>El decreto 103/91 del 27 de febrero de 1991.</w:t>
      </w:r>
    </w:p>
    <w:p w:rsidR="00F72DB1" w:rsidRPr="00DC4C54" w:rsidRDefault="00DC4C54" w:rsidP="00DC4C54">
      <w:pPr>
        <w:tabs>
          <w:tab w:val="left" w:pos="851"/>
        </w:tabs>
        <w:spacing w:after="0" w:line="360" w:lineRule="auto"/>
        <w:ind w:left="426" w:hanging="426"/>
        <w:jc w:val="both"/>
        <w:rPr>
          <w:rFonts w:ascii="Arial" w:hAnsi="Arial" w:cs="Arial"/>
          <w:sz w:val="24"/>
          <w:lang w:val="es-ES"/>
        </w:rPr>
      </w:pPr>
      <w:r w:rsidRPr="00DC4C54">
        <w:rPr>
          <w:rFonts w:ascii="Arial" w:hAnsi="Arial" w:cs="Arial"/>
          <w:b/>
          <w:sz w:val="24"/>
          <w:lang w:val="es-ES"/>
        </w:rPr>
        <w:t>5.3)</w:t>
      </w:r>
      <w:r>
        <w:rPr>
          <w:rFonts w:ascii="Arial" w:hAnsi="Arial" w:cs="Arial"/>
          <w:sz w:val="24"/>
          <w:lang w:val="es-ES"/>
        </w:rPr>
        <w:t xml:space="preserve"> </w:t>
      </w:r>
      <w:r w:rsidR="00F72DB1" w:rsidRPr="00DC4C54">
        <w:rPr>
          <w:rFonts w:ascii="Arial" w:hAnsi="Arial" w:cs="Arial"/>
          <w:sz w:val="24"/>
          <w:lang w:val="es-ES"/>
        </w:rPr>
        <w:t>Las Normas Internacionales de Contabilidad (NIC) emitidas por el Consejo de Normas Internacionales de Contabilidad (IASB) o las Normas Internacionales de Contabilidad del Sector Público (NICSP) emitidas por la Federación Internacional de Contadores (IFAC), de acuerdo a la un</w:t>
      </w:r>
      <w:r w:rsidR="00AA3704">
        <w:rPr>
          <w:rFonts w:ascii="Arial" w:hAnsi="Arial" w:cs="Arial"/>
          <w:sz w:val="24"/>
          <w:lang w:val="es-ES"/>
        </w:rPr>
        <w:t>idad contable de que se trate.”</w:t>
      </w:r>
    </w:p>
    <w:p w:rsidR="00A7028F" w:rsidRDefault="00C47F53" w:rsidP="001C6703">
      <w:pPr>
        <w:pStyle w:val="Prrafodelista"/>
        <w:spacing w:after="0" w:line="360" w:lineRule="auto"/>
        <w:ind w:left="0" w:firstLine="2835"/>
        <w:jc w:val="both"/>
        <w:rPr>
          <w:rFonts w:ascii="Arial" w:hAnsi="Arial" w:cs="Arial"/>
          <w:sz w:val="24"/>
          <w:lang w:val="es-AR"/>
        </w:rPr>
      </w:pPr>
      <w:r w:rsidRPr="001C6703">
        <w:rPr>
          <w:rFonts w:ascii="Arial" w:hAnsi="Arial" w:cs="Arial"/>
          <w:b/>
          <w:sz w:val="24"/>
          <w:lang w:val="es-AR"/>
        </w:rPr>
        <w:lastRenderedPageBreak/>
        <w:t xml:space="preserve">6) </w:t>
      </w:r>
      <w:r>
        <w:rPr>
          <w:rFonts w:ascii="Arial" w:hAnsi="Arial" w:cs="Arial"/>
          <w:sz w:val="24"/>
          <w:lang w:val="es-AR"/>
        </w:rPr>
        <w:t xml:space="preserve"> que consiguientemente l</w:t>
      </w:r>
      <w:r w:rsidRPr="00545696">
        <w:rPr>
          <w:rFonts w:ascii="Arial" w:hAnsi="Arial" w:cs="Arial"/>
          <w:sz w:val="24"/>
          <w:lang w:val="es-ES"/>
        </w:rPr>
        <w:t xml:space="preserve">os estados financieros </w:t>
      </w:r>
      <w:r>
        <w:rPr>
          <w:rFonts w:ascii="Arial" w:hAnsi="Arial" w:cs="Arial"/>
          <w:sz w:val="24"/>
          <w:lang w:val="es-ES"/>
        </w:rPr>
        <w:t xml:space="preserve">se deberán formular  y presentar </w:t>
      </w:r>
      <w:r w:rsidRPr="00545696">
        <w:rPr>
          <w:rFonts w:ascii="Arial" w:hAnsi="Arial" w:cs="Arial"/>
          <w:sz w:val="24"/>
          <w:lang w:val="es-ES"/>
        </w:rPr>
        <w:t xml:space="preserve">de acuerdo al Numeral 21 </w:t>
      </w:r>
      <w:r>
        <w:rPr>
          <w:rFonts w:ascii="Arial" w:hAnsi="Arial" w:cs="Arial"/>
          <w:sz w:val="24"/>
          <w:lang w:val="es-ES"/>
        </w:rPr>
        <w:t>mencionado</w:t>
      </w:r>
      <w:r w:rsidRPr="00545696">
        <w:rPr>
          <w:rFonts w:ascii="Arial" w:hAnsi="Arial" w:cs="Arial"/>
          <w:sz w:val="24"/>
          <w:lang w:val="es-ES"/>
        </w:rPr>
        <w:t>, es decir aplicando las NICSP cuando se trate de una unidad contable perteneciente al sector público que no sea una empresa pública</w:t>
      </w:r>
      <w:r>
        <w:rPr>
          <w:rFonts w:ascii="Arial" w:hAnsi="Arial" w:cs="Arial"/>
          <w:sz w:val="24"/>
          <w:lang w:val="es-ES"/>
        </w:rPr>
        <w:t>;</w:t>
      </w:r>
    </w:p>
    <w:p w:rsidR="004D5663" w:rsidRDefault="00C47F53" w:rsidP="001C6703">
      <w:pPr>
        <w:spacing w:after="0" w:line="360" w:lineRule="auto"/>
        <w:ind w:firstLine="2835"/>
        <w:jc w:val="both"/>
        <w:rPr>
          <w:rFonts w:ascii="Arial" w:hAnsi="Arial" w:cs="Arial"/>
          <w:sz w:val="24"/>
          <w:szCs w:val="23"/>
        </w:rPr>
      </w:pPr>
      <w:r w:rsidRPr="001C6703">
        <w:rPr>
          <w:rFonts w:ascii="Arial" w:hAnsi="Arial" w:cs="Arial"/>
          <w:b/>
          <w:sz w:val="24"/>
          <w:lang w:val="es-AR"/>
        </w:rPr>
        <w:t>7</w:t>
      </w:r>
      <w:r w:rsidR="00DC71B9" w:rsidRPr="001C6703">
        <w:rPr>
          <w:rFonts w:ascii="Arial" w:hAnsi="Arial" w:cs="Arial"/>
          <w:b/>
          <w:sz w:val="24"/>
          <w:lang w:val="es-ES"/>
        </w:rPr>
        <w:t>)</w:t>
      </w:r>
      <w:r w:rsidR="00DC71B9">
        <w:rPr>
          <w:rFonts w:ascii="Arial" w:hAnsi="Arial" w:cs="Arial"/>
          <w:sz w:val="24"/>
          <w:lang w:val="es-ES"/>
        </w:rPr>
        <w:t xml:space="preserve"> que la definición de Ente Contable mencionada en el Resultando 7)</w:t>
      </w:r>
      <w:r w:rsidR="006F73E1">
        <w:rPr>
          <w:rFonts w:ascii="Arial" w:hAnsi="Arial" w:cs="Arial"/>
          <w:sz w:val="24"/>
          <w:lang w:val="es-ES"/>
        </w:rPr>
        <w:t xml:space="preserve"> </w:t>
      </w:r>
      <w:r w:rsidR="00DC71B9" w:rsidRPr="00DC71B9">
        <w:rPr>
          <w:rFonts w:ascii="Arial" w:hAnsi="Arial" w:cs="Arial"/>
          <w:sz w:val="24"/>
          <w:szCs w:val="23"/>
        </w:rPr>
        <w:t xml:space="preserve"> </w:t>
      </w:r>
      <w:r w:rsidR="00DC71B9" w:rsidRPr="00545696">
        <w:rPr>
          <w:rFonts w:ascii="Arial" w:hAnsi="Arial" w:cs="Arial"/>
          <w:sz w:val="24"/>
          <w:szCs w:val="23"/>
        </w:rPr>
        <w:t xml:space="preserve">es diferente a la </w:t>
      </w:r>
      <w:r w:rsidR="00DC71B9" w:rsidRPr="00DC71B9">
        <w:rPr>
          <w:rFonts w:ascii="Arial" w:hAnsi="Arial" w:cs="Arial"/>
          <w:sz w:val="24"/>
          <w:lang w:val="es-ES"/>
        </w:rPr>
        <w:t>establecida</w:t>
      </w:r>
      <w:r w:rsidR="00DC71B9" w:rsidRPr="00545696">
        <w:rPr>
          <w:rFonts w:ascii="Arial" w:hAnsi="Arial" w:cs="Arial"/>
          <w:sz w:val="24"/>
          <w:szCs w:val="23"/>
        </w:rPr>
        <w:t xml:space="preserve"> en el Numeral 1 de la Ordenanza N°</w:t>
      </w:r>
      <w:r w:rsidR="006F73E1">
        <w:rPr>
          <w:rFonts w:ascii="Arial" w:hAnsi="Arial" w:cs="Arial"/>
          <w:sz w:val="24"/>
          <w:szCs w:val="23"/>
        </w:rPr>
        <w:t xml:space="preserve"> </w:t>
      </w:r>
      <w:r w:rsidR="00DC71B9" w:rsidRPr="00545696">
        <w:rPr>
          <w:rFonts w:ascii="Arial" w:hAnsi="Arial" w:cs="Arial"/>
          <w:sz w:val="24"/>
          <w:szCs w:val="23"/>
        </w:rPr>
        <w:t>81 del Tribunal de Cuentas, en cuanto que incluye</w:t>
      </w:r>
      <w:r w:rsidR="00E94428">
        <w:rPr>
          <w:rFonts w:ascii="Arial" w:hAnsi="Arial" w:cs="Arial"/>
          <w:sz w:val="24"/>
          <w:szCs w:val="23"/>
        </w:rPr>
        <w:t xml:space="preserve"> en el </w:t>
      </w:r>
      <w:r w:rsidR="00DC71B9" w:rsidRPr="00545696">
        <w:rPr>
          <w:rFonts w:ascii="Arial" w:hAnsi="Arial" w:cs="Arial"/>
          <w:sz w:val="24"/>
          <w:szCs w:val="23"/>
        </w:rPr>
        <w:t xml:space="preserve"> </w:t>
      </w:r>
      <w:r w:rsidR="006F73E1">
        <w:rPr>
          <w:rFonts w:ascii="Arial" w:hAnsi="Arial" w:cs="Arial"/>
          <w:sz w:val="24"/>
          <w:szCs w:val="23"/>
        </w:rPr>
        <w:t>E</w:t>
      </w:r>
      <w:r w:rsidR="00E94428" w:rsidRPr="00545696">
        <w:rPr>
          <w:rFonts w:ascii="Arial" w:hAnsi="Arial" w:cs="Arial"/>
          <w:sz w:val="24"/>
          <w:szCs w:val="23"/>
        </w:rPr>
        <w:t xml:space="preserve">nte </w:t>
      </w:r>
      <w:r w:rsidR="006F73E1">
        <w:rPr>
          <w:rFonts w:ascii="Arial" w:hAnsi="Arial" w:cs="Arial"/>
          <w:sz w:val="24"/>
          <w:szCs w:val="23"/>
        </w:rPr>
        <w:t>C</w:t>
      </w:r>
      <w:r w:rsidR="00E94428" w:rsidRPr="00545696">
        <w:rPr>
          <w:rFonts w:ascii="Arial" w:hAnsi="Arial" w:cs="Arial"/>
          <w:sz w:val="24"/>
          <w:szCs w:val="23"/>
        </w:rPr>
        <w:t xml:space="preserve">ontable </w:t>
      </w:r>
      <w:r w:rsidR="006F73E1">
        <w:rPr>
          <w:rFonts w:ascii="Arial" w:hAnsi="Arial" w:cs="Arial"/>
          <w:sz w:val="24"/>
          <w:szCs w:val="23"/>
        </w:rPr>
        <w:t>G</w:t>
      </w:r>
      <w:r w:rsidR="00E94428" w:rsidRPr="00545696">
        <w:rPr>
          <w:rFonts w:ascii="Arial" w:hAnsi="Arial" w:cs="Arial"/>
          <w:sz w:val="24"/>
          <w:szCs w:val="23"/>
        </w:rPr>
        <w:t xml:space="preserve">ubernamental </w:t>
      </w:r>
      <w:r w:rsidR="00E94428">
        <w:rPr>
          <w:rFonts w:ascii="Arial" w:hAnsi="Arial" w:cs="Arial"/>
          <w:sz w:val="24"/>
          <w:szCs w:val="23"/>
        </w:rPr>
        <w:t xml:space="preserve">a los </w:t>
      </w:r>
      <w:r w:rsidR="00DC71B9" w:rsidRPr="00545696">
        <w:rPr>
          <w:rFonts w:ascii="Arial" w:hAnsi="Arial" w:cs="Arial"/>
          <w:sz w:val="24"/>
          <w:szCs w:val="23"/>
        </w:rPr>
        <w:t>entes autónomos y servicios descentralizados que deben presentar sus estados financieros de manera separada, conforme a lo establecido en el Artículo 191 de la Constitución</w:t>
      </w:r>
      <w:r w:rsidR="001C6703">
        <w:rPr>
          <w:rFonts w:ascii="Arial" w:hAnsi="Arial" w:cs="Arial"/>
          <w:sz w:val="24"/>
          <w:szCs w:val="23"/>
        </w:rPr>
        <w:t xml:space="preserve"> de la República</w:t>
      </w:r>
      <w:r w:rsidR="006F73E1">
        <w:rPr>
          <w:rFonts w:ascii="Arial" w:hAnsi="Arial" w:cs="Arial"/>
          <w:sz w:val="24"/>
          <w:szCs w:val="23"/>
        </w:rPr>
        <w:t>;</w:t>
      </w:r>
    </w:p>
    <w:p w:rsidR="00DC71B9" w:rsidRDefault="00C47F53" w:rsidP="001C6703">
      <w:pPr>
        <w:spacing w:after="0" w:line="360" w:lineRule="auto"/>
        <w:ind w:firstLine="2835"/>
        <w:jc w:val="both"/>
        <w:rPr>
          <w:rFonts w:ascii="Arial" w:hAnsi="Arial" w:cs="Arial"/>
          <w:sz w:val="24"/>
          <w:szCs w:val="23"/>
        </w:rPr>
      </w:pPr>
      <w:r w:rsidRPr="001C6703">
        <w:rPr>
          <w:rFonts w:ascii="Arial" w:hAnsi="Arial" w:cs="Arial"/>
          <w:b/>
          <w:sz w:val="24"/>
          <w:szCs w:val="23"/>
        </w:rPr>
        <w:t>8</w:t>
      </w:r>
      <w:r w:rsidR="003D5E8D" w:rsidRPr="001C6703">
        <w:rPr>
          <w:rFonts w:ascii="Arial" w:hAnsi="Arial" w:cs="Arial"/>
          <w:b/>
          <w:sz w:val="24"/>
          <w:szCs w:val="23"/>
        </w:rPr>
        <w:t>)</w:t>
      </w:r>
      <w:r w:rsidR="003D5E8D">
        <w:rPr>
          <w:rFonts w:ascii="Arial" w:hAnsi="Arial" w:cs="Arial"/>
          <w:sz w:val="24"/>
          <w:szCs w:val="23"/>
        </w:rPr>
        <w:t xml:space="preserve"> que</w:t>
      </w:r>
      <w:r w:rsidR="00511AB1">
        <w:rPr>
          <w:rFonts w:ascii="Arial" w:hAnsi="Arial" w:cs="Arial"/>
          <w:sz w:val="24"/>
          <w:szCs w:val="23"/>
        </w:rPr>
        <w:t xml:space="preserve"> </w:t>
      </w:r>
      <w:r w:rsidR="003D5E8D">
        <w:rPr>
          <w:rFonts w:ascii="Arial" w:hAnsi="Arial" w:cs="Arial"/>
          <w:sz w:val="24"/>
          <w:szCs w:val="23"/>
        </w:rPr>
        <w:t xml:space="preserve">se entiende que </w:t>
      </w:r>
      <w:r w:rsidR="004D5663">
        <w:rPr>
          <w:rFonts w:ascii="Arial" w:hAnsi="Arial" w:cs="Arial"/>
          <w:sz w:val="24"/>
          <w:lang w:val="es-ES"/>
        </w:rPr>
        <w:t xml:space="preserve">el hecho de que  </w:t>
      </w:r>
      <w:r w:rsidR="003D5E8D">
        <w:rPr>
          <w:rFonts w:ascii="Arial" w:hAnsi="Arial" w:cs="Arial"/>
          <w:sz w:val="24"/>
          <w:lang w:val="es-ES"/>
        </w:rPr>
        <w:t xml:space="preserve">la CGN </w:t>
      </w:r>
      <w:r w:rsidR="004D5663">
        <w:rPr>
          <w:rFonts w:ascii="Arial" w:hAnsi="Arial" w:cs="Arial"/>
          <w:sz w:val="24"/>
          <w:lang w:val="es-ES"/>
        </w:rPr>
        <w:t>controle</w:t>
      </w:r>
      <w:r w:rsidR="004D5663" w:rsidRPr="00545696">
        <w:rPr>
          <w:rFonts w:ascii="Arial" w:hAnsi="Arial" w:cs="Arial"/>
          <w:sz w:val="24"/>
          <w:lang w:val="es-ES"/>
        </w:rPr>
        <w:t xml:space="preserve"> la utilización de lo</w:t>
      </w:r>
      <w:r w:rsidR="003D5E8D">
        <w:rPr>
          <w:rFonts w:ascii="Arial" w:hAnsi="Arial" w:cs="Arial"/>
          <w:sz w:val="24"/>
          <w:lang w:val="es-ES"/>
        </w:rPr>
        <w:t>s créditos presupuestales de</w:t>
      </w:r>
      <w:r w:rsidR="004D5663" w:rsidRPr="00545696">
        <w:rPr>
          <w:rFonts w:ascii="Arial" w:hAnsi="Arial" w:cs="Arial"/>
          <w:sz w:val="24"/>
          <w:lang w:val="es-ES"/>
        </w:rPr>
        <w:t xml:space="preserve"> todas las unidades contables inclu</w:t>
      </w:r>
      <w:r w:rsidR="004D5663">
        <w:rPr>
          <w:rFonts w:ascii="Arial" w:hAnsi="Arial" w:cs="Arial"/>
          <w:sz w:val="24"/>
          <w:lang w:val="es-ES"/>
        </w:rPr>
        <w:t>idas en el Presupuesto Nacional y consiguientemente centralice los respectivos registros,</w:t>
      </w:r>
      <w:r w:rsidR="004D5663" w:rsidRPr="00545696">
        <w:rPr>
          <w:rFonts w:ascii="Arial" w:hAnsi="Arial" w:cs="Arial"/>
          <w:sz w:val="24"/>
          <w:lang w:val="es-ES"/>
        </w:rPr>
        <w:t xml:space="preserve"> </w:t>
      </w:r>
      <w:r w:rsidR="001A3DD8">
        <w:rPr>
          <w:rFonts w:ascii="Arial" w:hAnsi="Arial" w:cs="Arial"/>
          <w:sz w:val="24"/>
          <w:lang w:val="es-ES"/>
        </w:rPr>
        <w:t>puede facilitar</w:t>
      </w:r>
      <w:r w:rsidR="004D5663">
        <w:rPr>
          <w:rFonts w:ascii="Arial" w:hAnsi="Arial" w:cs="Arial"/>
          <w:sz w:val="24"/>
          <w:lang w:val="es-ES"/>
        </w:rPr>
        <w:t xml:space="preserve"> la implementación del </w:t>
      </w:r>
      <w:r w:rsidR="004D5663" w:rsidRPr="00545696">
        <w:rPr>
          <w:rFonts w:ascii="Arial" w:hAnsi="Arial" w:cs="Arial"/>
          <w:sz w:val="24"/>
          <w:lang w:val="es-ES"/>
        </w:rPr>
        <w:t xml:space="preserve"> SIIF2</w:t>
      </w:r>
      <w:r w:rsidR="004D5663">
        <w:rPr>
          <w:rFonts w:ascii="Arial" w:hAnsi="Arial" w:cs="Arial"/>
          <w:sz w:val="24"/>
          <w:lang w:val="es-ES"/>
        </w:rPr>
        <w:t xml:space="preserve">, el que </w:t>
      </w:r>
      <w:r w:rsidR="004D5663" w:rsidRPr="00545696">
        <w:rPr>
          <w:rFonts w:ascii="Arial" w:hAnsi="Arial" w:cs="Arial"/>
          <w:sz w:val="24"/>
          <w:lang w:val="es-ES"/>
        </w:rPr>
        <w:t>se basará en un sistema de registro único de las operaciones, partiendo de la contabilidad presupuestal a la contabilidad patrimonial a través de una matriz de conversión de códigos</w:t>
      </w:r>
      <w:r w:rsidR="004D5663">
        <w:rPr>
          <w:rFonts w:ascii="Arial" w:hAnsi="Arial" w:cs="Arial"/>
          <w:sz w:val="24"/>
          <w:lang w:val="es-ES"/>
        </w:rPr>
        <w:t xml:space="preserve"> </w:t>
      </w:r>
      <w:r w:rsidR="004D5663" w:rsidRPr="00545696">
        <w:rPr>
          <w:rFonts w:ascii="Arial" w:hAnsi="Arial" w:cs="Arial"/>
          <w:sz w:val="24"/>
          <w:lang w:val="es-ES"/>
        </w:rPr>
        <w:t>de cuentas</w:t>
      </w:r>
      <w:r w:rsidR="001A3DD8">
        <w:rPr>
          <w:rFonts w:ascii="Arial" w:hAnsi="Arial" w:cs="Arial"/>
          <w:sz w:val="24"/>
          <w:lang w:val="es-ES"/>
        </w:rPr>
        <w:t xml:space="preserve">, </w:t>
      </w:r>
      <w:r w:rsidR="004D5663" w:rsidRPr="00545696">
        <w:rPr>
          <w:rFonts w:ascii="Arial" w:hAnsi="Arial" w:cs="Arial"/>
          <w:sz w:val="24"/>
          <w:lang w:val="es-ES"/>
        </w:rPr>
        <w:t>tratando a los organismos incluidos en el Presupuesto Nacional como si se tratara de una única unidad contable</w:t>
      </w:r>
      <w:r w:rsidR="001A3DD8">
        <w:rPr>
          <w:rFonts w:ascii="Arial" w:hAnsi="Arial" w:cs="Arial"/>
          <w:sz w:val="24"/>
          <w:lang w:val="es-ES"/>
        </w:rPr>
        <w:t>;</w:t>
      </w:r>
    </w:p>
    <w:p w:rsidR="009247EA" w:rsidRDefault="00C47F53" w:rsidP="001C6703">
      <w:pPr>
        <w:spacing w:after="0" w:line="360" w:lineRule="auto"/>
        <w:ind w:firstLine="2835"/>
        <w:jc w:val="both"/>
        <w:rPr>
          <w:rFonts w:ascii="Arial" w:hAnsi="Arial" w:cs="Arial"/>
          <w:sz w:val="24"/>
          <w:lang w:val="es-ES"/>
        </w:rPr>
      </w:pPr>
      <w:r w:rsidRPr="001C6703">
        <w:rPr>
          <w:rFonts w:ascii="Arial" w:hAnsi="Arial" w:cs="Arial"/>
          <w:b/>
          <w:sz w:val="24"/>
          <w:szCs w:val="23"/>
        </w:rPr>
        <w:t>9</w:t>
      </w:r>
      <w:r w:rsidR="009247EA" w:rsidRPr="001C6703">
        <w:rPr>
          <w:rFonts w:ascii="Arial" w:hAnsi="Arial" w:cs="Arial"/>
          <w:b/>
          <w:sz w:val="24"/>
          <w:szCs w:val="23"/>
        </w:rPr>
        <w:t>)</w:t>
      </w:r>
      <w:r w:rsidR="009247EA">
        <w:rPr>
          <w:rFonts w:ascii="Arial" w:hAnsi="Arial" w:cs="Arial"/>
          <w:sz w:val="24"/>
          <w:szCs w:val="23"/>
        </w:rPr>
        <w:t xml:space="preserve"> </w:t>
      </w:r>
      <w:r w:rsidR="00511AB1">
        <w:rPr>
          <w:rFonts w:ascii="Arial" w:hAnsi="Arial" w:cs="Arial"/>
          <w:sz w:val="24"/>
          <w:szCs w:val="23"/>
        </w:rPr>
        <w:t>que, no obstante e</w:t>
      </w:r>
      <w:r w:rsidR="00511AB1">
        <w:rPr>
          <w:rFonts w:ascii="Arial" w:hAnsi="Arial" w:cs="Arial"/>
          <w:sz w:val="24"/>
          <w:lang w:val="es-ES"/>
        </w:rPr>
        <w:t xml:space="preserve">l SIIF 2 deberá permitir la emisión de </w:t>
      </w:r>
      <w:r w:rsidR="00511AB1" w:rsidRPr="00545696">
        <w:rPr>
          <w:rFonts w:ascii="Arial" w:hAnsi="Arial" w:cs="Arial"/>
          <w:sz w:val="24"/>
          <w:lang w:val="es-ES"/>
        </w:rPr>
        <w:t>los estados financieros individuales de los Entes Autónomos y Servicios Descentralizados</w:t>
      </w:r>
      <w:r w:rsidR="00511AB1">
        <w:rPr>
          <w:rFonts w:ascii="Arial" w:hAnsi="Arial" w:cs="Arial"/>
          <w:sz w:val="24"/>
          <w:lang w:val="es-ES"/>
        </w:rPr>
        <w:t xml:space="preserve"> incluidos en el Presupuesto Nacional</w:t>
      </w:r>
      <w:r w:rsidR="00511AB1" w:rsidRPr="00545696">
        <w:rPr>
          <w:rFonts w:ascii="Arial" w:hAnsi="Arial" w:cs="Arial"/>
          <w:sz w:val="24"/>
          <w:lang w:val="es-ES"/>
        </w:rPr>
        <w:t xml:space="preserve">, en cumplimiento de lo establecido en Artículo 191 de la Constitución </w:t>
      </w:r>
      <w:r w:rsidR="001C6703">
        <w:rPr>
          <w:rFonts w:ascii="Arial" w:hAnsi="Arial" w:cs="Arial"/>
          <w:sz w:val="24"/>
          <w:lang w:val="es-ES"/>
        </w:rPr>
        <w:t xml:space="preserve">de la República </w:t>
      </w:r>
      <w:r w:rsidR="00511AB1" w:rsidRPr="00545696">
        <w:rPr>
          <w:rFonts w:ascii="Arial" w:hAnsi="Arial" w:cs="Arial"/>
          <w:sz w:val="24"/>
          <w:lang w:val="es-ES"/>
        </w:rPr>
        <w:t>y en el Numeral 1, apartado 2 de la Ordenanza N°81</w:t>
      </w:r>
      <w:r w:rsidR="00511AB1">
        <w:rPr>
          <w:rFonts w:ascii="Arial" w:hAnsi="Arial" w:cs="Arial"/>
          <w:sz w:val="24"/>
          <w:lang w:val="es-ES"/>
        </w:rPr>
        <w:t>, por lo que ello deberá preverse en el pliego de la licitación correspondiente</w:t>
      </w:r>
      <w:r w:rsidR="00EE1C21">
        <w:rPr>
          <w:rFonts w:ascii="Arial" w:hAnsi="Arial" w:cs="Arial"/>
          <w:sz w:val="24"/>
          <w:lang w:val="es-ES"/>
        </w:rPr>
        <w:t xml:space="preserve"> a su implementación</w:t>
      </w:r>
      <w:r w:rsidR="00511AB1">
        <w:rPr>
          <w:rFonts w:ascii="Arial" w:hAnsi="Arial" w:cs="Arial"/>
          <w:sz w:val="24"/>
          <w:lang w:val="es-ES"/>
        </w:rPr>
        <w:t>;</w:t>
      </w:r>
    </w:p>
    <w:p w:rsidR="00256E32" w:rsidRDefault="00C47F53" w:rsidP="001C6703">
      <w:pPr>
        <w:spacing w:after="0" w:line="360" w:lineRule="auto"/>
        <w:ind w:firstLine="2835"/>
        <w:jc w:val="both"/>
        <w:rPr>
          <w:rFonts w:ascii="Arial" w:hAnsi="Arial" w:cs="Arial"/>
          <w:i/>
          <w:sz w:val="24"/>
          <w:szCs w:val="23"/>
        </w:rPr>
      </w:pPr>
      <w:r w:rsidRPr="001C6703">
        <w:rPr>
          <w:rFonts w:ascii="Arial" w:hAnsi="Arial" w:cs="Arial"/>
          <w:b/>
          <w:sz w:val="24"/>
          <w:lang w:val="es-ES"/>
        </w:rPr>
        <w:t>10</w:t>
      </w:r>
      <w:r w:rsidR="00256E32" w:rsidRPr="001C6703">
        <w:rPr>
          <w:rFonts w:ascii="Arial" w:hAnsi="Arial" w:cs="Arial"/>
          <w:b/>
          <w:sz w:val="24"/>
          <w:lang w:val="es-ES"/>
        </w:rPr>
        <w:t xml:space="preserve">) </w:t>
      </w:r>
      <w:r w:rsidR="00256E32" w:rsidRPr="00545696">
        <w:rPr>
          <w:rFonts w:ascii="Arial" w:hAnsi="Arial" w:cs="Arial"/>
          <w:sz w:val="24"/>
          <w:lang w:val="es-AR"/>
        </w:rPr>
        <w:t xml:space="preserve">que los criterios de medición de los elementos de los estados financieros que se enumeran en </w:t>
      </w:r>
      <w:r w:rsidR="00256E32">
        <w:rPr>
          <w:rFonts w:ascii="Arial" w:hAnsi="Arial" w:cs="Arial"/>
          <w:sz w:val="24"/>
          <w:lang w:val="es-AR"/>
        </w:rPr>
        <w:t>el C</w:t>
      </w:r>
      <w:r w:rsidR="00256E32" w:rsidRPr="00545696">
        <w:rPr>
          <w:rFonts w:ascii="Arial" w:hAnsi="Arial" w:cs="Arial"/>
          <w:sz w:val="24"/>
          <w:lang w:val="es-AR"/>
        </w:rPr>
        <w:t xml:space="preserve">apítulo </w:t>
      </w:r>
      <w:r w:rsidR="00256E32">
        <w:rPr>
          <w:rFonts w:ascii="Arial" w:hAnsi="Arial" w:cs="Arial"/>
          <w:sz w:val="24"/>
          <w:lang w:val="es-AR"/>
        </w:rPr>
        <w:t xml:space="preserve">3 </w:t>
      </w:r>
      <w:r w:rsidR="00256E32">
        <w:rPr>
          <w:rFonts w:ascii="Arial" w:hAnsi="Arial" w:cs="Arial"/>
          <w:sz w:val="24"/>
          <w:szCs w:val="24"/>
        </w:rPr>
        <w:t>“</w:t>
      </w:r>
      <w:r w:rsidR="00256E32" w:rsidRPr="006D45BF">
        <w:rPr>
          <w:rFonts w:ascii="Arial" w:hAnsi="Arial" w:cs="Arial"/>
          <w:sz w:val="24"/>
          <w:szCs w:val="24"/>
        </w:rPr>
        <w:t>Criterios de reconocimiento y medición de los estados financieros</w:t>
      </w:r>
      <w:r w:rsidR="00256E32">
        <w:rPr>
          <w:rFonts w:ascii="Arial" w:hAnsi="Arial" w:cs="Arial"/>
          <w:sz w:val="24"/>
          <w:szCs w:val="24"/>
        </w:rPr>
        <w:t xml:space="preserve">” </w:t>
      </w:r>
      <w:r w:rsidR="00256E32" w:rsidRPr="00545696">
        <w:rPr>
          <w:rFonts w:ascii="Arial" w:hAnsi="Arial" w:cs="Arial"/>
          <w:sz w:val="24"/>
          <w:lang w:val="es-AR"/>
        </w:rPr>
        <w:t xml:space="preserve">no cuentan con una redacción precisa, teniendo en consideración las definiciones dadas por el </w:t>
      </w:r>
      <w:r w:rsidR="00256E32" w:rsidRPr="005700E1">
        <w:rPr>
          <w:rFonts w:ascii="Arial" w:hAnsi="Arial" w:cs="Arial"/>
          <w:sz w:val="24"/>
          <w:szCs w:val="23"/>
        </w:rPr>
        <w:lastRenderedPageBreak/>
        <w:t>Marco Conceptual para la Información Financiera con propósito general de las Entidades del Secto</w:t>
      </w:r>
      <w:r w:rsidR="00EF6012" w:rsidRPr="005700E1">
        <w:rPr>
          <w:rFonts w:ascii="Arial" w:hAnsi="Arial" w:cs="Arial"/>
          <w:sz w:val="24"/>
          <w:szCs w:val="23"/>
        </w:rPr>
        <w:t>r Público emitido por el IPSASB</w:t>
      </w:r>
      <w:r w:rsidR="00EF6012" w:rsidRPr="00AA3704">
        <w:rPr>
          <w:rFonts w:ascii="Arial" w:hAnsi="Arial" w:cs="Arial"/>
          <w:sz w:val="24"/>
          <w:szCs w:val="23"/>
        </w:rPr>
        <w:t>;</w:t>
      </w:r>
    </w:p>
    <w:p w:rsidR="00EF6012" w:rsidRDefault="0017195A" w:rsidP="001C6703">
      <w:pPr>
        <w:pStyle w:val="Prrafodelista"/>
        <w:spacing w:line="360" w:lineRule="auto"/>
        <w:ind w:left="0" w:firstLine="2835"/>
        <w:jc w:val="both"/>
        <w:rPr>
          <w:rFonts w:ascii="Arial" w:hAnsi="Arial" w:cs="Arial"/>
          <w:sz w:val="24"/>
          <w:szCs w:val="23"/>
        </w:rPr>
      </w:pPr>
      <w:r w:rsidRPr="001C6703">
        <w:rPr>
          <w:rFonts w:ascii="Arial" w:hAnsi="Arial" w:cs="Arial"/>
          <w:b/>
          <w:sz w:val="24"/>
          <w:szCs w:val="23"/>
        </w:rPr>
        <w:t>11</w:t>
      </w:r>
      <w:r w:rsidR="00EF6012" w:rsidRPr="001C6703">
        <w:rPr>
          <w:rFonts w:ascii="Arial" w:hAnsi="Arial" w:cs="Arial"/>
          <w:b/>
          <w:sz w:val="24"/>
          <w:szCs w:val="23"/>
        </w:rPr>
        <w:t xml:space="preserve">) </w:t>
      </w:r>
      <w:r w:rsidR="00EF6012">
        <w:rPr>
          <w:rFonts w:ascii="Arial" w:hAnsi="Arial" w:cs="Arial"/>
          <w:sz w:val="24"/>
          <w:szCs w:val="23"/>
        </w:rPr>
        <w:t xml:space="preserve">que </w:t>
      </w:r>
      <w:r>
        <w:rPr>
          <w:rFonts w:ascii="Arial" w:hAnsi="Arial" w:cs="Arial"/>
          <w:sz w:val="24"/>
          <w:szCs w:val="23"/>
        </w:rPr>
        <w:t>dichos</w:t>
      </w:r>
      <w:r w:rsidR="00EF6012" w:rsidRPr="00545696">
        <w:rPr>
          <w:rFonts w:ascii="Arial" w:hAnsi="Arial" w:cs="Arial"/>
          <w:sz w:val="24"/>
          <w:lang w:val="es-ES"/>
        </w:rPr>
        <w:t xml:space="preserve"> criterios de reconocimiento y medición debe</w:t>
      </w:r>
      <w:r>
        <w:rPr>
          <w:rFonts w:ascii="Arial" w:hAnsi="Arial" w:cs="Arial"/>
          <w:sz w:val="24"/>
          <w:lang w:val="es-ES"/>
        </w:rPr>
        <w:t>rá</w:t>
      </w:r>
      <w:r w:rsidR="00EF6012" w:rsidRPr="00545696">
        <w:rPr>
          <w:rFonts w:ascii="Arial" w:hAnsi="Arial" w:cs="Arial"/>
          <w:sz w:val="24"/>
          <w:lang w:val="es-ES"/>
        </w:rPr>
        <w:t>n ser redactados en forma precisa, tomando como referencia el</w:t>
      </w:r>
      <w:r w:rsidR="00EF6012" w:rsidRPr="00545696">
        <w:rPr>
          <w:rFonts w:ascii="Arial" w:hAnsi="Arial" w:cs="Arial"/>
          <w:sz w:val="24"/>
          <w:szCs w:val="23"/>
        </w:rPr>
        <w:t xml:space="preserve"> Marco Conceptual para la Información Financiera con propósito general de </w:t>
      </w:r>
      <w:r w:rsidR="00EF6012" w:rsidRPr="00545696">
        <w:rPr>
          <w:rFonts w:ascii="Arial" w:hAnsi="Arial" w:cs="Arial"/>
          <w:color w:val="000000"/>
          <w:sz w:val="24"/>
          <w:szCs w:val="23"/>
        </w:rPr>
        <w:t>las</w:t>
      </w:r>
      <w:r w:rsidR="00EF6012" w:rsidRPr="00545696">
        <w:rPr>
          <w:rFonts w:ascii="Arial" w:hAnsi="Arial" w:cs="Arial"/>
          <w:sz w:val="24"/>
          <w:szCs w:val="23"/>
        </w:rPr>
        <w:t xml:space="preserve"> Entidades del Sector Público emitido por el Consejo de Normas Internacionales de Contabilidad del Sector Pública </w:t>
      </w:r>
      <w:r w:rsidR="00EF6012">
        <w:rPr>
          <w:rFonts w:ascii="Arial" w:hAnsi="Arial" w:cs="Arial"/>
          <w:sz w:val="24"/>
          <w:szCs w:val="23"/>
        </w:rPr>
        <w:t>(IPSASB);</w:t>
      </w:r>
    </w:p>
    <w:p w:rsidR="00BF0B09" w:rsidRDefault="00BF0B09" w:rsidP="001C6703">
      <w:pPr>
        <w:pStyle w:val="Prrafodelista"/>
        <w:spacing w:after="0" w:line="360" w:lineRule="auto"/>
        <w:ind w:left="0" w:firstLine="2835"/>
        <w:jc w:val="both"/>
        <w:rPr>
          <w:rFonts w:ascii="Arial" w:hAnsi="Arial" w:cs="Arial"/>
          <w:sz w:val="24"/>
          <w:lang w:val="es-ES"/>
        </w:rPr>
      </w:pPr>
      <w:r w:rsidRPr="001C6703">
        <w:rPr>
          <w:rFonts w:ascii="Arial" w:hAnsi="Arial" w:cs="Arial"/>
          <w:b/>
          <w:sz w:val="24"/>
          <w:szCs w:val="23"/>
        </w:rPr>
        <w:t>12)</w:t>
      </w:r>
      <w:r>
        <w:rPr>
          <w:rFonts w:ascii="Arial" w:hAnsi="Arial" w:cs="Arial"/>
          <w:sz w:val="24"/>
          <w:szCs w:val="23"/>
        </w:rPr>
        <w:t xml:space="preserve"> que </w:t>
      </w:r>
      <w:r w:rsidR="00D70258">
        <w:rPr>
          <w:rFonts w:ascii="Arial" w:hAnsi="Arial" w:cs="Arial"/>
          <w:sz w:val="24"/>
          <w:szCs w:val="23"/>
        </w:rPr>
        <w:t>se</w:t>
      </w:r>
      <w:r>
        <w:rPr>
          <w:rFonts w:ascii="Arial" w:hAnsi="Arial" w:cs="Arial"/>
          <w:sz w:val="24"/>
          <w:szCs w:val="23"/>
        </w:rPr>
        <w:t xml:space="preserve"> </w:t>
      </w:r>
      <w:r w:rsidRPr="00A22FFA">
        <w:rPr>
          <w:rFonts w:ascii="Arial" w:hAnsi="Arial" w:cs="Arial"/>
          <w:sz w:val="24"/>
          <w:lang w:val="es-ES"/>
        </w:rPr>
        <w:t>deberá</w:t>
      </w:r>
      <w:r w:rsidR="00D70258">
        <w:rPr>
          <w:rFonts w:ascii="Arial" w:hAnsi="Arial" w:cs="Arial"/>
          <w:sz w:val="24"/>
          <w:lang w:val="es-ES"/>
        </w:rPr>
        <w:t>n</w:t>
      </w:r>
      <w:r w:rsidRPr="00A22FFA">
        <w:rPr>
          <w:rFonts w:ascii="Arial" w:hAnsi="Arial" w:cs="Arial"/>
          <w:sz w:val="24"/>
          <w:lang w:val="es-ES"/>
        </w:rPr>
        <w:t xml:space="preserve"> definir principios, normas, </w:t>
      </w:r>
      <w:r>
        <w:rPr>
          <w:rFonts w:ascii="Arial" w:hAnsi="Arial" w:cs="Arial"/>
          <w:sz w:val="24"/>
          <w:lang w:val="es-ES"/>
        </w:rPr>
        <w:t>procedimientos, plan de cuentas</w:t>
      </w:r>
      <w:r w:rsidRPr="00A22FFA">
        <w:rPr>
          <w:rFonts w:ascii="Arial" w:hAnsi="Arial" w:cs="Arial"/>
          <w:sz w:val="24"/>
          <w:lang w:val="es-ES"/>
        </w:rPr>
        <w:t xml:space="preserve"> y registros obligatorios para todos lo</w:t>
      </w:r>
      <w:r w:rsidR="00813D24">
        <w:rPr>
          <w:rFonts w:ascii="Arial" w:hAnsi="Arial" w:cs="Arial"/>
          <w:sz w:val="24"/>
          <w:lang w:val="es-ES"/>
        </w:rPr>
        <w:t>s organismos públicos;</w:t>
      </w:r>
    </w:p>
    <w:p w:rsidR="00A7028F" w:rsidRPr="00BA66B3" w:rsidRDefault="001C6703" w:rsidP="001C6703">
      <w:pPr>
        <w:spacing w:after="0" w:line="360" w:lineRule="auto"/>
        <w:ind w:firstLine="709"/>
        <w:jc w:val="both"/>
        <w:rPr>
          <w:rFonts w:ascii="Arial" w:hAnsi="Arial" w:cs="Arial"/>
          <w:sz w:val="24"/>
          <w:lang w:val="es-AR"/>
        </w:rPr>
      </w:pPr>
      <w:r>
        <w:rPr>
          <w:rFonts w:ascii="Arial" w:hAnsi="Arial" w:cs="Arial"/>
          <w:b/>
          <w:sz w:val="24"/>
          <w:lang w:val="es-AR"/>
        </w:rPr>
        <w:t>ATENTO</w:t>
      </w:r>
      <w:r w:rsidR="0015637F">
        <w:rPr>
          <w:rFonts w:ascii="Arial" w:hAnsi="Arial" w:cs="Arial"/>
          <w:sz w:val="24"/>
          <w:lang w:val="es-AR"/>
        </w:rPr>
        <w:t xml:space="preserve">: </w:t>
      </w:r>
      <w:r w:rsidR="00E94428">
        <w:rPr>
          <w:rFonts w:ascii="Arial" w:hAnsi="Arial" w:cs="Arial"/>
          <w:sz w:val="24"/>
          <w:lang w:val="es-AR"/>
        </w:rPr>
        <w:t>a lo dispuesto en el Artículo 10</w:t>
      </w:r>
      <w:r w:rsidR="006F73E1">
        <w:rPr>
          <w:rFonts w:ascii="Arial" w:hAnsi="Arial" w:cs="Arial"/>
          <w:sz w:val="24"/>
          <w:lang w:val="es-AR"/>
        </w:rPr>
        <w:t>0</w:t>
      </w:r>
      <w:r w:rsidR="00E94428">
        <w:rPr>
          <w:rFonts w:ascii="Arial" w:hAnsi="Arial" w:cs="Arial"/>
          <w:sz w:val="24"/>
          <w:lang w:val="es-AR"/>
        </w:rPr>
        <w:t xml:space="preserve"> del TOCAF;</w:t>
      </w:r>
    </w:p>
    <w:p w:rsidR="00D70258" w:rsidRDefault="00BA66B3" w:rsidP="001C6703">
      <w:pPr>
        <w:tabs>
          <w:tab w:val="left" w:pos="0"/>
        </w:tabs>
        <w:spacing w:after="0" w:line="360" w:lineRule="auto"/>
        <w:jc w:val="center"/>
        <w:rPr>
          <w:rFonts w:ascii="Arial" w:hAnsi="Arial" w:cs="Arial"/>
          <w:b/>
          <w:sz w:val="24"/>
          <w:lang w:val="es-AR"/>
        </w:rPr>
      </w:pPr>
      <w:r w:rsidRPr="00BA66B3">
        <w:rPr>
          <w:rFonts w:ascii="Arial" w:hAnsi="Arial" w:cs="Arial"/>
          <w:b/>
          <w:sz w:val="24"/>
          <w:lang w:val="es-AR"/>
        </w:rPr>
        <w:t xml:space="preserve">EL TRIBUNAL </w:t>
      </w:r>
      <w:r w:rsidR="00E94428">
        <w:rPr>
          <w:rFonts w:ascii="Arial" w:hAnsi="Arial" w:cs="Arial"/>
          <w:b/>
          <w:sz w:val="24"/>
          <w:lang w:val="es-AR"/>
        </w:rPr>
        <w:t>ACUERDA</w:t>
      </w:r>
    </w:p>
    <w:p w:rsidR="00715B6F" w:rsidRPr="005700E1" w:rsidRDefault="0017195A" w:rsidP="001C6703">
      <w:pPr>
        <w:tabs>
          <w:tab w:val="left" w:pos="0"/>
        </w:tabs>
        <w:spacing w:after="0" w:line="360" w:lineRule="auto"/>
        <w:jc w:val="both"/>
        <w:rPr>
          <w:rFonts w:ascii="Arial" w:hAnsi="Arial" w:cs="Arial"/>
          <w:sz w:val="24"/>
          <w:lang w:val="es-AR"/>
        </w:rPr>
      </w:pPr>
      <w:r w:rsidRPr="001C6703">
        <w:rPr>
          <w:rFonts w:ascii="Arial" w:hAnsi="Arial" w:cs="Arial"/>
          <w:b/>
          <w:sz w:val="24"/>
          <w:lang w:val="es-AR"/>
        </w:rPr>
        <w:t>1)</w:t>
      </w:r>
      <w:r>
        <w:rPr>
          <w:rFonts w:ascii="Arial" w:hAnsi="Arial" w:cs="Arial"/>
          <w:sz w:val="24"/>
          <w:lang w:val="es-AR"/>
        </w:rPr>
        <w:t xml:space="preserve"> </w:t>
      </w:r>
      <w:r w:rsidR="00C63520">
        <w:rPr>
          <w:rFonts w:ascii="Arial" w:hAnsi="Arial" w:cs="Arial"/>
          <w:sz w:val="24"/>
          <w:lang w:val="es-AR"/>
        </w:rPr>
        <w:t>Expedirse en los términos de los Considerandos 6</w:t>
      </w:r>
      <w:r w:rsidR="001C6703">
        <w:rPr>
          <w:rFonts w:ascii="Arial" w:hAnsi="Arial" w:cs="Arial"/>
          <w:sz w:val="24"/>
          <w:lang w:val="es-AR"/>
        </w:rPr>
        <w:t>)</w:t>
      </w:r>
      <w:r w:rsidR="00E94428" w:rsidRPr="005700E1">
        <w:rPr>
          <w:rFonts w:ascii="Arial" w:hAnsi="Arial" w:cs="Arial"/>
          <w:sz w:val="24"/>
          <w:lang w:val="es-AR"/>
        </w:rPr>
        <w:t xml:space="preserve">, </w:t>
      </w:r>
      <w:r w:rsidR="00C63520">
        <w:rPr>
          <w:rFonts w:ascii="Arial" w:hAnsi="Arial" w:cs="Arial"/>
          <w:sz w:val="24"/>
          <w:lang w:val="es-AR"/>
        </w:rPr>
        <w:t>8</w:t>
      </w:r>
      <w:r w:rsidR="001C6703">
        <w:rPr>
          <w:rFonts w:ascii="Arial" w:hAnsi="Arial" w:cs="Arial"/>
          <w:sz w:val="24"/>
          <w:lang w:val="es-AR"/>
        </w:rPr>
        <w:t>)</w:t>
      </w:r>
      <w:r w:rsidR="00C63520">
        <w:rPr>
          <w:rFonts w:ascii="Arial" w:hAnsi="Arial" w:cs="Arial"/>
          <w:sz w:val="24"/>
          <w:lang w:val="es-AR"/>
        </w:rPr>
        <w:t xml:space="preserve">, </w:t>
      </w:r>
      <w:r w:rsidR="00813D24">
        <w:rPr>
          <w:rFonts w:ascii="Arial" w:hAnsi="Arial" w:cs="Arial"/>
          <w:sz w:val="24"/>
          <w:lang w:val="es-AR"/>
        </w:rPr>
        <w:t>9</w:t>
      </w:r>
      <w:r w:rsidR="001C6703">
        <w:rPr>
          <w:rFonts w:ascii="Arial" w:hAnsi="Arial" w:cs="Arial"/>
          <w:sz w:val="24"/>
          <w:lang w:val="es-AR"/>
        </w:rPr>
        <w:t>)</w:t>
      </w:r>
      <w:r w:rsidR="00813D24">
        <w:rPr>
          <w:rFonts w:ascii="Arial" w:hAnsi="Arial" w:cs="Arial"/>
          <w:sz w:val="24"/>
          <w:lang w:val="es-AR"/>
        </w:rPr>
        <w:t>, 10</w:t>
      </w:r>
      <w:r w:rsidR="001C6703">
        <w:rPr>
          <w:rFonts w:ascii="Arial" w:hAnsi="Arial" w:cs="Arial"/>
          <w:sz w:val="24"/>
          <w:lang w:val="es-AR"/>
        </w:rPr>
        <w:t>)</w:t>
      </w:r>
      <w:r w:rsidR="00813D24">
        <w:rPr>
          <w:rFonts w:ascii="Arial" w:hAnsi="Arial" w:cs="Arial"/>
          <w:sz w:val="24"/>
          <w:lang w:val="es-AR"/>
        </w:rPr>
        <w:t>, 11</w:t>
      </w:r>
      <w:r w:rsidR="001C6703">
        <w:rPr>
          <w:rFonts w:ascii="Arial" w:hAnsi="Arial" w:cs="Arial"/>
          <w:sz w:val="24"/>
          <w:lang w:val="es-AR"/>
        </w:rPr>
        <w:t>)</w:t>
      </w:r>
      <w:r w:rsidR="00813D24">
        <w:rPr>
          <w:rFonts w:ascii="Arial" w:hAnsi="Arial" w:cs="Arial"/>
          <w:sz w:val="24"/>
          <w:lang w:val="es-AR"/>
        </w:rPr>
        <w:t xml:space="preserve"> y 12</w:t>
      </w:r>
      <w:r w:rsidR="001C6703">
        <w:rPr>
          <w:rFonts w:ascii="Arial" w:hAnsi="Arial" w:cs="Arial"/>
          <w:sz w:val="24"/>
          <w:lang w:val="es-AR"/>
        </w:rPr>
        <w:t>); y</w:t>
      </w:r>
    </w:p>
    <w:p w:rsidR="00E94428" w:rsidRDefault="00C63520" w:rsidP="001C6703">
      <w:pPr>
        <w:spacing w:after="0" w:line="360" w:lineRule="auto"/>
        <w:jc w:val="both"/>
        <w:rPr>
          <w:rFonts w:ascii="Arial" w:hAnsi="Arial" w:cs="Arial"/>
          <w:sz w:val="24"/>
          <w:lang w:val="es-AR"/>
        </w:rPr>
      </w:pPr>
      <w:r w:rsidRPr="001C6703">
        <w:rPr>
          <w:rFonts w:ascii="Arial" w:hAnsi="Arial" w:cs="Arial"/>
          <w:b/>
          <w:sz w:val="24"/>
          <w:lang w:val="es-AR"/>
        </w:rPr>
        <w:t>2</w:t>
      </w:r>
      <w:r w:rsidR="00CE06FE" w:rsidRPr="001C6703">
        <w:rPr>
          <w:rFonts w:ascii="Arial" w:hAnsi="Arial" w:cs="Arial"/>
          <w:b/>
          <w:sz w:val="24"/>
          <w:lang w:val="es-AR"/>
        </w:rPr>
        <w:t>)</w:t>
      </w:r>
      <w:r w:rsidR="00CE06FE">
        <w:rPr>
          <w:rFonts w:ascii="Arial" w:hAnsi="Arial" w:cs="Arial"/>
          <w:sz w:val="24"/>
          <w:lang w:val="es-AR"/>
        </w:rPr>
        <w:t xml:space="preserve"> Comunicar a </w:t>
      </w:r>
      <w:r w:rsidR="009E7811">
        <w:rPr>
          <w:rFonts w:ascii="Arial" w:hAnsi="Arial" w:cs="Arial"/>
          <w:sz w:val="24"/>
          <w:lang w:val="es-AR"/>
        </w:rPr>
        <w:t>la Contadu</w:t>
      </w:r>
      <w:r w:rsidR="00CE06FE">
        <w:rPr>
          <w:rFonts w:ascii="Arial" w:hAnsi="Arial" w:cs="Arial"/>
          <w:sz w:val="24"/>
          <w:lang w:val="es-AR"/>
        </w:rPr>
        <w:t>ría General de la Nación.</w:t>
      </w:r>
    </w:p>
    <w:p w:rsidR="001C6703" w:rsidRDefault="001C6703" w:rsidP="001C6703">
      <w:pPr>
        <w:spacing w:after="0" w:line="360" w:lineRule="auto"/>
        <w:jc w:val="both"/>
        <w:rPr>
          <w:rFonts w:ascii="Arial" w:hAnsi="Arial" w:cs="Arial"/>
          <w:sz w:val="24"/>
          <w:lang w:val="es-AR"/>
        </w:rPr>
      </w:pPr>
    </w:p>
    <w:p w:rsidR="001C6703" w:rsidRDefault="001C6703" w:rsidP="001C6703">
      <w:pPr>
        <w:spacing w:after="0" w:line="360" w:lineRule="auto"/>
        <w:jc w:val="both"/>
        <w:rPr>
          <w:rFonts w:ascii="Arial" w:hAnsi="Arial" w:cs="Arial"/>
          <w:sz w:val="24"/>
          <w:lang w:val="es-AR"/>
        </w:rPr>
      </w:pPr>
    </w:p>
    <w:p w:rsidR="001C6703" w:rsidRDefault="001C6703" w:rsidP="001C6703">
      <w:pPr>
        <w:spacing w:after="0" w:line="360" w:lineRule="auto"/>
        <w:jc w:val="both"/>
        <w:rPr>
          <w:rFonts w:ascii="Arial" w:hAnsi="Arial" w:cs="Arial"/>
          <w:sz w:val="24"/>
          <w:lang w:val="es-AR"/>
        </w:rPr>
      </w:pPr>
    </w:p>
    <w:p w:rsidR="001C6703" w:rsidRDefault="001C6703" w:rsidP="001C6703">
      <w:pPr>
        <w:spacing w:after="0" w:line="360" w:lineRule="auto"/>
        <w:jc w:val="both"/>
        <w:rPr>
          <w:rFonts w:ascii="Arial" w:hAnsi="Arial" w:cs="Arial"/>
          <w:sz w:val="24"/>
          <w:lang w:val="es-AR"/>
        </w:rPr>
      </w:pPr>
    </w:p>
    <w:p w:rsidR="006E1B2D" w:rsidRPr="00F64D05" w:rsidRDefault="001C6703" w:rsidP="00F64D05">
      <w:pPr>
        <w:spacing w:after="0" w:line="360" w:lineRule="auto"/>
        <w:jc w:val="both"/>
        <w:rPr>
          <w:rFonts w:ascii="Arial" w:hAnsi="Arial" w:cs="Arial"/>
          <w:sz w:val="24"/>
          <w:lang w:val="es-AR"/>
        </w:rPr>
      </w:pPr>
      <w:proofErr w:type="spellStart"/>
      <w:proofErr w:type="gramStart"/>
      <w:r>
        <w:rPr>
          <w:rFonts w:ascii="Arial" w:hAnsi="Arial" w:cs="Arial"/>
          <w:sz w:val="24"/>
          <w:lang w:val="es-AR"/>
        </w:rPr>
        <w:t>cr</w:t>
      </w:r>
      <w:proofErr w:type="spellEnd"/>
      <w:proofErr w:type="gramEnd"/>
    </w:p>
    <w:sectPr w:rsidR="006E1B2D" w:rsidRPr="00F64D05" w:rsidSect="001C6703">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249" w:rsidRDefault="00150249" w:rsidP="00E82856">
      <w:pPr>
        <w:spacing w:after="0" w:line="240" w:lineRule="auto"/>
      </w:pPr>
      <w:r>
        <w:separator/>
      </w:r>
    </w:p>
  </w:endnote>
  <w:endnote w:type="continuationSeparator" w:id="0">
    <w:p w:rsidR="00150249" w:rsidRDefault="00150249" w:rsidP="00E8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69C" w:rsidRDefault="00F64D05" w:rsidP="005700E1">
    <w:pPr>
      <w:pStyle w:val="Piedepgina"/>
      <w:jc w:val="center"/>
    </w:pPr>
    <w:sdt>
      <w:sdtPr>
        <w:id w:val="-23712924"/>
        <w:docPartObj>
          <w:docPartGallery w:val="Page Numbers (Bottom of Page)"/>
          <w:docPartUnique/>
        </w:docPartObj>
      </w:sdtPr>
      <w:sdtEndPr/>
      <w:sdtContent>
        <w:r w:rsidR="0040303C">
          <w:fldChar w:fldCharType="begin"/>
        </w:r>
        <w:r w:rsidR="0040303C">
          <w:instrText>PAGE   \* MERGEFORMAT</w:instrText>
        </w:r>
        <w:r w:rsidR="0040303C">
          <w:fldChar w:fldCharType="separate"/>
        </w:r>
        <w:r w:rsidRPr="00F64D05">
          <w:rPr>
            <w:noProof/>
            <w:lang w:val="es-ES"/>
          </w:rPr>
          <w:t>1</w:t>
        </w:r>
        <w:r w:rsidR="0040303C">
          <w:fldChar w:fldCharType="end"/>
        </w:r>
      </w:sdtContent>
    </w:sdt>
    <w:r w:rsidR="005700E1">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249" w:rsidRDefault="00150249" w:rsidP="00E82856">
      <w:pPr>
        <w:spacing w:after="0" w:line="240" w:lineRule="auto"/>
      </w:pPr>
      <w:r>
        <w:separator/>
      </w:r>
    </w:p>
  </w:footnote>
  <w:footnote w:type="continuationSeparator" w:id="0">
    <w:p w:rsidR="00150249" w:rsidRDefault="00150249" w:rsidP="00E828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BE4"/>
    <w:multiLevelType w:val="hybridMultilevel"/>
    <w:tmpl w:val="656C40C0"/>
    <w:lvl w:ilvl="0" w:tplc="040A0001">
      <w:start w:val="1"/>
      <w:numFmt w:val="bullet"/>
      <w:lvlText w:val=""/>
      <w:lvlJc w:val="left"/>
      <w:pPr>
        <w:ind w:left="1506" w:hanging="360"/>
      </w:pPr>
      <w:rPr>
        <w:rFonts w:ascii="Symbol" w:hAnsi="Symbol" w:hint="default"/>
      </w:rPr>
    </w:lvl>
    <w:lvl w:ilvl="1" w:tplc="040A0003" w:tentative="1">
      <w:start w:val="1"/>
      <w:numFmt w:val="bullet"/>
      <w:lvlText w:val="o"/>
      <w:lvlJc w:val="left"/>
      <w:pPr>
        <w:ind w:left="2226" w:hanging="360"/>
      </w:pPr>
      <w:rPr>
        <w:rFonts w:ascii="Courier New" w:hAnsi="Courier New" w:cs="Courier New" w:hint="default"/>
      </w:rPr>
    </w:lvl>
    <w:lvl w:ilvl="2" w:tplc="040A0005" w:tentative="1">
      <w:start w:val="1"/>
      <w:numFmt w:val="bullet"/>
      <w:lvlText w:val=""/>
      <w:lvlJc w:val="left"/>
      <w:pPr>
        <w:ind w:left="2946" w:hanging="360"/>
      </w:pPr>
      <w:rPr>
        <w:rFonts w:ascii="Wingdings" w:hAnsi="Wingdings" w:hint="default"/>
      </w:rPr>
    </w:lvl>
    <w:lvl w:ilvl="3" w:tplc="040A0001" w:tentative="1">
      <w:start w:val="1"/>
      <w:numFmt w:val="bullet"/>
      <w:lvlText w:val=""/>
      <w:lvlJc w:val="left"/>
      <w:pPr>
        <w:ind w:left="3666" w:hanging="360"/>
      </w:pPr>
      <w:rPr>
        <w:rFonts w:ascii="Symbol" w:hAnsi="Symbol" w:hint="default"/>
      </w:rPr>
    </w:lvl>
    <w:lvl w:ilvl="4" w:tplc="040A0003" w:tentative="1">
      <w:start w:val="1"/>
      <w:numFmt w:val="bullet"/>
      <w:lvlText w:val="o"/>
      <w:lvlJc w:val="left"/>
      <w:pPr>
        <w:ind w:left="4386" w:hanging="360"/>
      </w:pPr>
      <w:rPr>
        <w:rFonts w:ascii="Courier New" w:hAnsi="Courier New" w:cs="Courier New" w:hint="default"/>
      </w:rPr>
    </w:lvl>
    <w:lvl w:ilvl="5" w:tplc="040A0005" w:tentative="1">
      <w:start w:val="1"/>
      <w:numFmt w:val="bullet"/>
      <w:lvlText w:val=""/>
      <w:lvlJc w:val="left"/>
      <w:pPr>
        <w:ind w:left="5106" w:hanging="360"/>
      </w:pPr>
      <w:rPr>
        <w:rFonts w:ascii="Wingdings" w:hAnsi="Wingdings" w:hint="default"/>
      </w:rPr>
    </w:lvl>
    <w:lvl w:ilvl="6" w:tplc="040A0001" w:tentative="1">
      <w:start w:val="1"/>
      <w:numFmt w:val="bullet"/>
      <w:lvlText w:val=""/>
      <w:lvlJc w:val="left"/>
      <w:pPr>
        <w:ind w:left="5826" w:hanging="360"/>
      </w:pPr>
      <w:rPr>
        <w:rFonts w:ascii="Symbol" w:hAnsi="Symbol" w:hint="default"/>
      </w:rPr>
    </w:lvl>
    <w:lvl w:ilvl="7" w:tplc="040A0003" w:tentative="1">
      <w:start w:val="1"/>
      <w:numFmt w:val="bullet"/>
      <w:lvlText w:val="o"/>
      <w:lvlJc w:val="left"/>
      <w:pPr>
        <w:ind w:left="6546" w:hanging="360"/>
      </w:pPr>
      <w:rPr>
        <w:rFonts w:ascii="Courier New" w:hAnsi="Courier New" w:cs="Courier New" w:hint="default"/>
      </w:rPr>
    </w:lvl>
    <w:lvl w:ilvl="8" w:tplc="040A0005" w:tentative="1">
      <w:start w:val="1"/>
      <w:numFmt w:val="bullet"/>
      <w:lvlText w:val=""/>
      <w:lvlJc w:val="left"/>
      <w:pPr>
        <w:ind w:left="7266" w:hanging="360"/>
      </w:pPr>
      <w:rPr>
        <w:rFonts w:ascii="Wingdings" w:hAnsi="Wingdings" w:hint="default"/>
      </w:rPr>
    </w:lvl>
  </w:abstractNum>
  <w:abstractNum w:abstractNumId="1">
    <w:nsid w:val="06A87C96"/>
    <w:multiLevelType w:val="hybridMultilevel"/>
    <w:tmpl w:val="A97C755A"/>
    <w:lvl w:ilvl="0" w:tplc="380A000F">
      <w:start w:val="1"/>
      <w:numFmt w:val="decimal"/>
      <w:lvlText w:val="%1."/>
      <w:lvlJc w:val="left"/>
      <w:pPr>
        <w:ind w:left="780" w:hanging="360"/>
      </w:pPr>
    </w:lvl>
    <w:lvl w:ilvl="1" w:tplc="380A0019" w:tentative="1">
      <w:start w:val="1"/>
      <w:numFmt w:val="lowerLetter"/>
      <w:lvlText w:val="%2."/>
      <w:lvlJc w:val="left"/>
      <w:pPr>
        <w:ind w:left="1500" w:hanging="360"/>
      </w:pPr>
    </w:lvl>
    <w:lvl w:ilvl="2" w:tplc="380A001B" w:tentative="1">
      <w:start w:val="1"/>
      <w:numFmt w:val="lowerRoman"/>
      <w:lvlText w:val="%3."/>
      <w:lvlJc w:val="right"/>
      <w:pPr>
        <w:ind w:left="2220" w:hanging="180"/>
      </w:pPr>
    </w:lvl>
    <w:lvl w:ilvl="3" w:tplc="380A000F" w:tentative="1">
      <w:start w:val="1"/>
      <w:numFmt w:val="decimal"/>
      <w:lvlText w:val="%4."/>
      <w:lvlJc w:val="left"/>
      <w:pPr>
        <w:ind w:left="2940" w:hanging="360"/>
      </w:pPr>
    </w:lvl>
    <w:lvl w:ilvl="4" w:tplc="380A0019" w:tentative="1">
      <w:start w:val="1"/>
      <w:numFmt w:val="lowerLetter"/>
      <w:lvlText w:val="%5."/>
      <w:lvlJc w:val="left"/>
      <w:pPr>
        <w:ind w:left="3660" w:hanging="360"/>
      </w:pPr>
    </w:lvl>
    <w:lvl w:ilvl="5" w:tplc="380A001B" w:tentative="1">
      <w:start w:val="1"/>
      <w:numFmt w:val="lowerRoman"/>
      <w:lvlText w:val="%6."/>
      <w:lvlJc w:val="right"/>
      <w:pPr>
        <w:ind w:left="4380" w:hanging="180"/>
      </w:pPr>
    </w:lvl>
    <w:lvl w:ilvl="6" w:tplc="380A000F" w:tentative="1">
      <w:start w:val="1"/>
      <w:numFmt w:val="decimal"/>
      <w:lvlText w:val="%7."/>
      <w:lvlJc w:val="left"/>
      <w:pPr>
        <w:ind w:left="5100" w:hanging="360"/>
      </w:pPr>
    </w:lvl>
    <w:lvl w:ilvl="7" w:tplc="380A0019" w:tentative="1">
      <w:start w:val="1"/>
      <w:numFmt w:val="lowerLetter"/>
      <w:lvlText w:val="%8."/>
      <w:lvlJc w:val="left"/>
      <w:pPr>
        <w:ind w:left="5820" w:hanging="360"/>
      </w:pPr>
    </w:lvl>
    <w:lvl w:ilvl="8" w:tplc="380A001B" w:tentative="1">
      <w:start w:val="1"/>
      <w:numFmt w:val="lowerRoman"/>
      <w:lvlText w:val="%9."/>
      <w:lvlJc w:val="right"/>
      <w:pPr>
        <w:ind w:left="6540" w:hanging="180"/>
      </w:pPr>
    </w:lvl>
  </w:abstractNum>
  <w:abstractNum w:abstractNumId="2">
    <w:nsid w:val="0C6C33C7"/>
    <w:multiLevelType w:val="hybridMultilevel"/>
    <w:tmpl w:val="20A6D438"/>
    <w:lvl w:ilvl="0" w:tplc="BA48E342">
      <w:start w:val="10"/>
      <w:numFmt w:val="decimal"/>
      <w:lvlText w:val="%1)"/>
      <w:lvlJc w:val="left"/>
      <w:pPr>
        <w:ind w:left="2472" w:hanging="360"/>
      </w:pPr>
      <w:rPr>
        <w:rFonts w:hint="default"/>
      </w:rPr>
    </w:lvl>
    <w:lvl w:ilvl="1" w:tplc="040A0019" w:tentative="1">
      <w:start w:val="1"/>
      <w:numFmt w:val="lowerLetter"/>
      <w:lvlText w:val="%2."/>
      <w:lvlJc w:val="left"/>
      <w:pPr>
        <w:ind w:left="3192" w:hanging="360"/>
      </w:pPr>
    </w:lvl>
    <w:lvl w:ilvl="2" w:tplc="040A001B" w:tentative="1">
      <w:start w:val="1"/>
      <w:numFmt w:val="lowerRoman"/>
      <w:lvlText w:val="%3."/>
      <w:lvlJc w:val="right"/>
      <w:pPr>
        <w:ind w:left="3912" w:hanging="180"/>
      </w:pPr>
    </w:lvl>
    <w:lvl w:ilvl="3" w:tplc="040A000F" w:tentative="1">
      <w:start w:val="1"/>
      <w:numFmt w:val="decimal"/>
      <w:lvlText w:val="%4."/>
      <w:lvlJc w:val="left"/>
      <w:pPr>
        <w:ind w:left="4632" w:hanging="360"/>
      </w:pPr>
    </w:lvl>
    <w:lvl w:ilvl="4" w:tplc="040A0019" w:tentative="1">
      <w:start w:val="1"/>
      <w:numFmt w:val="lowerLetter"/>
      <w:lvlText w:val="%5."/>
      <w:lvlJc w:val="left"/>
      <w:pPr>
        <w:ind w:left="5352" w:hanging="360"/>
      </w:pPr>
    </w:lvl>
    <w:lvl w:ilvl="5" w:tplc="040A001B" w:tentative="1">
      <w:start w:val="1"/>
      <w:numFmt w:val="lowerRoman"/>
      <w:lvlText w:val="%6."/>
      <w:lvlJc w:val="right"/>
      <w:pPr>
        <w:ind w:left="6072" w:hanging="180"/>
      </w:pPr>
    </w:lvl>
    <w:lvl w:ilvl="6" w:tplc="040A000F" w:tentative="1">
      <w:start w:val="1"/>
      <w:numFmt w:val="decimal"/>
      <w:lvlText w:val="%7."/>
      <w:lvlJc w:val="left"/>
      <w:pPr>
        <w:ind w:left="6792" w:hanging="360"/>
      </w:pPr>
    </w:lvl>
    <w:lvl w:ilvl="7" w:tplc="040A0019" w:tentative="1">
      <w:start w:val="1"/>
      <w:numFmt w:val="lowerLetter"/>
      <w:lvlText w:val="%8."/>
      <w:lvlJc w:val="left"/>
      <w:pPr>
        <w:ind w:left="7512" w:hanging="360"/>
      </w:pPr>
    </w:lvl>
    <w:lvl w:ilvl="8" w:tplc="040A001B" w:tentative="1">
      <w:start w:val="1"/>
      <w:numFmt w:val="lowerRoman"/>
      <w:lvlText w:val="%9."/>
      <w:lvlJc w:val="right"/>
      <w:pPr>
        <w:ind w:left="8232" w:hanging="180"/>
      </w:pPr>
    </w:lvl>
  </w:abstractNum>
  <w:abstractNum w:abstractNumId="3">
    <w:nsid w:val="117C64E6"/>
    <w:multiLevelType w:val="hybridMultilevel"/>
    <w:tmpl w:val="7B6407AE"/>
    <w:lvl w:ilvl="0" w:tplc="BA48E342">
      <w:start w:val="10"/>
      <w:numFmt w:val="decimal"/>
      <w:lvlText w:val="%1)"/>
      <w:lvlJc w:val="left"/>
      <w:pPr>
        <w:ind w:left="3462" w:hanging="360"/>
      </w:pPr>
      <w:rPr>
        <w:rFonts w:hint="default"/>
      </w:rPr>
    </w:lvl>
    <w:lvl w:ilvl="1" w:tplc="380A000F">
      <w:start w:val="1"/>
      <w:numFmt w:val="decimal"/>
      <w:lvlText w:val="%2."/>
      <w:lvlJc w:val="left"/>
      <w:pPr>
        <w:ind w:left="2430" w:hanging="360"/>
      </w:pPr>
    </w:lvl>
    <w:lvl w:ilvl="2" w:tplc="2C0A001B" w:tentative="1">
      <w:start w:val="1"/>
      <w:numFmt w:val="lowerRoman"/>
      <w:lvlText w:val="%3."/>
      <w:lvlJc w:val="right"/>
      <w:pPr>
        <w:ind w:left="3150" w:hanging="180"/>
      </w:pPr>
    </w:lvl>
    <w:lvl w:ilvl="3" w:tplc="2C0A000F" w:tentative="1">
      <w:start w:val="1"/>
      <w:numFmt w:val="decimal"/>
      <w:lvlText w:val="%4."/>
      <w:lvlJc w:val="left"/>
      <w:pPr>
        <w:ind w:left="3870" w:hanging="360"/>
      </w:pPr>
    </w:lvl>
    <w:lvl w:ilvl="4" w:tplc="2C0A0019" w:tentative="1">
      <w:start w:val="1"/>
      <w:numFmt w:val="lowerLetter"/>
      <w:lvlText w:val="%5."/>
      <w:lvlJc w:val="left"/>
      <w:pPr>
        <w:ind w:left="4590" w:hanging="360"/>
      </w:pPr>
    </w:lvl>
    <w:lvl w:ilvl="5" w:tplc="2C0A001B" w:tentative="1">
      <w:start w:val="1"/>
      <w:numFmt w:val="lowerRoman"/>
      <w:lvlText w:val="%6."/>
      <w:lvlJc w:val="right"/>
      <w:pPr>
        <w:ind w:left="5310" w:hanging="180"/>
      </w:pPr>
    </w:lvl>
    <w:lvl w:ilvl="6" w:tplc="2C0A000F" w:tentative="1">
      <w:start w:val="1"/>
      <w:numFmt w:val="decimal"/>
      <w:lvlText w:val="%7."/>
      <w:lvlJc w:val="left"/>
      <w:pPr>
        <w:ind w:left="6030" w:hanging="360"/>
      </w:pPr>
    </w:lvl>
    <w:lvl w:ilvl="7" w:tplc="2C0A0019" w:tentative="1">
      <w:start w:val="1"/>
      <w:numFmt w:val="lowerLetter"/>
      <w:lvlText w:val="%8."/>
      <w:lvlJc w:val="left"/>
      <w:pPr>
        <w:ind w:left="6750" w:hanging="360"/>
      </w:pPr>
    </w:lvl>
    <w:lvl w:ilvl="8" w:tplc="2C0A001B" w:tentative="1">
      <w:start w:val="1"/>
      <w:numFmt w:val="lowerRoman"/>
      <w:lvlText w:val="%9."/>
      <w:lvlJc w:val="right"/>
      <w:pPr>
        <w:ind w:left="7470" w:hanging="180"/>
      </w:pPr>
    </w:lvl>
  </w:abstractNum>
  <w:abstractNum w:abstractNumId="4">
    <w:nsid w:val="2AA6582C"/>
    <w:multiLevelType w:val="hybridMultilevel"/>
    <w:tmpl w:val="C7742F38"/>
    <w:lvl w:ilvl="0" w:tplc="38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CCB7C2A"/>
    <w:multiLevelType w:val="hybridMultilevel"/>
    <w:tmpl w:val="1BA4D9FC"/>
    <w:lvl w:ilvl="0" w:tplc="040A0011">
      <w:start w:val="1"/>
      <w:numFmt w:val="decimal"/>
      <w:lvlText w:val="%1)"/>
      <w:lvlJc w:val="left"/>
      <w:pPr>
        <w:ind w:left="644"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440C4CF7"/>
    <w:multiLevelType w:val="hybridMultilevel"/>
    <w:tmpl w:val="E84C629C"/>
    <w:lvl w:ilvl="0" w:tplc="BA48E342">
      <w:start w:val="10"/>
      <w:numFmt w:val="decimal"/>
      <w:lvlText w:val="%1)"/>
      <w:lvlJc w:val="left"/>
      <w:pPr>
        <w:ind w:left="2472"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AD632E7"/>
    <w:multiLevelType w:val="hybridMultilevel"/>
    <w:tmpl w:val="1AEACA68"/>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nsid w:val="4B7B7200"/>
    <w:multiLevelType w:val="multilevel"/>
    <w:tmpl w:val="5CC0A838"/>
    <w:lvl w:ilvl="0">
      <w:start w:val="5"/>
      <w:numFmt w:val="decimal"/>
      <w:lvlText w:val="%1."/>
      <w:lvlJc w:val="left"/>
      <w:pPr>
        <w:ind w:left="405" w:hanging="405"/>
      </w:pPr>
      <w:rPr>
        <w:rFonts w:hint="default"/>
      </w:rPr>
    </w:lvl>
    <w:lvl w:ilvl="1">
      <w:start w:val="1"/>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9">
    <w:nsid w:val="4DBB5623"/>
    <w:multiLevelType w:val="hybridMultilevel"/>
    <w:tmpl w:val="7254A0BC"/>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E666519"/>
    <w:multiLevelType w:val="multilevel"/>
    <w:tmpl w:val="2DB842E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lang w:val="es-ES_tradn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597E107D"/>
    <w:multiLevelType w:val="hybridMultilevel"/>
    <w:tmpl w:val="EC18F0E0"/>
    <w:lvl w:ilvl="0" w:tplc="73529B72">
      <w:start w:val="3"/>
      <w:numFmt w:val="decimal"/>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2">
    <w:nsid w:val="617D4463"/>
    <w:multiLevelType w:val="hybridMultilevel"/>
    <w:tmpl w:val="7EEA734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368627A"/>
    <w:multiLevelType w:val="hybridMultilevel"/>
    <w:tmpl w:val="D606422C"/>
    <w:lvl w:ilvl="0" w:tplc="3BD853EC">
      <w:start w:val="10"/>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64067566"/>
    <w:multiLevelType w:val="multilevel"/>
    <w:tmpl w:val="2F2285D4"/>
    <w:lvl w:ilvl="0">
      <w:start w:val="5"/>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15">
    <w:nsid w:val="6F003557"/>
    <w:multiLevelType w:val="hybridMultilevel"/>
    <w:tmpl w:val="E4DEA3F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73D63B2A"/>
    <w:multiLevelType w:val="hybridMultilevel"/>
    <w:tmpl w:val="FFB6953C"/>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79CF4139"/>
    <w:multiLevelType w:val="multilevel"/>
    <w:tmpl w:val="F74E1FF8"/>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8">
    <w:nsid w:val="7BF37BD9"/>
    <w:multiLevelType w:val="hybridMultilevel"/>
    <w:tmpl w:val="162C080C"/>
    <w:lvl w:ilvl="0" w:tplc="BA48E342">
      <w:start w:val="10"/>
      <w:numFmt w:val="decimal"/>
      <w:lvlText w:val="%1)"/>
      <w:lvlJc w:val="left"/>
      <w:pPr>
        <w:ind w:left="3116" w:hanging="360"/>
      </w:pPr>
      <w:rPr>
        <w:rFonts w:hint="default"/>
      </w:rPr>
    </w:lvl>
    <w:lvl w:ilvl="1" w:tplc="2C0A0019" w:tentative="1">
      <w:start w:val="1"/>
      <w:numFmt w:val="lowerLetter"/>
      <w:lvlText w:val="%2."/>
      <w:lvlJc w:val="left"/>
      <w:pPr>
        <w:ind w:left="2084" w:hanging="360"/>
      </w:pPr>
    </w:lvl>
    <w:lvl w:ilvl="2" w:tplc="2C0A001B" w:tentative="1">
      <w:start w:val="1"/>
      <w:numFmt w:val="lowerRoman"/>
      <w:lvlText w:val="%3."/>
      <w:lvlJc w:val="right"/>
      <w:pPr>
        <w:ind w:left="2804" w:hanging="180"/>
      </w:pPr>
    </w:lvl>
    <w:lvl w:ilvl="3" w:tplc="2C0A000F" w:tentative="1">
      <w:start w:val="1"/>
      <w:numFmt w:val="decimal"/>
      <w:lvlText w:val="%4."/>
      <w:lvlJc w:val="left"/>
      <w:pPr>
        <w:ind w:left="3524" w:hanging="360"/>
      </w:pPr>
    </w:lvl>
    <w:lvl w:ilvl="4" w:tplc="2C0A0019" w:tentative="1">
      <w:start w:val="1"/>
      <w:numFmt w:val="lowerLetter"/>
      <w:lvlText w:val="%5."/>
      <w:lvlJc w:val="left"/>
      <w:pPr>
        <w:ind w:left="4244" w:hanging="360"/>
      </w:pPr>
    </w:lvl>
    <w:lvl w:ilvl="5" w:tplc="2C0A001B" w:tentative="1">
      <w:start w:val="1"/>
      <w:numFmt w:val="lowerRoman"/>
      <w:lvlText w:val="%6."/>
      <w:lvlJc w:val="right"/>
      <w:pPr>
        <w:ind w:left="4964" w:hanging="180"/>
      </w:pPr>
    </w:lvl>
    <w:lvl w:ilvl="6" w:tplc="2C0A000F" w:tentative="1">
      <w:start w:val="1"/>
      <w:numFmt w:val="decimal"/>
      <w:lvlText w:val="%7."/>
      <w:lvlJc w:val="left"/>
      <w:pPr>
        <w:ind w:left="5684" w:hanging="360"/>
      </w:pPr>
    </w:lvl>
    <w:lvl w:ilvl="7" w:tplc="2C0A0019" w:tentative="1">
      <w:start w:val="1"/>
      <w:numFmt w:val="lowerLetter"/>
      <w:lvlText w:val="%8."/>
      <w:lvlJc w:val="left"/>
      <w:pPr>
        <w:ind w:left="6404" w:hanging="360"/>
      </w:pPr>
    </w:lvl>
    <w:lvl w:ilvl="8" w:tplc="2C0A001B" w:tentative="1">
      <w:start w:val="1"/>
      <w:numFmt w:val="lowerRoman"/>
      <w:lvlText w:val="%9."/>
      <w:lvlJc w:val="right"/>
      <w:pPr>
        <w:ind w:left="7124" w:hanging="180"/>
      </w:pPr>
    </w:lvl>
  </w:abstractNum>
  <w:num w:numId="1">
    <w:abstractNumId w:val="5"/>
  </w:num>
  <w:num w:numId="2">
    <w:abstractNumId w:val="9"/>
  </w:num>
  <w:num w:numId="3">
    <w:abstractNumId w:val="16"/>
  </w:num>
  <w:num w:numId="4">
    <w:abstractNumId w:val="0"/>
  </w:num>
  <w:num w:numId="5">
    <w:abstractNumId w:val="12"/>
  </w:num>
  <w:num w:numId="6">
    <w:abstractNumId w:val="15"/>
  </w:num>
  <w:num w:numId="7">
    <w:abstractNumId w:val="7"/>
  </w:num>
  <w:num w:numId="8">
    <w:abstractNumId w:val="1"/>
  </w:num>
  <w:num w:numId="9">
    <w:abstractNumId w:val="4"/>
  </w:num>
  <w:num w:numId="10">
    <w:abstractNumId w:val="17"/>
  </w:num>
  <w:num w:numId="11">
    <w:abstractNumId w:val="10"/>
  </w:num>
  <w:num w:numId="12">
    <w:abstractNumId w:val="13"/>
  </w:num>
  <w:num w:numId="13">
    <w:abstractNumId w:val="2"/>
  </w:num>
  <w:num w:numId="14">
    <w:abstractNumId w:val="11"/>
  </w:num>
  <w:num w:numId="15">
    <w:abstractNumId w:val="8"/>
  </w:num>
  <w:num w:numId="16">
    <w:abstractNumId w:val="14"/>
  </w:num>
  <w:num w:numId="17">
    <w:abstractNumId w:val="18"/>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DFB"/>
    <w:rsid w:val="00052408"/>
    <w:rsid w:val="00062782"/>
    <w:rsid w:val="0007423B"/>
    <w:rsid w:val="000A1D7D"/>
    <w:rsid w:val="000C5C9A"/>
    <w:rsid w:val="000F400E"/>
    <w:rsid w:val="0013061A"/>
    <w:rsid w:val="00150249"/>
    <w:rsid w:val="0015637F"/>
    <w:rsid w:val="001638EB"/>
    <w:rsid w:val="0017195A"/>
    <w:rsid w:val="00197C9F"/>
    <w:rsid w:val="001A3DD8"/>
    <w:rsid w:val="001C2E1D"/>
    <w:rsid w:val="001C6703"/>
    <w:rsid w:val="001D0230"/>
    <w:rsid w:val="001D3B8E"/>
    <w:rsid w:val="001D7431"/>
    <w:rsid w:val="00202FCF"/>
    <w:rsid w:val="0021337E"/>
    <w:rsid w:val="00231096"/>
    <w:rsid w:val="00231698"/>
    <w:rsid w:val="002453CE"/>
    <w:rsid w:val="00256E32"/>
    <w:rsid w:val="0026288D"/>
    <w:rsid w:val="00264B06"/>
    <w:rsid w:val="00290F8F"/>
    <w:rsid w:val="00291765"/>
    <w:rsid w:val="002A1A15"/>
    <w:rsid w:val="002C7FC7"/>
    <w:rsid w:val="002E6FD4"/>
    <w:rsid w:val="002F4DFB"/>
    <w:rsid w:val="002F6AFE"/>
    <w:rsid w:val="00303EFA"/>
    <w:rsid w:val="00307373"/>
    <w:rsid w:val="00333619"/>
    <w:rsid w:val="00333CF2"/>
    <w:rsid w:val="003340F2"/>
    <w:rsid w:val="003369BE"/>
    <w:rsid w:val="003410FE"/>
    <w:rsid w:val="003B3EBF"/>
    <w:rsid w:val="003D5E8D"/>
    <w:rsid w:val="003E3FAC"/>
    <w:rsid w:val="0040303C"/>
    <w:rsid w:val="00440789"/>
    <w:rsid w:val="00455D96"/>
    <w:rsid w:val="00473A20"/>
    <w:rsid w:val="004A5191"/>
    <w:rsid w:val="004B3499"/>
    <w:rsid w:val="004B54E5"/>
    <w:rsid w:val="004D5663"/>
    <w:rsid w:val="00511AB1"/>
    <w:rsid w:val="0052103E"/>
    <w:rsid w:val="005309FA"/>
    <w:rsid w:val="00545696"/>
    <w:rsid w:val="0056469C"/>
    <w:rsid w:val="005700E1"/>
    <w:rsid w:val="005857B8"/>
    <w:rsid w:val="0059508E"/>
    <w:rsid w:val="00595F2F"/>
    <w:rsid w:val="005B62DE"/>
    <w:rsid w:val="005D1FEA"/>
    <w:rsid w:val="005F4991"/>
    <w:rsid w:val="00643C26"/>
    <w:rsid w:val="00671EBE"/>
    <w:rsid w:val="006D45BF"/>
    <w:rsid w:val="006E1B2D"/>
    <w:rsid w:val="006F73E1"/>
    <w:rsid w:val="0070490B"/>
    <w:rsid w:val="00715B6F"/>
    <w:rsid w:val="0072232E"/>
    <w:rsid w:val="007235F8"/>
    <w:rsid w:val="00771209"/>
    <w:rsid w:val="0077226C"/>
    <w:rsid w:val="00786B69"/>
    <w:rsid w:val="00793E15"/>
    <w:rsid w:val="007C203A"/>
    <w:rsid w:val="007C32F7"/>
    <w:rsid w:val="007C50FD"/>
    <w:rsid w:val="008129D0"/>
    <w:rsid w:val="00813D24"/>
    <w:rsid w:val="008304BA"/>
    <w:rsid w:val="008430B7"/>
    <w:rsid w:val="00843DE0"/>
    <w:rsid w:val="0085562E"/>
    <w:rsid w:val="00892EC8"/>
    <w:rsid w:val="008B0B07"/>
    <w:rsid w:val="008B3D08"/>
    <w:rsid w:val="008C15F7"/>
    <w:rsid w:val="008C429C"/>
    <w:rsid w:val="008D1520"/>
    <w:rsid w:val="008F66F1"/>
    <w:rsid w:val="009247EA"/>
    <w:rsid w:val="009331E5"/>
    <w:rsid w:val="00965093"/>
    <w:rsid w:val="0098654E"/>
    <w:rsid w:val="009906D2"/>
    <w:rsid w:val="009B4C9E"/>
    <w:rsid w:val="009E7811"/>
    <w:rsid w:val="00A6549D"/>
    <w:rsid w:val="00A7028F"/>
    <w:rsid w:val="00AA3704"/>
    <w:rsid w:val="00B07992"/>
    <w:rsid w:val="00B2679D"/>
    <w:rsid w:val="00B77AA1"/>
    <w:rsid w:val="00BA2C87"/>
    <w:rsid w:val="00BA4C80"/>
    <w:rsid w:val="00BA66B3"/>
    <w:rsid w:val="00BB02BF"/>
    <w:rsid w:val="00BF0B09"/>
    <w:rsid w:val="00BF5A58"/>
    <w:rsid w:val="00C25858"/>
    <w:rsid w:val="00C36B19"/>
    <w:rsid w:val="00C474CE"/>
    <w:rsid w:val="00C47F53"/>
    <w:rsid w:val="00C63520"/>
    <w:rsid w:val="00C8409F"/>
    <w:rsid w:val="00C938B5"/>
    <w:rsid w:val="00C94768"/>
    <w:rsid w:val="00CB182F"/>
    <w:rsid w:val="00CB30D3"/>
    <w:rsid w:val="00CC0EE6"/>
    <w:rsid w:val="00CD2F50"/>
    <w:rsid w:val="00CE06FE"/>
    <w:rsid w:val="00D049F6"/>
    <w:rsid w:val="00D13DB5"/>
    <w:rsid w:val="00D70258"/>
    <w:rsid w:val="00D72C9A"/>
    <w:rsid w:val="00D86188"/>
    <w:rsid w:val="00DA0998"/>
    <w:rsid w:val="00DA0F9B"/>
    <w:rsid w:val="00DC4C54"/>
    <w:rsid w:val="00DC71B9"/>
    <w:rsid w:val="00E10617"/>
    <w:rsid w:val="00E82856"/>
    <w:rsid w:val="00E94428"/>
    <w:rsid w:val="00EA4A65"/>
    <w:rsid w:val="00EB039E"/>
    <w:rsid w:val="00EE1C21"/>
    <w:rsid w:val="00EF6012"/>
    <w:rsid w:val="00F00D4F"/>
    <w:rsid w:val="00F231F9"/>
    <w:rsid w:val="00F3600C"/>
    <w:rsid w:val="00F37925"/>
    <w:rsid w:val="00F47254"/>
    <w:rsid w:val="00F53DC5"/>
    <w:rsid w:val="00F64D05"/>
    <w:rsid w:val="00F72DB1"/>
    <w:rsid w:val="00FC23F2"/>
    <w:rsid w:val="00FD048C"/>
    <w:rsid w:val="00FE735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69C"/>
  </w:style>
  <w:style w:type="paragraph" w:styleId="Ttulo1">
    <w:name w:val="heading 1"/>
    <w:basedOn w:val="Normal"/>
    <w:next w:val="Normal"/>
    <w:link w:val="Ttulo1Car"/>
    <w:qFormat/>
    <w:rsid w:val="00333619"/>
    <w:pPr>
      <w:keepNext/>
      <w:spacing w:after="0" w:line="360" w:lineRule="auto"/>
      <w:jc w:val="both"/>
      <w:outlineLvl w:val="0"/>
    </w:pPr>
    <w:rPr>
      <w:rFonts w:ascii="Bookman Old Style" w:eastAsia="Times New Roman" w:hAnsi="Bookman Old Style" w:cs="Times New Roman"/>
      <w:b/>
      <w:sz w:val="24"/>
      <w:szCs w:val="20"/>
      <w:lang w:val="es-MX" w:eastAsia="es-ES"/>
    </w:rPr>
  </w:style>
  <w:style w:type="paragraph" w:styleId="Ttulo2">
    <w:name w:val="heading 2"/>
    <w:basedOn w:val="Normal"/>
    <w:next w:val="Normal"/>
    <w:link w:val="Ttulo2Car"/>
    <w:qFormat/>
    <w:rsid w:val="00333619"/>
    <w:pPr>
      <w:keepNext/>
      <w:spacing w:after="0" w:line="360" w:lineRule="auto"/>
      <w:jc w:val="both"/>
      <w:outlineLvl w:val="1"/>
    </w:pPr>
    <w:rPr>
      <w:rFonts w:ascii="Bookman Old Style" w:eastAsia="Times New Roman" w:hAnsi="Bookman Old Style" w:cs="Times New Roman"/>
      <w:b/>
      <w:sz w:val="16"/>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30B7"/>
    <w:pPr>
      <w:ind w:left="720"/>
      <w:contextualSpacing/>
    </w:pPr>
  </w:style>
  <w:style w:type="paragraph" w:customStyle="1" w:styleId="Default">
    <w:name w:val="Default"/>
    <w:rsid w:val="00F231F9"/>
    <w:pPr>
      <w:autoSpaceDE w:val="0"/>
      <w:autoSpaceDN w:val="0"/>
      <w:adjustRightInd w:val="0"/>
      <w:spacing w:after="0" w:line="240" w:lineRule="auto"/>
    </w:pPr>
    <w:rPr>
      <w:rFonts w:ascii="Times New Roman" w:hAnsi="Times New Roman" w:cs="Times New Roman"/>
      <w:color w:val="000000"/>
      <w:sz w:val="24"/>
      <w:szCs w:val="24"/>
      <w:lang w:val="es-AR"/>
    </w:rPr>
  </w:style>
  <w:style w:type="paragraph" w:styleId="Encabezado">
    <w:name w:val="header"/>
    <w:basedOn w:val="Normal"/>
    <w:link w:val="EncabezadoCar"/>
    <w:uiPriority w:val="99"/>
    <w:unhideWhenUsed/>
    <w:rsid w:val="00E828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2856"/>
  </w:style>
  <w:style w:type="paragraph" w:styleId="Piedepgina">
    <w:name w:val="footer"/>
    <w:basedOn w:val="Normal"/>
    <w:link w:val="PiedepginaCar"/>
    <w:uiPriority w:val="99"/>
    <w:unhideWhenUsed/>
    <w:rsid w:val="00E828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2856"/>
  </w:style>
  <w:style w:type="character" w:customStyle="1" w:styleId="Ttulo1Car">
    <w:name w:val="Título 1 Car"/>
    <w:basedOn w:val="Fuentedeprrafopredeter"/>
    <w:link w:val="Ttulo1"/>
    <w:rsid w:val="00333619"/>
    <w:rPr>
      <w:rFonts w:ascii="Bookman Old Style" w:eastAsia="Times New Roman" w:hAnsi="Bookman Old Style" w:cs="Times New Roman"/>
      <w:b/>
      <w:sz w:val="24"/>
      <w:szCs w:val="20"/>
      <w:lang w:val="es-MX" w:eastAsia="es-ES"/>
    </w:rPr>
  </w:style>
  <w:style w:type="character" w:customStyle="1" w:styleId="Ttulo2Car">
    <w:name w:val="Título 2 Car"/>
    <w:basedOn w:val="Fuentedeprrafopredeter"/>
    <w:link w:val="Ttulo2"/>
    <w:rsid w:val="00333619"/>
    <w:rPr>
      <w:rFonts w:ascii="Bookman Old Style" w:eastAsia="Times New Roman" w:hAnsi="Bookman Old Style" w:cs="Times New Roman"/>
      <w:b/>
      <w:sz w:val="16"/>
      <w:szCs w:val="20"/>
      <w:lang w:val="es-MX" w:eastAsia="es-ES"/>
    </w:rPr>
  </w:style>
  <w:style w:type="paragraph" w:styleId="Textodeglobo">
    <w:name w:val="Balloon Text"/>
    <w:basedOn w:val="Normal"/>
    <w:link w:val="TextodegloboCar"/>
    <w:uiPriority w:val="99"/>
    <w:semiHidden/>
    <w:unhideWhenUsed/>
    <w:rsid w:val="003369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469C"/>
  </w:style>
  <w:style w:type="paragraph" w:styleId="Ttulo1">
    <w:name w:val="heading 1"/>
    <w:basedOn w:val="Normal"/>
    <w:next w:val="Normal"/>
    <w:link w:val="Ttulo1Car"/>
    <w:qFormat/>
    <w:rsid w:val="00333619"/>
    <w:pPr>
      <w:keepNext/>
      <w:spacing w:after="0" w:line="360" w:lineRule="auto"/>
      <w:jc w:val="both"/>
      <w:outlineLvl w:val="0"/>
    </w:pPr>
    <w:rPr>
      <w:rFonts w:ascii="Bookman Old Style" w:eastAsia="Times New Roman" w:hAnsi="Bookman Old Style" w:cs="Times New Roman"/>
      <w:b/>
      <w:sz w:val="24"/>
      <w:szCs w:val="20"/>
      <w:lang w:val="es-MX" w:eastAsia="es-ES"/>
    </w:rPr>
  </w:style>
  <w:style w:type="paragraph" w:styleId="Ttulo2">
    <w:name w:val="heading 2"/>
    <w:basedOn w:val="Normal"/>
    <w:next w:val="Normal"/>
    <w:link w:val="Ttulo2Car"/>
    <w:qFormat/>
    <w:rsid w:val="00333619"/>
    <w:pPr>
      <w:keepNext/>
      <w:spacing w:after="0" w:line="360" w:lineRule="auto"/>
      <w:jc w:val="both"/>
      <w:outlineLvl w:val="1"/>
    </w:pPr>
    <w:rPr>
      <w:rFonts w:ascii="Bookman Old Style" w:eastAsia="Times New Roman" w:hAnsi="Bookman Old Style" w:cs="Times New Roman"/>
      <w:b/>
      <w:sz w:val="16"/>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30B7"/>
    <w:pPr>
      <w:ind w:left="720"/>
      <w:contextualSpacing/>
    </w:pPr>
  </w:style>
  <w:style w:type="paragraph" w:customStyle="1" w:styleId="Default">
    <w:name w:val="Default"/>
    <w:rsid w:val="00F231F9"/>
    <w:pPr>
      <w:autoSpaceDE w:val="0"/>
      <w:autoSpaceDN w:val="0"/>
      <w:adjustRightInd w:val="0"/>
      <w:spacing w:after="0" w:line="240" w:lineRule="auto"/>
    </w:pPr>
    <w:rPr>
      <w:rFonts w:ascii="Times New Roman" w:hAnsi="Times New Roman" w:cs="Times New Roman"/>
      <w:color w:val="000000"/>
      <w:sz w:val="24"/>
      <w:szCs w:val="24"/>
      <w:lang w:val="es-AR"/>
    </w:rPr>
  </w:style>
  <w:style w:type="paragraph" w:styleId="Encabezado">
    <w:name w:val="header"/>
    <w:basedOn w:val="Normal"/>
    <w:link w:val="EncabezadoCar"/>
    <w:uiPriority w:val="99"/>
    <w:unhideWhenUsed/>
    <w:rsid w:val="00E828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2856"/>
  </w:style>
  <w:style w:type="paragraph" w:styleId="Piedepgina">
    <w:name w:val="footer"/>
    <w:basedOn w:val="Normal"/>
    <w:link w:val="PiedepginaCar"/>
    <w:uiPriority w:val="99"/>
    <w:unhideWhenUsed/>
    <w:rsid w:val="00E828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2856"/>
  </w:style>
  <w:style w:type="character" w:customStyle="1" w:styleId="Ttulo1Car">
    <w:name w:val="Título 1 Car"/>
    <w:basedOn w:val="Fuentedeprrafopredeter"/>
    <w:link w:val="Ttulo1"/>
    <w:rsid w:val="00333619"/>
    <w:rPr>
      <w:rFonts w:ascii="Bookman Old Style" w:eastAsia="Times New Roman" w:hAnsi="Bookman Old Style" w:cs="Times New Roman"/>
      <w:b/>
      <w:sz w:val="24"/>
      <w:szCs w:val="20"/>
      <w:lang w:val="es-MX" w:eastAsia="es-ES"/>
    </w:rPr>
  </w:style>
  <w:style w:type="character" w:customStyle="1" w:styleId="Ttulo2Car">
    <w:name w:val="Título 2 Car"/>
    <w:basedOn w:val="Fuentedeprrafopredeter"/>
    <w:link w:val="Ttulo2"/>
    <w:rsid w:val="00333619"/>
    <w:rPr>
      <w:rFonts w:ascii="Bookman Old Style" w:eastAsia="Times New Roman" w:hAnsi="Bookman Old Style" w:cs="Times New Roman"/>
      <w:b/>
      <w:sz w:val="16"/>
      <w:szCs w:val="20"/>
      <w:lang w:val="es-MX" w:eastAsia="es-ES"/>
    </w:rPr>
  </w:style>
  <w:style w:type="paragraph" w:styleId="Textodeglobo">
    <w:name w:val="Balloon Text"/>
    <w:basedOn w:val="Normal"/>
    <w:link w:val="TextodegloboCar"/>
    <w:uiPriority w:val="99"/>
    <w:semiHidden/>
    <w:unhideWhenUsed/>
    <w:rsid w:val="003369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69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F5BD3-C4F2-45BA-98B9-3C2C3911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1419</Words>
  <Characters>7806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4</cp:revision>
  <cp:lastPrinted>2017-02-10T18:25:00Z</cp:lastPrinted>
  <dcterms:created xsi:type="dcterms:W3CDTF">2017-02-10T18:25:00Z</dcterms:created>
  <dcterms:modified xsi:type="dcterms:W3CDTF">2017-10-24T18:47:00Z</dcterms:modified>
</cp:coreProperties>
</file>