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05" w:rsidRPr="00EC0305" w:rsidRDefault="00EC0305" w:rsidP="00EC0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CARPETA: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N° 2015-17-1-0000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9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98</w:t>
      </w:r>
    </w:p>
    <w:p w:rsidR="00EC0305" w:rsidRPr="00EC0305" w:rsidRDefault="00EC0305" w:rsidP="00EC0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Entrada</w:t>
      </w:r>
      <w:r w:rsidR="00F87D60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Nº </w:t>
      </w:r>
      <w:r w:rsidR="00132375">
        <w:rPr>
          <w:rFonts w:ascii="Arial" w:eastAsia="Times New Roman" w:hAnsi="Arial" w:cs="Arial"/>
          <w:sz w:val="24"/>
          <w:szCs w:val="24"/>
          <w:lang w:val="es-ES" w:eastAsia="es-ES"/>
        </w:rPr>
        <w:t>4099</w:t>
      </w:r>
      <w:r w:rsidR="00F87D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4304</w:t>
      </w:r>
      <w:r w:rsidR="00132375">
        <w:rPr>
          <w:rFonts w:ascii="Arial" w:eastAsia="Times New Roman" w:hAnsi="Arial" w:cs="Arial"/>
          <w:sz w:val="24"/>
          <w:szCs w:val="24"/>
          <w:lang w:val="es-ES" w:eastAsia="es-ES"/>
        </w:rPr>
        <w:t>/17</w:t>
      </w:r>
      <w:r w:rsidR="00F162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</w:t>
      </w:r>
      <w:r w:rsidR="00F87D60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F162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32375">
        <w:rPr>
          <w:rFonts w:ascii="Arial" w:eastAsia="Times New Roman" w:hAnsi="Arial" w:cs="Arial"/>
          <w:sz w:val="24"/>
          <w:szCs w:val="24"/>
          <w:lang w:val="es-ES" w:eastAsia="es-ES"/>
        </w:rPr>
        <w:t>10/08/17</w:t>
      </w:r>
      <w:r w:rsidR="00F87D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18/08/17</w:t>
      </w:r>
    </w:p>
    <w:p w:rsidR="00EC0305" w:rsidRPr="00EC0305" w:rsidRDefault="00EC0305" w:rsidP="00EC0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C0305" w:rsidRPr="00EC0305" w:rsidRDefault="00EC0305" w:rsidP="00EC030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Montevideo, </w:t>
      </w:r>
      <w:r w:rsidR="00132375">
        <w:rPr>
          <w:rFonts w:ascii="Arial" w:eastAsia="Times New Roman" w:hAnsi="Arial" w:cs="Arial"/>
          <w:sz w:val="24"/>
          <w:szCs w:val="24"/>
          <w:lang w:val="es-ES" w:eastAsia="es-ES"/>
        </w:rPr>
        <w:t>23 de agosto de 2017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EC0305" w:rsidRPr="00EC0305" w:rsidRDefault="00EC0305" w:rsidP="00EC0305">
      <w:pPr>
        <w:keepNext/>
        <w:spacing w:after="12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EC0305" w:rsidRPr="00EC0305" w:rsidRDefault="00EC0305" w:rsidP="00EC0305">
      <w:pPr>
        <w:keepNext/>
        <w:spacing w:after="12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PROYECTO DE RESOLUCIÓN</w:t>
      </w:r>
    </w:p>
    <w:p w:rsidR="00EC0305" w:rsidRDefault="00EC0305" w:rsidP="00EC0305">
      <w:pPr>
        <w:keepNext/>
        <w:spacing w:after="0" w:line="360" w:lineRule="auto"/>
        <w:jc w:val="both"/>
        <w:outlineLvl w:val="0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C0305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VISTO: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las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nuevas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actuaciones remitidas por</w:t>
      </w:r>
      <w:r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la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Administración Nacional de Telecomunicaciones, relacionado con la reiteración del gasto derivado de </w:t>
      </w:r>
      <w:r w:rsidRP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</w:t>
      </w:r>
      <w:r w:rsidR="0013237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ampliación de la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contratación directa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de servicio técnico d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e soporte de software (soporte técnico) para el sistema de tasación en tiempo real (C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harging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system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&amp;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mobile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broadband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charging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);</w:t>
      </w: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RESULTANDO: 1) </w:t>
      </w:r>
      <w:r w:rsidRPr="00EC0305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Pr="00EC030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por resolución </w:t>
      </w:r>
      <w:r w:rsidRPr="00EC030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N°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91/1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5 (Acta N° 2526) de fecha 30.01.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15 el Directorio adjudicó a C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ompañía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E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ricsson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ruguay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S.A.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 un precio total de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software y hardware</w:t>
      </w:r>
      <w:r w:rsidR="0057698D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F16216">
        <w:rPr>
          <w:rFonts w:ascii="Arial" w:eastAsia="Times New Roman" w:hAnsi="Arial" w:cs="Arial"/>
          <w:sz w:val="24"/>
          <w:szCs w:val="24"/>
          <w:lang w:val="es-MX" w:eastAsia="es-ES"/>
        </w:rPr>
        <w:t>equivalente 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U$S 4:488.000 más </w:t>
      </w:r>
      <w:r w:rsidR="00F1621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U$S </w:t>
      </w:r>
      <w:r w:rsidR="00A975BA">
        <w:rPr>
          <w:rFonts w:ascii="Arial" w:eastAsia="Times New Roman" w:hAnsi="Arial" w:cs="Arial"/>
          <w:sz w:val="24"/>
          <w:szCs w:val="24"/>
          <w:lang w:val="es-MX" w:eastAsia="es-ES"/>
        </w:rPr>
        <w:t>987.360</w:t>
      </w:r>
      <w:r w:rsidR="00F1621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IVA, s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iendo el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monto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total </w:t>
      </w:r>
      <w:r w:rsidR="001F23D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>U$S 5:475.360;</w:t>
      </w:r>
    </w:p>
    <w:p w:rsidR="00EA7B80" w:rsidRDefault="00EC0305" w:rsidP="00EC0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  <w:t xml:space="preserve">                    2)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este Tribunal, en Sesión de fecha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11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15, acordó observar el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gasto, en razón de que la adjudicación realizada a favor de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ompañía 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Ericsson Uruguay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S.A. contraviene las normas en materia de responsabilidad contractual, por cuanto surge de la oferta que</w:t>
      </w:r>
      <w:r w:rsidR="00D409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7698D">
        <w:rPr>
          <w:rFonts w:ascii="Arial" w:eastAsia="Times New Roman" w:hAnsi="Arial" w:cs="Arial"/>
          <w:sz w:val="24"/>
          <w:szCs w:val="24"/>
          <w:lang w:val="es-ES" w:eastAsia="es-ES"/>
        </w:rPr>
        <w:t>fir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 ha limitado el alcance de su responsabilidad contractual frente a la Administración, cercenando el derecho de ésta a la reparación integral del daño en caso de incumplimiento,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contraviniéndose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Punto 9 Multas del Pliego de Condi</w:t>
      </w:r>
      <w:r w:rsidR="00F6410F">
        <w:rPr>
          <w:rFonts w:ascii="Arial" w:eastAsia="Times New Roman" w:hAnsi="Arial" w:cs="Arial"/>
          <w:sz w:val="24"/>
          <w:szCs w:val="24"/>
          <w:lang w:val="es-ES" w:eastAsia="es-ES"/>
        </w:rPr>
        <w:t>ciones que rige la contratación;</w:t>
      </w:r>
    </w:p>
    <w:p w:rsidR="00132375" w:rsidRPr="00132375" w:rsidRDefault="00EC0305" w:rsidP="00132375">
      <w:pPr>
        <w:tabs>
          <w:tab w:val="left" w:pos="1985"/>
        </w:tabs>
        <w:spacing w:line="360" w:lineRule="auto"/>
        <w:ind w:firstLine="1843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por Resolución Nº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746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/15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(Acta 2536)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19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15, el Directorio dispuso reiterar el gasto, </w:t>
      </w:r>
      <w:r w:rsidR="00132375">
        <w:rPr>
          <w:rFonts w:cs="Arial"/>
          <w:szCs w:val="24"/>
        </w:rPr>
        <w:t xml:space="preserve"> </w:t>
      </w:r>
      <w:r w:rsidR="00132375" w:rsidRPr="00132375">
        <w:rPr>
          <w:rFonts w:ascii="Arial" w:hAnsi="Arial" w:cs="Arial"/>
          <w:sz w:val="24"/>
          <w:szCs w:val="24"/>
        </w:rPr>
        <w:t xml:space="preserve">y </w:t>
      </w:r>
      <w:r w:rsidR="00132375" w:rsidRPr="00132375">
        <w:rPr>
          <w:rFonts w:ascii="Arial" w:hAnsi="Arial" w:cs="Arial"/>
          <w:bCs/>
          <w:sz w:val="24"/>
          <w:szCs w:val="24"/>
          <w:lang w:val="es-MX"/>
        </w:rPr>
        <w:t xml:space="preserve">este </w:t>
      </w:r>
      <w:r w:rsidR="0057698D">
        <w:rPr>
          <w:rFonts w:ascii="Arial" w:hAnsi="Arial" w:cs="Arial"/>
          <w:bCs/>
          <w:sz w:val="24"/>
          <w:szCs w:val="24"/>
          <w:lang w:val="es-MX"/>
        </w:rPr>
        <w:t>Tribunal mantuvo la observación</w:t>
      </w:r>
      <w:r w:rsidR="00132375" w:rsidRPr="00132375">
        <w:rPr>
          <w:rFonts w:ascii="Arial" w:hAnsi="Arial" w:cs="Arial"/>
          <w:bCs/>
          <w:sz w:val="24"/>
          <w:szCs w:val="24"/>
          <w:lang w:val="es-MX"/>
        </w:rPr>
        <w:t>,</w:t>
      </w:r>
      <w:r w:rsidR="0057698D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132375" w:rsidRPr="00132375">
        <w:rPr>
          <w:rFonts w:ascii="Arial" w:hAnsi="Arial" w:cs="Arial"/>
          <w:bCs/>
          <w:sz w:val="24"/>
          <w:szCs w:val="24"/>
          <w:lang w:val="es-MX"/>
        </w:rPr>
        <w:t>en sesión de fecha 02.12.15;</w:t>
      </w:r>
    </w:p>
    <w:p w:rsidR="00132375" w:rsidRDefault="00132375" w:rsidP="00132375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  <w:t xml:space="preserve">              4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132375">
        <w:rPr>
          <w:rFonts w:ascii="Arial" w:hAnsi="Arial" w:cs="Arial"/>
          <w:bCs/>
          <w:sz w:val="24"/>
          <w:szCs w:val="24"/>
          <w:lang w:val="es-MX"/>
        </w:rPr>
        <w:t xml:space="preserve">que por  Resolución Nº 532/17 </w:t>
      </w:r>
      <w:r w:rsidR="0057698D">
        <w:rPr>
          <w:rFonts w:ascii="Arial" w:hAnsi="Arial" w:cs="Arial"/>
          <w:bCs/>
          <w:sz w:val="24"/>
          <w:szCs w:val="24"/>
          <w:lang w:val="es-MX"/>
        </w:rPr>
        <w:t>d</w:t>
      </w:r>
      <w:r w:rsidRPr="00132375">
        <w:rPr>
          <w:rFonts w:ascii="Arial" w:hAnsi="Arial" w:cs="Arial"/>
          <w:bCs/>
          <w:sz w:val="24"/>
          <w:szCs w:val="24"/>
          <w:lang w:val="es-MX"/>
        </w:rPr>
        <w:t>e fecha 01.06.17, se  aprob</w:t>
      </w:r>
      <w:r>
        <w:rPr>
          <w:rFonts w:ascii="Arial" w:hAnsi="Arial" w:cs="Arial"/>
          <w:bCs/>
          <w:sz w:val="24"/>
          <w:szCs w:val="24"/>
          <w:lang w:val="es-MX"/>
        </w:rPr>
        <w:t>ó</w:t>
      </w:r>
      <w:r w:rsidRPr="00132375">
        <w:rPr>
          <w:rFonts w:ascii="Arial" w:hAnsi="Arial" w:cs="Arial"/>
          <w:bCs/>
          <w:sz w:val="24"/>
          <w:szCs w:val="24"/>
          <w:lang w:val="es-MX"/>
        </w:rPr>
        <w:t>, sujeta a la intervención preventiva de legalidad del Tribunal de Cuentas,  la adjudicación, de la ampliación ,</w:t>
      </w:r>
      <w:r w:rsidR="0057698D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132375">
        <w:rPr>
          <w:rFonts w:ascii="Arial" w:hAnsi="Arial" w:cs="Arial"/>
          <w:bCs/>
          <w:sz w:val="24"/>
          <w:szCs w:val="24"/>
          <w:lang w:val="es-MX"/>
        </w:rPr>
        <w:t xml:space="preserve">en los términos aconsejados por la </w:t>
      </w:r>
      <w:r w:rsidRPr="00132375">
        <w:rPr>
          <w:rFonts w:ascii="Arial" w:hAnsi="Arial" w:cs="Arial"/>
          <w:bCs/>
          <w:sz w:val="24"/>
          <w:szCs w:val="24"/>
          <w:lang w:val="es-MX"/>
        </w:rPr>
        <w:lastRenderedPageBreak/>
        <w:t>Comisión Asesora de Adjudicaciones ,de acuerdo a lo dispuest</w:t>
      </w:r>
      <w:r>
        <w:rPr>
          <w:rFonts w:ascii="Arial" w:hAnsi="Arial" w:cs="Arial"/>
          <w:bCs/>
          <w:sz w:val="24"/>
          <w:szCs w:val="24"/>
          <w:lang w:val="es-MX"/>
        </w:rPr>
        <w:t>o por el artículo 74 del TOCAF</w:t>
      </w:r>
    </w:p>
    <w:p w:rsidR="00132375" w:rsidRPr="00132375" w:rsidRDefault="00132375" w:rsidP="00132375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                           </w:t>
      </w:r>
      <w:r w:rsidRPr="00132375">
        <w:rPr>
          <w:rFonts w:ascii="Arial" w:hAnsi="Arial" w:cs="Arial"/>
          <w:b/>
          <w:bCs/>
          <w:sz w:val="24"/>
          <w:szCs w:val="24"/>
          <w:lang w:val="es-MX"/>
        </w:rPr>
        <w:t>5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132375">
        <w:rPr>
          <w:rFonts w:ascii="Arial" w:eastAsia="Times New Roman" w:hAnsi="Arial" w:cs="Arial"/>
          <w:bCs/>
          <w:sz w:val="24"/>
          <w:szCs w:val="24"/>
          <w:lang w:val="es-ES" w:eastAsia="es-ES"/>
        </w:rPr>
        <w:t>que este Tribunal</w:t>
      </w:r>
      <w:r w:rsidR="0057698D">
        <w:rPr>
          <w:rFonts w:ascii="Arial" w:eastAsia="Times New Roman" w:hAnsi="Arial" w:cs="Arial"/>
          <w:bCs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 w:rsidR="0057698D">
        <w:rPr>
          <w:rFonts w:ascii="Arial" w:eastAsia="Times New Roman" w:hAnsi="Arial" w:cs="Arial"/>
          <w:bCs/>
          <w:sz w:val="24"/>
          <w:szCs w:val="24"/>
          <w:lang w:val="es-ES" w:eastAsia="es-ES"/>
        </w:rPr>
        <w:t>por Resolución  Nº 2242/17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fecha 12.</w:t>
      </w:r>
      <w:r w:rsidRPr="00132375">
        <w:rPr>
          <w:rFonts w:ascii="Arial" w:eastAsia="Times New Roman" w:hAnsi="Arial" w:cs="Arial"/>
          <w:bCs/>
          <w:sz w:val="24"/>
          <w:szCs w:val="24"/>
          <w:lang w:val="es-ES" w:eastAsia="es-ES"/>
        </w:rPr>
        <w:t>07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  <w:r w:rsidRPr="00132375">
        <w:rPr>
          <w:rFonts w:ascii="Arial" w:eastAsia="Times New Roman" w:hAnsi="Arial" w:cs="Arial"/>
          <w:bCs/>
          <w:sz w:val="24"/>
          <w:szCs w:val="24"/>
          <w:lang w:val="es-ES" w:eastAsia="es-ES"/>
        </w:rPr>
        <w:t>17</w:t>
      </w:r>
      <w:r w:rsidR="0057698D">
        <w:rPr>
          <w:rFonts w:ascii="Arial" w:eastAsia="Times New Roman" w:hAnsi="Arial" w:cs="Arial"/>
          <w:bCs/>
          <w:sz w:val="24"/>
          <w:szCs w:val="24"/>
          <w:lang w:val="es-ES" w:eastAsia="es-ES"/>
        </w:rPr>
        <w:t>,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acordó observar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gasto en tanto </w:t>
      </w:r>
      <w:r w:rsidR="0057698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mism</w:t>
      </w:r>
      <w:r w:rsidR="0057698D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132375">
        <w:rPr>
          <w:rFonts w:ascii="Arial" w:hAnsi="Arial" w:cs="Arial"/>
          <w:bCs/>
          <w:sz w:val="24"/>
          <w:szCs w:val="24"/>
          <w:lang w:val="es-MX"/>
        </w:rPr>
        <w:t>deriva de una contratación cuyo gasto fue observado por motivos insubsanables, que irradian sus efectos a la presente ampliación;</w:t>
      </w:r>
    </w:p>
    <w:p w:rsidR="00EA7B80" w:rsidRPr="00132375" w:rsidRDefault="00132375" w:rsidP="00132375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3237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6)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que por Resolución Nº 798/17 de fecha 03.08.17, el Directorio dispuso reiterar el gasto 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expresando que resulta necesario contar con la contratación para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asegurar el correcto funcionamiento del sistema de Tasación en Tiempo Real (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Charging system &amp; mobile broadband charging</w:t>
      </w:r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), el cual permite a Antel la definición de nuevos productos comerciales y el ajuste de tarifas con tiempos de implementación relativamente cortos, lo cual es fundamental dada la situación de competencia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en el</w:t>
      </w:r>
      <w:r w:rsidR="00F6410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mercado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757C35" w:rsidRDefault="00EC0305" w:rsidP="00757C35">
      <w:pPr>
        <w:spacing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ONSIDERANDO: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>os argumentos esgrimidos por la Administración actuante en ocasión de reiterar el gasto, no refieren</w:t>
      </w:r>
      <w:r w:rsidR="0057698D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directamente 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a la causal que originó la observación oportunamente formulada</w:t>
      </w:r>
      <w:r w:rsidR="00045749">
        <w:rPr>
          <w:rFonts w:ascii="Arial" w:eastAsia="Times New Roman" w:hAnsi="Arial" w:cs="Arial"/>
          <w:bCs/>
          <w:sz w:val="24"/>
          <w:szCs w:val="24"/>
          <w:lang w:val="es-ES" w:eastAsia="es-ES"/>
        </w:rPr>
        <w:t>;</w:t>
      </w:r>
    </w:p>
    <w:p w:rsidR="00EC0305" w:rsidRPr="00EC0305" w:rsidRDefault="00EC0305" w:rsidP="00757C35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ATENTO: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 expuesto y a lo dispuesto por el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artículo 211 l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iteral B) de la Constitución de la República;</w:t>
      </w:r>
    </w:p>
    <w:p w:rsidR="00EC0305" w:rsidRPr="00EC0305" w:rsidRDefault="00EC0305" w:rsidP="00EC0305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EC0305" w:rsidRPr="00EC0305" w:rsidRDefault="00EC0305" w:rsidP="00EC030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Mantener la observación formulada en Sesión de fecha</w:t>
      </w:r>
      <w:r w:rsidR="0013237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12.07.17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EC0305" w:rsidRPr="00EC0305" w:rsidRDefault="00EC0305" w:rsidP="00EC030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General.</w:t>
      </w:r>
    </w:p>
    <w:p w:rsidR="00EC0305" w:rsidRPr="00EC0305" w:rsidRDefault="00EC0305" w:rsidP="00EC030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Comunicar al Poder Ejecutivo</w:t>
      </w:r>
      <w:r w:rsidR="00F162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EC0305" w:rsidRPr="00EC0305" w:rsidRDefault="00966248" w:rsidP="00EC030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Archivar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actuaciones.</w:t>
      </w: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s-ES" w:eastAsia="es-ES"/>
        </w:rPr>
      </w:pPr>
    </w:p>
    <w:p w:rsidR="00EC0305" w:rsidRPr="00EC0305" w:rsidRDefault="00EC0305" w:rsidP="00EC0305">
      <w:pPr>
        <w:spacing w:after="12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</w:pP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</w:pPr>
      <w:r w:rsidRPr="00EC0305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Materia</w:t>
      </w:r>
      <w:r w:rsidR="00B55851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:</w:t>
      </w:r>
      <w:r w:rsidRPr="00EC0305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 xml:space="preserve"> </w:t>
      </w:r>
      <w:r w:rsidR="00F42E0E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Contrataci</w:t>
      </w:r>
      <w:r w:rsidR="00B74D7B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ó</w:t>
      </w:r>
      <w:r w:rsidR="00F42E0E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n Directa</w:t>
      </w: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</w:pPr>
      <w:r w:rsidRPr="00EC0305"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  <w:t>Característica: Observada, reiterada, mantenida</w:t>
      </w:r>
    </w:p>
    <w:p w:rsidR="00132375" w:rsidRDefault="00132375"/>
    <w:sectPr w:rsidR="00132375">
      <w:footerReference w:type="even" r:id="rId9"/>
      <w:footerReference w:type="default" r:id="rId10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75" w:rsidRDefault="00132375">
      <w:pPr>
        <w:spacing w:after="0" w:line="240" w:lineRule="auto"/>
      </w:pPr>
      <w:r>
        <w:separator/>
      </w:r>
    </w:p>
  </w:endnote>
  <w:endnote w:type="continuationSeparator" w:id="0">
    <w:p w:rsidR="00132375" w:rsidRDefault="0013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375" w:rsidRDefault="001323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2375" w:rsidRDefault="001323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375" w:rsidRDefault="001323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7C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2375" w:rsidRDefault="0013237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75" w:rsidRDefault="00132375">
      <w:pPr>
        <w:spacing w:after="0" w:line="240" w:lineRule="auto"/>
      </w:pPr>
      <w:r>
        <w:separator/>
      </w:r>
    </w:p>
  </w:footnote>
  <w:footnote w:type="continuationSeparator" w:id="0">
    <w:p w:rsidR="00132375" w:rsidRDefault="0013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05"/>
    <w:rsid w:val="00045749"/>
    <w:rsid w:val="0005507B"/>
    <w:rsid w:val="00130655"/>
    <w:rsid w:val="00132375"/>
    <w:rsid w:val="001F23DA"/>
    <w:rsid w:val="0057698D"/>
    <w:rsid w:val="00757C35"/>
    <w:rsid w:val="007D5B1A"/>
    <w:rsid w:val="00966248"/>
    <w:rsid w:val="00A975BA"/>
    <w:rsid w:val="00B55851"/>
    <w:rsid w:val="00B74D7B"/>
    <w:rsid w:val="00BC5EF0"/>
    <w:rsid w:val="00BD5708"/>
    <w:rsid w:val="00D40966"/>
    <w:rsid w:val="00DE5DC5"/>
    <w:rsid w:val="00DF7C46"/>
    <w:rsid w:val="00EA7B80"/>
    <w:rsid w:val="00EC0305"/>
    <w:rsid w:val="00F16216"/>
    <w:rsid w:val="00F42E0E"/>
    <w:rsid w:val="00F6410F"/>
    <w:rsid w:val="00F87D60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C030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C030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C0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C030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C030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C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EFAC-9508-4001-8725-1FF2D1EA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2</cp:revision>
  <cp:lastPrinted>2015-11-12T17:42:00Z</cp:lastPrinted>
  <dcterms:created xsi:type="dcterms:W3CDTF">2017-09-11T16:01:00Z</dcterms:created>
  <dcterms:modified xsi:type="dcterms:W3CDTF">2017-09-11T16:01:00Z</dcterms:modified>
</cp:coreProperties>
</file>