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0FF" w:rsidRPr="00786EEB" w:rsidRDefault="008E50FF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2745/17</w:t>
      </w:r>
    </w:p>
    <w:p w:rsidR="008E50FF" w:rsidRDefault="008E50FF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8E50FF" w:rsidRPr="00762B34" w:rsidRDefault="008E50F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8E50FF" w:rsidRPr="00762B34" w:rsidRDefault="008E50FF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8E50FF" w:rsidRPr="00762B34" w:rsidRDefault="008E50F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8E50FF" w:rsidRPr="00762B34" w:rsidRDefault="008E50FF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8E50FF" w:rsidRPr="00762B34" w:rsidRDefault="008E50F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23 DE AGOSTO </w:t>
      </w:r>
      <w:r>
        <w:rPr>
          <w:rFonts w:ascii="Helvetica" w:hAnsi="Helvetica"/>
          <w:b/>
          <w:lang w:val="es-ES_tradnl"/>
        </w:rPr>
        <w:t>DE 2017</w:t>
      </w:r>
    </w:p>
    <w:p w:rsidR="008E50FF" w:rsidRPr="00762B34" w:rsidRDefault="008E50FF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8E50FF" w:rsidRPr="00312F3F" w:rsidRDefault="008E50FF">
      <w:pPr>
        <w:tabs>
          <w:tab w:val="center" w:pos="4253"/>
        </w:tabs>
        <w:suppressAutoHyphens/>
        <w:jc w:val="center"/>
        <w:rPr>
          <w:rFonts w:cs="Arial"/>
          <w:b/>
          <w:lang w:val="es-AR"/>
        </w:rPr>
      </w:pPr>
      <w:r w:rsidRPr="00312F3F">
        <w:rPr>
          <w:rFonts w:cs="Arial"/>
          <w:b/>
          <w:lang w:val="es-AR"/>
        </w:rPr>
        <w:t xml:space="preserve">(E. E. Nº </w:t>
      </w:r>
      <w:r w:rsidR="00312F3F" w:rsidRPr="00312F3F">
        <w:rPr>
          <w:rFonts w:cs="Arial"/>
          <w:b/>
          <w:lang w:val="es-AR"/>
        </w:rPr>
        <w:t>2017-17-1-0004810</w:t>
      </w:r>
      <w:r w:rsidRPr="00312F3F">
        <w:rPr>
          <w:rFonts w:cs="Arial"/>
          <w:b/>
          <w:lang w:val="es-AR"/>
        </w:rPr>
        <w:t xml:space="preserve">, </w:t>
      </w:r>
      <w:proofErr w:type="spellStart"/>
      <w:r w:rsidRPr="00312F3F">
        <w:rPr>
          <w:rFonts w:cs="Arial"/>
          <w:b/>
          <w:lang w:val="es-AR"/>
        </w:rPr>
        <w:t>Ent</w:t>
      </w:r>
      <w:proofErr w:type="spellEnd"/>
      <w:r w:rsidRPr="00312F3F">
        <w:rPr>
          <w:rFonts w:cs="Arial"/>
          <w:b/>
          <w:lang w:val="es-AR"/>
        </w:rPr>
        <w:t xml:space="preserve">. N° </w:t>
      </w:r>
      <w:r w:rsidR="00312F3F" w:rsidRPr="00312F3F">
        <w:rPr>
          <w:rFonts w:cs="Arial"/>
          <w:b/>
          <w:lang w:val="es-AR"/>
        </w:rPr>
        <w:t>3810/17</w:t>
      </w:r>
      <w:r w:rsidRPr="00312F3F">
        <w:rPr>
          <w:rFonts w:cs="Arial"/>
          <w:b/>
          <w:lang w:val="es-AR"/>
        </w:rPr>
        <w:t>)</w:t>
      </w:r>
    </w:p>
    <w:p w:rsidR="008E50FF" w:rsidRPr="00312F3F" w:rsidRDefault="008E50F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312F3F" w:rsidRDefault="00DC19DF" w:rsidP="00312F3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VISTO:</w:t>
      </w:r>
      <w:r>
        <w:rPr>
          <w:rFonts w:cs="Arial"/>
          <w:lang w:val="es" w:eastAsia="es-AR"/>
        </w:rPr>
        <w:t xml:space="preserve"> las actuaciones remitidas por la Administración Nacional de Educación Pública, relacionadas con la adquisición de las un</w:t>
      </w:r>
      <w:r w:rsidR="00312F3F">
        <w:rPr>
          <w:rFonts w:cs="Arial"/>
          <w:lang w:val="es" w:eastAsia="es-AR"/>
        </w:rPr>
        <w:t xml:space="preserve">idades de propiedad horizontal Nos. </w:t>
      </w:r>
      <w:r>
        <w:rPr>
          <w:rFonts w:cs="Arial"/>
          <w:lang w:val="es" w:eastAsia="es-AR"/>
        </w:rPr>
        <w:t>101,</w:t>
      </w:r>
      <w:r w:rsidR="00312F3F">
        <w:rPr>
          <w:rFonts w:cs="Arial"/>
          <w:lang w:val="es" w:eastAsia="es-AR"/>
        </w:rPr>
        <w:t xml:space="preserve"> </w:t>
      </w:r>
      <w:r>
        <w:rPr>
          <w:rFonts w:cs="Arial"/>
          <w:lang w:val="es" w:eastAsia="es-AR"/>
        </w:rPr>
        <w:t>201,</w:t>
      </w:r>
      <w:r w:rsidR="00312F3F">
        <w:rPr>
          <w:rFonts w:cs="Arial"/>
          <w:lang w:val="es" w:eastAsia="es-AR"/>
        </w:rPr>
        <w:t xml:space="preserve"> </w:t>
      </w:r>
      <w:r>
        <w:rPr>
          <w:rFonts w:cs="Arial"/>
          <w:lang w:val="es" w:eastAsia="es-AR"/>
        </w:rPr>
        <w:t>301,</w:t>
      </w:r>
      <w:r w:rsidR="00312F3F">
        <w:rPr>
          <w:rFonts w:cs="Arial"/>
          <w:lang w:val="es" w:eastAsia="es-AR"/>
        </w:rPr>
        <w:t xml:space="preserve"> </w:t>
      </w:r>
      <w:r>
        <w:rPr>
          <w:rFonts w:cs="Arial"/>
          <w:lang w:val="es" w:eastAsia="es-AR"/>
        </w:rPr>
        <w:t>401,</w:t>
      </w:r>
      <w:r w:rsidR="00312F3F">
        <w:rPr>
          <w:rFonts w:cs="Arial"/>
          <w:lang w:val="es" w:eastAsia="es-AR"/>
        </w:rPr>
        <w:t xml:space="preserve"> </w:t>
      </w:r>
      <w:r>
        <w:rPr>
          <w:rFonts w:cs="Arial"/>
          <w:lang w:val="es" w:eastAsia="es-AR"/>
        </w:rPr>
        <w:t>501,</w:t>
      </w:r>
      <w:r w:rsidR="00312F3F">
        <w:rPr>
          <w:rFonts w:cs="Arial"/>
          <w:lang w:val="es" w:eastAsia="es-AR"/>
        </w:rPr>
        <w:t xml:space="preserve"> </w:t>
      </w:r>
      <w:r>
        <w:rPr>
          <w:rFonts w:cs="Arial"/>
          <w:lang w:val="es" w:eastAsia="es-AR"/>
        </w:rPr>
        <w:t>601,</w:t>
      </w:r>
      <w:r w:rsidR="00312F3F">
        <w:rPr>
          <w:rFonts w:cs="Arial"/>
          <w:lang w:val="es" w:eastAsia="es-AR"/>
        </w:rPr>
        <w:t xml:space="preserve"> </w:t>
      </w:r>
      <w:r>
        <w:rPr>
          <w:rFonts w:cs="Arial"/>
          <w:lang w:val="es" w:eastAsia="es-AR"/>
        </w:rPr>
        <w:t>701,</w:t>
      </w:r>
      <w:r w:rsidR="00312F3F">
        <w:rPr>
          <w:rFonts w:cs="Arial"/>
          <w:lang w:val="es" w:eastAsia="es-AR"/>
        </w:rPr>
        <w:t xml:space="preserve"> </w:t>
      </w:r>
      <w:r>
        <w:rPr>
          <w:rFonts w:cs="Arial"/>
          <w:lang w:val="es" w:eastAsia="es-AR"/>
        </w:rPr>
        <w:t>801,</w:t>
      </w:r>
      <w:r w:rsidR="00312F3F">
        <w:rPr>
          <w:rFonts w:cs="Arial"/>
          <w:lang w:val="es" w:eastAsia="es-AR"/>
        </w:rPr>
        <w:t xml:space="preserve"> </w:t>
      </w:r>
      <w:r>
        <w:rPr>
          <w:rFonts w:cs="Arial"/>
          <w:lang w:val="es" w:eastAsia="es-AR"/>
        </w:rPr>
        <w:t>901,</w:t>
      </w:r>
      <w:r w:rsidR="00312F3F">
        <w:rPr>
          <w:rFonts w:cs="Arial"/>
          <w:lang w:val="es" w:eastAsia="es-AR"/>
        </w:rPr>
        <w:t xml:space="preserve"> </w:t>
      </w:r>
      <w:r>
        <w:rPr>
          <w:rFonts w:cs="Arial"/>
          <w:lang w:val="es" w:eastAsia="es-AR"/>
        </w:rPr>
        <w:t>1001,</w:t>
      </w:r>
      <w:r w:rsidR="00312F3F">
        <w:rPr>
          <w:rFonts w:cs="Arial"/>
          <w:lang w:val="es" w:eastAsia="es-AR"/>
        </w:rPr>
        <w:t xml:space="preserve"> </w:t>
      </w:r>
      <w:r>
        <w:rPr>
          <w:rFonts w:cs="Arial"/>
          <w:lang w:val="es" w:eastAsia="es-AR"/>
        </w:rPr>
        <w:t>1101, 1201 y el</w:t>
      </w:r>
      <w:r w:rsidR="00312F3F">
        <w:rPr>
          <w:rFonts w:cs="Arial"/>
          <w:lang w:val="es" w:eastAsia="es-AR"/>
        </w:rPr>
        <w:t xml:space="preserve"> arrendamiento de las unidades N</w:t>
      </w:r>
      <w:r>
        <w:rPr>
          <w:rFonts w:cs="Arial"/>
          <w:lang w:val="es" w:eastAsia="es-AR"/>
        </w:rPr>
        <w:t>os</w:t>
      </w:r>
      <w:r w:rsidR="00312F3F">
        <w:rPr>
          <w:rFonts w:cs="Arial"/>
          <w:lang w:val="es" w:eastAsia="es-AR"/>
        </w:rPr>
        <w:t xml:space="preserve">. </w:t>
      </w:r>
      <w:r>
        <w:rPr>
          <w:rFonts w:cs="Arial"/>
          <w:lang w:val="es" w:eastAsia="es-AR"/>
        </w:rPr>
        <w:t>001, SS101 y SS102  que for</w:t>
      </w:r>
      <w:r w:rsidR="00312F3F">
        <w:rPr>
          <w:rFonts w:cs="Arial"/>
          <w:lang w:val="es" w:eastAsia="es-AR"/>
        </w:rPr>
        <w:t>man el  inmueble ubicado en la Sección Catastral Montevideo, Padrón M</w:t>
      </w:r>
      <w:r>
        <w:rPr>
          <w:rFonts w:cs="Arial"/>
          <w:lang w:val="es" w:eastAsia="es-AR"/>
        </w:rPr>
        <w:t>atriz 5480,  con frente a la Av. Libertador 1409, e ingreso por Av. del Libertador 1409,</w:t>
      </w:r>
      <w:r w:rsidR="00312F3F">
        <w:rPr>
          <w:rFonts w:cs="Arial"/>
          <w:lang w:val="es" w:eastAsia="es-AR"/>
        </w:rPr>
        <w:t xml:space="preserve"> propiedad del Banco de Seguros;</w:t>
      </w:r>
    </w:p>
    <w:p w:rsidR="00312F3F" w:rsidRDefault="00DC19DF" w:rsidP="00312F3F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RESULTANDO: 1)</w:t>
      </w:r>
      <w:r>
        <w:rPr>
          <w:rFonts w:cs="Arial"/>
          <w:lang w:val="es" w:eastAsia="es-AR"/>
        </w:rPr>
        <w:t xml:space="preserve"> que se realizó un acuerdo prelimi</w:t>
      </w:r>
      <w:r w:rsidR="00312F3F">
        <w:rPr>
          <w:rFonts w:cs="Arial"/>
          <w:lang w:val="es" w:eastAsia="es-AR"/>
        </w:rPr>
        <w:t>nar donde el Banco solicitó un precio de $ 7:</w:t>
      </w:r>
      <w:r>
        <w:rPr>
          <w:rFonts w:cs="Arial"/>
          <w:lang w:val="es" w:eastAsia="es-AR"/>
        </w:rPr>
        <w:t>327.000 el que se pagará en 15 años (a una tasa de interés del 7,25 por ciento sobre los saldos)  y a su  vez,  el compromiso de arrendamiento  por 2 años de  las unidades 001, SS101 y SS102 al  Banco de Seguros del Estado,  por el precio mensual de U$S 7.728, U$S 1.788 y U$S 723 respectivamente, señalando que  en dicho inmuebles están instaladas las</w:t>
      </w:r>
      <w:r w:rsidR="00312F3F">
        <w:rPr>
          <w:rFonts w:cs="Arial"/>
          <w:lang w:val="es" w:eastAsia="es-AR"/>
        </w:rPr>
        <w:t xml:space="preserve"> oficinas del Consejo Directivo</w:t>
      </w:r>
      <w:r>
        <w:rPr>
          <w:rFonts w:cs="Arial"/>
          <w:lang w:val="es" w:eastAsia="es-AR"/>
        </w:rPr>
        <w:t>,</w:t>
      </w:r>
      <w:r w:rsidR="00312F3F">
        <w:rPr>
          <w:rFonts w:cs="Arial"/>
          <w:lang w:val="es" w:eastAsia="es-AR"/>
        </w:rPr>
        <w:t xml:space="preserve"> </w:t>
      </w:r>
      <w:r>
        <w:rPr>
          <w:rFonts w:cs="Arial"/>
          <w:lang w:val="es" w:eastAsia="es-AR"/>
        </w:rPr>
        <w:t>cuyos contratos de arrendamiento se rescindirán en forma simultánea con la compraventa y se suscribirán los arrendamientos mencionados con el BSE y que  otras oficinas  deberán ser desalojadas previo a la formalización de la venta  (comodato otorgado al Ministerio del Interior);</w:t>
      </w:r>
    </w:p>
    <w:p w:rsidR="00713FE4" w:rsidRDefault="00DC19DF" w:rsidP="00312F3F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2)</w:t>
      </w:r>
      <w:r>
        <w:rPr>
          <w:rFonts w:cs="Arial"/>
          <w:lang w:val="es" w:eastAsia="es-AR"/>
        </w:rPr>
        <w:t xml:space="preserve"> que con fecha 23 de diciembre de 2016, se realizó un estudio financiero por parte de la Coordinación de la Dirección Sectorial de </w:t>
      </w:r>
      <w:r>
        <w:rPr>
          <w:rFonts w:cs="Arial"/>
          <w:lang w:val="es" w:eastAsia="es-AR"/>
        </w:rPr>
        <w:lastRenderedPageBreak/>
        <w:t>Programació</w:t>
      </w:r>
      <w:r w:rsidR="00312F3F">
        <w:rPr>
          <w:rFonts w:cs="Arial"/>
          <w:lang w:val="es" w:eastAsia="es-AR"/>
        </w:rPr>
        <w:t>n y Presupuesto, la que propuso</w:t>
      </w:r>
      <w:r>
        <w:rPr>
          <w:rFonts w:cs="Arial"/>
          <w:lang w:val="es" w:eastAsia="es-AR"/>
        </w:rPr>
        <w:t>, en la distribución de créditos para el 2017, destinar un monto de $</w:t>
      </w:r>
      <w:r w:rsidR="00312F3F">
        <w:rPr>
          <w:rFonts w:cs="Arial"/>
          <w:lang w:val="es" w:eastAsia="es-AR"/>
        </w:rPr>
        <w:t xml:space="preserve"> 30:000.000 en el Programa de “I</w:t>
      </w:r>
      <w:r>
        <w:rPr>
          <w:rFonts w:cs="Arial"/>
          <w:lang w:val="es" w:eastAsia="es-AR"/>
        </w:rPr>
        <w:t>nvers</w:t>
      </w:r>
      <w:r w:rsidR="00312F3F">
        <w:rPr>
          <w:rFonts w:cs="Arial"/>
          <w:lang w:val="es" w:eastAsia="es-AR"/>
        </w:rPr>
        <w:t>iones Edilicias y Equipamiento</w:t>
      </w:r>
      <w:r>
        <w:rPr>
          <w:rFonts w:cs="Arial"/>
          <w:lang w:val="es" w:eastAsia="es-AR"/>
        </w:rPr>
        <w:t>, para facilitar el financiami</w:t>
      </w:r>
      <w:r w:rsidR="00312F3F">
        <w:rPr>
          <w:rFonts w:cs="Arial"/>
          <w:lang w:val="es" w:eastAsia="es-AR"/>
        </w:rPr>
        <w:t>ento de la compra de referencia</w:t>
      </w:r>
      <w:r>
        <w:rPr>
          <w:rFonts w:cs="Arial"/>
          <w:lang w:val="es" w:eastAsia="es-AR"/>
        </w:rPr>
        <w:t>;</w:t>
      </w:r>
    </w:p>
    <w:p w:rsidR="00713FE4" w:rsidRDefault="00DC19DF" w:rsidP="00713FE4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3)</w:t>
      </w:r>
      <w:r>
        <w:rPr>
          <w:rFonts w:cs="Arial"/>
          <w:lang w:val="es" w:eastAsia="es-AR"/>
        </w:rPr>
        <w:t xml:space="preserve"> que el Área de Administración</w:t>
      </w:r>
      <w:r w:rsidR="00312F3F">
        <w:rPr>
          <w:rFonts w:cs="Arial"/>
          <w:lang w:val="es" w:eastAsia="es-AR"/>
        </w:rPr>
        <w:t>, con fecha 12 de junio de 2017</w:t>
      </w:r>
      <w:r>
        <w:rPr>
          <w:rFonts w:cs="Arial"/>
          <w:lang w:val="es" w:eastAsia="es-AR"/>
        </w:rPr>
        <w:t>,</w:t>
      </w:r>
      <w:r w:rsidR="00312F3F">
        <w:rPr>
          <w:rFonts w:cs="Arial"/>
          <w:lang w:val="es" w:eastAsia="es-AR"/>
        </w:rPr>
        <w:t xml:space="preserve"> informó</w:t>
      </w:r>
      <w:r>
        <w:rPr>
          <w:rFonts w:cs="Arial"/>
          <w:lang w:val="es" w:eastAsia="es-AR"/>
        </w:rPr>
        <w:t xml:space="preserve"> que se solicitó la tasación a Catastro, la cual estimo un valor  para la compra de la</w:t>
      </w:r>
      <w:r w:rsidR="00713FE4">
        <w:rPr>
          <w:rFonts w:cs="Arial"/>
          <w:lang w:val="es" w:eastAsia="es-AR"/>
        </w:rPr>
        <w:t>s unidades descriptas, de U$S 7:</w:t>
      </w:r>
      <w:r>
        <w:rPr>
          <w:rFonts w:cs="Arial"/>
          <w:lang w:val="es" w:eastAsia="es-AR"/>
        </w:rPr>
        <w:t xml:space="preserve">366.802,68 y para los arrendamientos de las 3 unidades, </w:t>
      </w:r>
      <w:r w:rsidR="00713FE4">
        <w:rPr>
          <w:rFonts w:cs="Arial"/>
          <w:lang w:val="es" w:eastAsia="es-AR"/>
        </w:rPr>
        <w:t xml:space="preserve"> de U$S 13.313.376</w:t>
      </w:r>
      <w:r>
        <w:rPr>
          <w:rFonts w:cs="Arial"/>
          <w:lang w:val="es" w:eastAsia="es-AR"/>
        </w:rPr>
        <w:t>, considerando  el acuerdo ventajoso  teniendo en cuenta el ahorro de alquileres,  las características céntricas y de capacidad  y distribución del edificio, único en esa zona,  y que además se han hecho reformas, divisiones y mejoras en instalaciones y servicios que también implican un aho</w:t>
      </w:r>
      <w:r w:rsidR="00713FE4">
        <w:rPr>
          <w:rFonts w:cs="Arial"/>
          <w:lang w:val="es" w:eastAsia="es-AR"/>
        </w:rPr>
        <w:t>rro de futuro para el Organismo</w:t>
      </w:r>
      <w:r>
        <w:rPr>
          <w:rFonts w:cs="Arial"/>
          <w:lang w:val="es" w:eastAsia="es-AR"/>
        </w:rPr>
        <w:t>, por lo cual aconsejo la adquisición en los términos propuestos;</w:t>
      </w:r>
    </w:p>
    <w:p w:rsidR="00DB6B68" w:rsidRDefault="00DC19DF" w:rsidP="00DB6B68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4)</w:t>
      </w:r>
      <w:r>
        <w:rPr>
          <w:rFonts w:cs="Arial"/>
          <w:lang w:val="es" w:eastAsia="es-AR"/>
        </w:rPr>
        <w:t xml:space="preserve"> que el Departamento de Contabilidad Presupuestal informó</w:t>
      </w:r>
      <w:r w:rsidR="00713FE4">
        <w:rPr>
          <w:rFonts w:cs="Arial"/>
          <w:lang w:val="es" w:eastAsia="es-AR"/>
        </w:rPr>
        <w:t xml:space="preserve"> </w:t>
      </w:r>
      <w:r>
        <w:rPr>
          <w:rFonts w:cs="Arial"/>
          <w:lang w:val="es" w:eastAsia="es-AR"/>
        </w:rPr>
        <w:t>de la apertura presupuesta</w:t>
      </w:r>
      <w:r w:rsidR="00713FE4">
        <w:rPr>
          <w:rFonts w:cs="Arial"/>
          <w:lang w:val="es" w:eastAsia="es-AR"/>
        </w:rPr>
        <w:t>l de créditos para el presente E</w:t>
      </w:r>
      <w:r>
        <w:rPr>
          <w:rFonts w:cs="Arial"/>
          <w:lang w:val="es" w:eastAsia="es-AR"/>
        </w:rPr>
        <w:t>jercicio,  previéndose  la disponibilidad de $ 30.000.000 en la financiación 1.1 Rentas Generales Proyecto  761”Adqu</w:t>
      </w:r>
      <w:r w:rsidR="00713FE4">
        <w:rPr>
          <w:rFonts w:cs="Arial"/>
          <w:lang w:val="es" w:eastAsia="es-AR"/>
        </w:rPr>
        <w:t>isición de Tierras e Inmuebles”</w:t>
      </w:r>
      <w:r>
        <w:rPr>
          <w:rFonts w:cs="Arial"/>
          <w:lang w:val="es" w:eastAsia="es-AR"/>
        </w:rPr>
        <w:t>, par</w:t>
      </w:r>
      <w:r w:rsidR="00DB6B68">
        <w:rPr>
          <w:rFonts w:cs="Arial"/>
          <w:lang w:val="es" w:eastAsia="es-AR"/>
        </w:rPr>
        <w:t>a atender la primera cuota del Padrón M</w:t>
      </w:r>
      <w:r>
        <w:rPr>
          <w:rFonts w:cs="Arial"/>
          <w:lang w:val="es" w:eastAsia="es-AR"/>
        </w:rPr>
        <w:t>unicipal Nº 5480;</w:t>
      </w:r>
    </w:p>
    <w:p w:rsidR="00DC19DF" w:rsidRDefault="00DC19DF" w:rsidP="00DB6B68">
      <w:pPr>
        <w:autoSpaceDE w:val="0"/>
        <w:autoSpaceDN w:val="0"/>
        <w:adjustRightInd w:val="0"/>
        <w:spacing w:line="360" w:lineRule="auto"/>
        <w:ind w:firstLine="2835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5)</w:t>
      </w:r>
      <w:r>
        <w:rPr>
          <w:rFonts w:cs="Arial"/>
          <w:lang w:val="es" w:eastAsia="es-AR"/>
        </w:rPr>
        <w:t xml:space="preserve"> </w:t>
      </w:r>
      <w:r w:rsidR="00DB6B68">
        <w:rPr>
          <w:rFonts w:cs="Arial"/>
          <w:lang w:val="es" w:eastAsia="es-AR"/>
        </w:rPr>
        <w:t>que por Resolución N° 78 Acta N</w:t>
      </w:r>
      <w:r>
        <w:rPr>
          <w:rFonts w:cs="Arial"/>
          <w:lang w:val="es" w:eastAsia="es-AR"/>
        </w:rPr>
        <w:t>º 39 de fecha 4.7.17, el Consejo Directivo Central aprobó la adquisición del inmueble de referencia, fundamentando  que en la zona céntrica no existe un edificio que tenga las característica y metraje adecuados y que este cerca de los Consejos Desconcentrados y que su precio y el ahorro en arrendamientos es favorable para los intereses de la ANEP;</w:t>
      </w:r>
    </w:p>
    <w:p w:rsidR="00DB6B68" w:rsidRDefault="00DC19DF" w:rsidP="00DB6B6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CONSIDERANDO: 1)</w:t>
      </w:r>
      <w:r>
        <w:rPr>
          <w:rFonts w:cs="Arial"/>
          <w:lang w:val="es" w:eastAsia="es-AR"/>
        </w:rPr>
        <w:t xml:space="preserve"> que dicha contratación e</w:t>
      </w:r>
      <w:r w:rsidR="00DB6B68">
        <w:rPr>
          <w:rFonts w:cs="Arial"/>
          <w:lang w:val="es" w:eastAsia="es-AR"/>
        </w:rPr>
        <w:t>ncuadra en lo dispuesto por el A</w:t>
      </w:r>
      <w:r>
        <w:rPr>
          <w:rFonts w:cs="Arial"/>
          <w:lang w:val="es" w:eastAsia="es-AR"/>
        </w:rPr>
        <w:t xml:space="preserve">rtículo 33 </w:t>
      </w:r>
      <w:r w:rsidR="00DB6B68">
        <w:rPr>
          <w:rFonts w:cs="Arial"/>
          <w:lang w:val="es" w:eastAsia="es-AR"/>
        </w:rPr>
        <w:t>Literal C) N</w:t>
      </w:r>
      <w:r>
        <w:rPr>
          <w:rFonts w:cs="Arial"/>
          <w:lang w:val="es" w:eastAsia="es-AR"/>
        </w:rPr>
        <w:t>umeral 1) del TOCAF, que establece la posibilidad de contratar en forma directa  entre organismos o dependencias del Estado;</w:t>
      </w:r>
    </w:p>
    <w:p w:rsidR="00DC19DF" w:rsidRDefault="00DC19DF" w:rsidP="00DB6B68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lastRenderedPageBreak/>
        <w:t>2)</w:t>
      </w:r>
      <w:r>
        <w:rPr>
          <w:rFonts w:cs="Arial"/>
          <w:lang w:val="es" w:eastAsia="es-AR"/>
        </w:rPr>
        <w:t xml:space="preserve">  que</w:t>
      </w:r>
      <w:r w:rsidR="00DB6B68">
        <w:rPr>
          <w:rFonts w:cs="Arial"/>
          <w:lang w:val="es" w:eastAsia="es-AR"/>
        </w:rPr>
        <w:t xml:space="preserve"> asimismo, se dio cumplimiento con lo dispuesto por los A</w:t>
      </w:r>
      <w:r>
        <w:rPr>
          <w:rFonts w:cs="Arial"/>
          <w:lang w:val="es" w:eastAsia="es-AR"/>
        </w:rPr>
        <w:t>rtículo</w:t>
      </w:r>
      <w:r w:rsidR="00DB6B68">
        <w:rPr>
          <w:rFonts w:cs="Arial"/>
          <w:lang w:val="es" w:eastAsia="es-AR"/>
        </w:rPr>
        <w:t>s</w:t>
      </w:r>
      <w:r>
        <w:rPr>
          <w:rFonts w:cs="Arial"/>
          <w:lang w:val="es" w:eastAsia="es-AR"/>
        </w:rPr>
        <w:t xml:space="preserve"> 39 y 40 del TOCAF, al requerirse la tasación de la Dirección Nacional de Catastro;</w:t>
      </w:r>
    </w:p>
    <w:p w:rsidR="00DC19DF" w:rsidRDefault="00DC19DF" w:rsidP="00DB6B6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cs="Arial"/>
          <w:lang w:val="es" w:eastAsia="es-AR"/>
        </w:rPr>
      </w:pPr>
      <w:r>
        <w:rPr>
          <w:rFonts w:cs="Arial"/>
          <w:b/>
          <w:bCs/>
          <w:lang w:val="es" w:eastAsia="es-AR"/>
        </w:rPr>
        <w:t>ATENTO:</w:t>
      </w:r>
      <w:r w:rsidR="00DB6B68">
        <w:rPr>
          <w:rFonts w:cs="Arial"/>
          <w:lang w:val="es" w:eastAsia="es-AR"/>
        </w:rPr>
        <w:t xml:space="preserve"> a</w:t>
      </w:r>
      <w:r>
        <w:rPr>
          <w:rFonts w:cs="Arial"/>
          <w:lang w:val="es" w:eastAsia="es-AR"/>
        </w:rPr>
        <w:t xml:space="preserve"> lo expuesto precedent</w:t>
      </w:r>
      <w:r w:rsidR="00DB6B68">
        <w:rPr>
          <w:rFonts w:cs="Arial"/>
          <w:lang w:val="es" w:eastAsia="es-AR"/>
        </w:rPr>
        <w:t>emente y a lo dispuesto por el A</w:t>
      </w:r>
      <w:r>
        <w:rPr>
          <w:rFonts w:cs="Arial"/>
          <w:lang w:val="es" w:eastAsia="es-AR"/>
        </w:rPr>
        <w:t>rt</w:t>
      </w:r>
      <w:r w:rsidR="00DB6B68">
        <w:rPr>
          <w:rFonts w:cs="Arial"/>
          <w:lang w:val="es" w:eastAsia="es-AR"/>
        </w:rPr>
        <w:t>ículo 211 L</w:t>
      </w:r>
      <w:r>
        <w:rPr>
          <w:rFonts w:cs="Arial"/>
          <w:lang w:val="es" w:eastAsia="es-AR"/>
        </w:rPr>
        <w:t>it</w:t>
      </w:r>
      <w:r w:rsidR="00DB6B68">
        <w:rPr>
          <w:rFonts w:cs="Arial"/>
          <w:lang w:val="es" w:eastAsia="es-AR"/>
        </w:rPr>
        <w:t>eral</w:t>
      </w:r>
      <w:r>
        <w:rPr>
          <w:rFonts w:cs="Arial"/>
          <w:lang w:val="es" w:eastAsia="es-AR"/>
        </w:rPr>
        <w:t xml:space="preserve"> B) de la Constitución de la Republica;</w:t>
      </w:r>
    </w:p>
    <w:p w:rsidR="00DC19DF" w:rsidRDefault="00DC19DF" w:rsidP="00DC19DF">
      <w:pPr>
        <w:autoSpaceDE w:val="0"/>
        <w:autoSpaceDN w:val="0"/>
        <w:adjustRightInd w:val="0"/>
        <w:spacing w:line="360" w:lineRule="auto"/>
        <w:jc w:val="center"/>
        <w:rPr>
          <w:rFonts w:cs="Arial"/>
          <w:b/>
          <w:bCs/>
          <w:lang w:val="es" w:eastAsia="es-AR"/>
        </w:rPr>
      </w:pPr>
      <w:r>
        <w:rPr>
          <w:rFonts w:cs="Arial"/>
          <w:b/>
          <w:bCs/>
          <w:lang w:val="es" w:eastAsia="es-AR"/>
        </w:rPr>
        <w:t>EL TRIBUNAL ACUERDA</w:t>
      </w:r>
    </w:p>
    <w:p w:rsidR="00DC19DF" w:rsidRPr="00DB6B68" w:rsidRDefault="00DC19DF" w:rsidP="00DB6B6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" w:eastAsia="es-AR"/>
        </w:rPr>
      </w:pPr>
      <w:r w:rsidRPr="00DB6B68">
        <w:rPr>
          <w:rFonts w:cs="Arial"/>
          <w:lang w:val="es" w:eastAsia="es-AR"/>
        </w:rPr>
        <w:t xml:space="preserve">Cometer  a la Contadora Delegada la intervención del gasto, previo control de la imputación en el grupo adecuado con disponibilidad suficiente;  </w:t>
      </w:r>
    </w:p>
    <w:p w:rsidR="00DC19DF" w:rsidRPr="00DB6B68" w:rsidRDefault="00DC19DF" w:rsidP="00DB6B6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" w:eastAsia="es-AR"/>
        </w:rPr>
      </w:pPr>
      <w:r w:rsidRPr="00DB6B68">
        <w:rPr>
          <w:rFonts w:cs="Arial"/>
          <w:lang w:val="es" w:eastAsia="es-AR"/>
        </w:rPr>
        <w:t xml:space="preserve">Comunicar </w:t>
      </w:r>
      <w:bookmarkStart w:id="0" w:name="_GoBack"/>
      <w:bookmarkEnd w:id="0"/>
      <w:r w:rsidRPr="00DB6B68">
        <w:rPr>
          <w:rFonts w:cs="Arial"/>
          <w:lang w:val="es" w:eastAsia="es-AR"/>
        </w:rPr>
        <w:t>a la C</w:t>
      </w:r>
      <w:r w:rsidR="00DB6B68">
        <w:rPr>
          <w:rFonts w:cs="Arial"/>
          <w:lang w:val="es" w:eastAsia="es-AR"/>
        </w:rPr>
        <w:t>ontado</w:t>
      </w:r>
      <w:r w:rsidRPr="00DB6B68">
        <w:rPr>
          <w:rFonts w:cs="Arial"/>
          <w:lang w:val="es" w:eastAsia="es-AR"/>
        </w:rPr>
        <w:t xml:space="preserve">ra Delegada; y </w:t>
      </w:r>
    </w:p>
    <w:p w:rsidR="00DC19DF" w:rsidRDefault="00DC19DF" w:rsidP="00DB6B68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cs="Arial"/>
          <w:lang w:val="es" w:eastAsia="es-AR"/>
        </w:rPr>
      </w:pPr>
      <w:r w:rsidRPr="00DB6B68">
        <w:rPr>
          <w:rFonts w:cs="Arial"/>
          <w:lang w:val="es" w:eastAsia="es-AR"/>
        </w:rPr>
        <w:t>Devolver las actuaciones.</w:t>
      </w:r>
    </w:p>
    <w:p w:rsidR="00DB6B68" w:rsidRDefault="00DB6B68" w:rsidP="00DB6B68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</w:p>
    <w:p w:rsidR="00DB6B68" w:rsidRDefault="00DB6B68" w:rsidP="00DB6B68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</w:p>
    <w:p w:rsidR="00DB6B68" w:rsidRDefault="00DB6B68" w:rsidP="00DB6B68">
      <w:pPr>
        <w:autoSpaceDE w:val="0"/>
        <w:autoSpaceDN w:val="0"/>
        <w:adjustRightInd w:val="0"/>
        <w:spacing w:line="360" w:lineRule="auto"/>
        <w:jc w:val="both"/>
        <w:rPr>
          <w:rFonts w:cs="Arial"/>
          <w:lang w:val="es" w:eastAsia="es-AR"/>
        </w:rPr>
      </w:pPr>
    </w:p>
    <w:p w:rsidR="00DB6B68" w:rsidRPr="00DB6B68" w:rsidRDefault="00DB6B68" w:rsidP="00DB6B68">
      <w:pPr>
        <w:autoSpaceDE w:val="0"/>
        <w:autoSpaceDN w:val="0"/>
        <w:adjustRightInd w:val="0"/>
        <w:spacing w:line="360" w:lineRule="auto"/>
        <w:ind w:hanging="284"/>
        <w:jc w:val="both"/>
        <w:rPr>
          <w:rFonts w:cs="Arial"/>
          <w:lang w:val="es" w:eastAsia="es-AR"/>
        </w:rPr>
      </w:pPr>
      <w:proofErr w:type="gramStart"/>
      <w:r>
        <w:rPr>
          <w:rFonts w:cs="Arial"/>
          <w:lang w:val="es" w:eastAsia="es-AR"/>
        </w:rPr>
        <w:t>dc</w:t>
      </w:r>
      <w:proofErr w:type="gramEnd"/>
    </w:p>
    <w:sectPr w:rsidR="00DB6B68" w:rsidRPr="00DB6B68" w:rsidSect="00312F3F">
      <w:footerReference w:type="default" r:id="rId8"/>
      <w:pgSz w:w="12240" w:h="15840" w:code="1"/>
      <w:pgMar w:top="3289" w:right="1701" w:bottom="1701" w:left="1701" w:header="720" w:footer="720" w:gutter="0"/>
      <w:paperSrc w:first="4" w:other="4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B68" w:rsidRDefault="00DB6B68" w:rsidP="00DB6B68">
      <w:r>
        <w:separator/>
      </w:r>
    </w:p>
  </w:endnote>
  <w:endnote w:type="continuationSeparator" w:id="0">
    <w:p w:rsidR="00DB6B68" w:rsidRDefault="00DB6B68" w:rsidP="00DB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2940839"/>
      <w:docPartObj>
        <w:docPartGallery w:val="Page Numbers (Bottom of Page)"/>
        <w:docPartUnique/>
      </w:docPartObj>
    </w:sdtPr>
    <w:sdtContent>
      <w:p w:rsidR="00DB6B68" w:rsidRDefault="00DB6B68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DB6B68" w:rsidRDefault="00DB6B6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B68" w:rsidRDefault="00DB6B68" w:rsidP="00DB6B68">
      <w:r>
        <w:separator/>
      </w:r>
    </w:p>
  </w:footnote>
  <w:footnote w:type="continuationSeparator" w:id="0">
    <w:p w:rsidR="00DB6B68" w:rsidRDefault="00DB6B68" w:rsidP="00DB6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88D904"/>
    <w:lvl w:ilvl="0">
      <w:numFmt w:val="bullet"/>
      <w:lvlText w:val="*"/>
      <w:lvlJc w:val="left"/>
    </w:lvl>
  </w:abstractNum>
  <w:abstractNum w:abstractNumId="1">
    <w:nsid w:val="1A1F4A49"/>
    <w:multiLevelType w:val="hybridMultilevel"/>
    <w:tmpl w:val="6BEA5656"/>
    <w:lvl w:ilvl="0" w:tplc="A6C8D3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decimal"/>
        <w:lvlText w:val="%1)"/>
        <w:legacy w:legacy="1" w:legacySpace="0" w:legacyIndent="360"/>
        <w:lvlJc w:val="left"/>
        <w:rPr>
          <w:rFonts w:ascii="Arial" w:eastAsia="Times New Roman" w:hAnsi="Arial" w:cs="Arial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DF"/>
    <w:rsid w:val="00312F3F"/>
    <w:rsid w:val="00330727"/>
    <w:rsid w:val="00713FE4"/>
    <w:rsid w:val="008E50FF"/>
    <w:rsid w:val="009D365A"/>
    <w:rsid w:val="00DB6B68"/>
    <w:rsid w:val="00DC19DF"/>
    <w:rsid w:val="00F8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DF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6B6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6B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6B68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B6B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6B68"/>
    <w:rPr>
      <w:rFonts w:ascii="Arial" w:hAnsi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DF"/>
    <w:rPr>
      <w:rFonts w:ascii="Arial" w:hAnsi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B6B6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6B6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6B68"/>
    <w:rPr>
      <w:rFonts w:ascii="Arial" w:hAnsi="Arial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B6B6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6B68"/>
    <w:rPr>
      <w:rFonts w:ascii="Arial" w:hAnsi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625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</cp:revision>
  <cp:lastPrinted>2017-08-31T16:14:00Z</cp:lastPrinted>
  <dcterms:created xsi:type="dcterms:W3CDTF">2017-08-31T15:24:00Z</dcterms:created>
  <dcterms:modified xsi:type="dcterms:W3CDTF">2017-08-31T16:15:00Z</dcterms:modified>
</cp:coreProperties>
</file>