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23" w:rsidRPr="00786EEB" w:rsidRDefault="00E75A23" w:rsidP="00E75A23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1373/17</w:t>
      </w:r>
    </w:p>
    <w:p w:rsidR="00E75A23" w:rsidRPr="00E75A23" w:rsidRDefault="00E75A23" w:rsidP="00E75A23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r w:rsidRPr="00E75A23">
        <w:rPr>
          <w:rFonts w:cs="Arial"/>
          <w:b/>
          <w:lang w:val="es-ES_tradnl"/>
        </w:rPr>
        <w:t>RESOLUCION ADOPTADA POR EL</w:t>
      </w:r>
    </w:p>
    <w:p w:rsidR="00E75A23" w:rsidRPr="00E75A23" w:rsidRDefault="00E75A23" w:rsidP="00E75A23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E75A23" w:rsidRPr="00E75A23" w:rsidRDefault="00E75A23" w:rsidP="00E75A23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r w:rsidRPr="00E75A23">
        <w:rPr>
          <w:rFonts w:cs="Arial"/>
          <w:b/>
          <w:lang w:val="es-ES_tradnl"/>
        </w:rPr>
        <w:t>TRIBUNAL DE CUENTAS</w:t>
      </w:r>
    </w:p>
    <w:p w:rsidR="00E75A23" w:rsidRPr="00E75A23" w:rsidRDefault="00E75A23" w:rsidP="00E75A23">
      <w:pPr>
        <w:tabs>
          <w:tab w:val="left" w:pos="-720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E75A23" w:rsidRPr="00E75A23" w:rsidRDefault="00E75A23" w:rsidP="00E75A23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  <w:r w:rsidRPr="00E75A23">
        <w:rPr>
          <w:rFonts w:cs="Arial"/>
          <w:b/>
          <w:lang w:val="es-ES_tradnl"/>
        </w:rPr>
        <w:t>EN SESION DE FECHA 4 DE MAYO DE 2017</w:t>
      </w:r>
    </w:p>
    <w:p w:rsidR="00E75A23" w:rsidRPr="00E75A23" w:rsidRDefault="00E75A23" w:rsidP="00E75A23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  <w:lang w:val="es-ES_tradnl"/>
        </w:rPr>
      </w:pPr>
    </w:p>
    <w:p w:rsidR="00E75A23" w:rsidRPr="00E7521C" w:rsidRDefault="00E75A23" w:rsidP="00E75A23">
      <w:pPr>
        <w:tabs>
          <w:tab w:val="center" w:pos="4253"/>
        </w:tabs>
        <w:suppressAutoHyphens/>
        <w:spacing w:after="0" w:line="240" w:lineRule="auto"/>
        <w:jc w:val="center"/>
        <w:rPr>
          <w:rFonts w:cs="Arial"/>
          <w:b/>
        </w:rPr>
      </w:pPr>
      <w:r w:rsidRPr="00E7521C">
        <w:rPr>
          <w:rFonts w:cs="Arial"/>
          <w:b/>
        </w:rPr>
        <w:t xml:space="preserve">(E. E. Nº </w:t>
      </w:r>
      <w:r w:rsidRPr="00E75A23">
        <w:rPr>
          <w:rFonts w:eastAsia="Times New Roman" w:cs="Arial"/>
          <w:b/>
          <w:szCs w:val="20"/>
          <w:lang w:val="es-ES_tradnl" w:eastAsia="es-ES"/>
        </w:rPr>
        <w:t>2017-17-1- 0001767</w:t>
      </w:r>
      <w:r w:rsidRPr="00E7521C">
        <w:rPr>
          <w:rFonts w:cs="Arial"/>
          <w:b/>
        </w:rPr>
        <w:t xml:space="preserve">, </w:t>
      </w:r>
      <w:proofErr w:type="spellStart"/>
      <w:r w:rsidRPr="00E7521C">
        <w:rPr>
          <w:rFonts w:cs="Arial"/>
          <w:b/>
        </w:rPr>
        <w:t>Ent</w:t>
      </w:r>
      <w:proofErr w:type="spellEnd"/>
      <w:r w:rsidRPr="00E7521C">
        <w:rPr>
          <w:rFonts w:cs="Arial"/>
          <w:b/>
        </w:rPr>
        <w:t xml:space="preserve">. N° </w:t>
      </w:r>
      <w:r w:rsidRPr="00E75A23">
        <w:rPr>
          <w:rFonts w:eastAsia="Times New Roman" w:cs="Arial"/>
          <w:b/>
          <w:szCs w:val="24"/>
          <w:lang w:val="es-ES_tradnl" w:eastAsia="es-ES"/>
        </w:rPr>
        <w:t>1358/17</w:t>
      </w:r>
      <w:r w:rsidRPr="00E7521C">
        <w:rPr>
          <w:rFonts w:cs="Arial"/>
          <w:b/>
        </w:rPr>
        <w:t>)</w:t>
      </w:r>
    </w:p>
    <w:p w:rsidR="00E75A23" w:rsidRPr="00E7521C" w:rsidRDefault="00E75A23" w:rsidP="00E75A23">
      <w:pPr>
        <w:tabs>
          <w:tab w:val="right" w:pos="8436"/>
        </w:tabs>
        <w:suppressAutoHyphens/>
        <w:spacing w:after="0" w:line="360" w:lineRule="auto"/>
        <w:jc w:val="both"/>
        <w:rPr>
          <w:rFonts w:ascii="Helvetica" w:hAnsi="Helvetica"/>
          <w:b/>
        </w:rPr>
      </w:pPr>
    </w:p>
    <w:p w:rsidR="00E75A23" w:rsidRPr="00A64ECE" w:rsidRDefault="00E75A23" w:rsidP="00E75A23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eastAsia="Times New Roman" w:cs="Arial"/>
          <w:szCs w:val="24"/>
          <w:lang w:eastAsia="es-ES"/>
        </w:rPr>
      </w:pPr>
      <w:r w:rsidRPr="00A64ECE">
        <w:rPr>
          <w:rFonts w:eastAsia="Times New Roman" w:cs="Arial"/>
          <w:b/>
          <w:szCs w:val="20"/>
          <w:lang w:val="es-ES_tradnl" w:eastAsia="es-ES"/>
        </w:rPr>
        <w:t>VISTO:</w:t>
      </w:r>
      <w:r w:rsidRPr="00A64ECE">
        <w:rPr>
          <w:rFonts w:eastAsia="Times New Roman" w:cs="Arial"/>
          <w:szCs w:val="20"/>
          <w:lang w:val="es-ES_tradnl" w:eastAsia="es-ES"/>
        </w:rPr>
        <w:t xml:space="preserve"> el expediente remitido por </w:t>
      </w:r>
      <w:r w:rsidRPr="00A64ECE">
        <w:rPr>
          <w:rFonts w:eastAsia="Times New Roman"/>
          <w:szCs w:val="24"/>
          <w:lang w:eastAsia="es-ES"/>
        </w:rPr>
        <w:t xml:space="preserve">la Administración de los Servicios de Salud del Estado </w:t>
      </w:r>
      <w:r w:rsidRPr="00A64ECE">
        <w:rPr>
          <w:rFonts w:eastAsia="Times New Roman" w:cs="Arial"/>
          <w:szCs w:val="20"/>
          <w:lang w:val="es-ES_tradnl" w:eastAsia="es-ES"/>
        </w:rPr>
        <w:t xml:space="preserve">relativo a </w:t>
      </w:r>
      <w:r w:rsidRPr="00A64ECE">
        <w:rPr>
          <w:rFonts w:eastAsia="Times New Roman"/>
          <w:szCs w:val="24"/>
          <w:lang w:eastAsia="es-ES"/>
        </w:rPr>
        <w:t>la transferencia de fondos a favor de la Comisión de Inversiones</w:t>
      </w:r>
      <w:r w:rsidRPr="00A64ECE">
        <w:rPr>
          <w:rFonts w:eastAsia="Times New Roman"/>
          <w:szCs w:val="24"/>
          <w:lang w:val="es-MX" w:eastAsia="es-ES"/>
        </w:rPr>
        <w:t xml:space="preserve"> del Centro Departamental de </w:t>
      </w:r>
      <w:r>
        <w:rPr>
          <w:rFonts w:eastAsia="Times New Roman"/>
          <w:szCs w:val="24"/>
          <w:lang w:val="es-MX" w:eastAsia="es-ES"/>
        </w:rPr>
        <w:t>Florida</w:t>
      </w:r>
      <w:r w:rsidRPr="00A64ECE">
        <w:rPr>
          <w:rFonts w:eastAsia="Times New Roman"/>
          <w:szCs w:val="24"/>
          <w:lang w:eastAsia="es-ES"/>
        </w:rPr>
        <w:t xml:space="preserve">, </w:t>
      </w:r>
      <w:r w:rsidRPr="00A64ECE">
        <w:rPr>
          <w:rFonts w:eastAsia="Times New Roman"/>
          <w:szCs w:val="24"/>
          <w:lang w:val="es-MX" w:eastAsia="es-ES"/>
        </w:rPr>
        <w:t xml:space="preserve">a efectos de financiar las obras previstas para el </w:t>
      </w:r>
      <w:r w:rsidR="00B944D4">
        <w:rPr>
          <w:rFonts w:eastAsia="Times New Roman"/>
          <w:szCs w:val="24"/>
          <w:lang w:val="es-MX" w:eastAsia="es-ES"/>
        </w:rPr>
        <w:t>E</w:t>
      </w:r>
      <w:r w:rsidRPr="00A64ECE">
        <w:rPr>
          <w:rFonts w:eastAsia="Times New Roman"/>
          <w:szCs w:val="24"/>
          <w:lang w:val="es-MX" w:eastAsia="es-ES"/>
        </w:rPr>
        <w:t>jercicio 2017;</w:t>
      </w:r>
    </w:p>
    <w:p w:rsidR="00E75A23" w:rsidRPr="00A64ECE" w:rsidRDefault="00E75A23" w:rsidP="00E75A23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eastAsia="Times New Roman"/>
          <w:szCs w:val="24"/>
          <w:lang w:val="es-MX" w:eastAsia="es-ES"/>
        </w:rPr>
      </w:pPr>
      <w:r w:rsidRPr="00A64ECE">
        <w:rPr>
          <w:rFonts w:eastAsia="Times New Roman" w:cs="Arial"/>
          <w:b/>
          <w:szCs w:val="20"/>
          <w:lang w:val="es-ES_tradnl" w:eastAsia="es-ES"/>
        </w:rPr>
        <w:t>RESULTAND</w:t>
      </w:r>
      <w:r>
        <w:rPr>
          <w:rFonts w:eastAsia="Times New Roman" w:cs="Arial"/>
          <w:b/>
          <w:szCs w:val="20"/>
          <w:lang w:val="es-ES_tradnl" w:eastAsia="es-ES"/>
        </w:rPr>
        <w:t>O:</w:t>
      </w:r>
      <w:r>
        <w:rPr>
          <w:rFonts w:eastAsia="Times New Roman" w:cs="Arial"/>
          <w:b/>
          <w:szCs w:val="20"/>
          <w:lang w:val="es-ES_tradnl" w:eastAsia="es-ES"/>
        </w:rPr>
        <w:tab/>
      </w:r>
      <w:r w:rsidRPr="00A64ECE">
        <w:rPr>
          <w:rFonts w:eastAsia="Times New Roman" w:cs="Arial"/>
          <w:b/>
          <w:szCs w:val="24"/>
          <w:lang w:val="es-ES_tradnl" w:eastAsia="es-ES"/>
        </w:rPr>
        <w:t>1)</w:t>
      </w:r>
      <w:r w:rsidRPr="00A64ECE">
        <w:rPr>
          <w:rFonts w:eastAsia="Times New Roman" w:cs="Arial"/>
          <w:szCs w:val="24"/>
          <w:lang w:val="es-ES_tradnl" w:eastAsia="es-ES"/>
        </w:rPr>
        <w:t xml:space="preserve"> que </w:t>
      </w:r>
      <w:r>
        <w:rPr>
          <w:rFonts w:eastAsia="Times New Roman" w:cs="Arial"/>
          <w:szCs w:val="24"/>
          <w:lang w:val="es-ES_tradnl" w:eastAsia="es-ES"/>
        </w:rPr>
        <w:t xml:space="preserve">el </w:t>
      </w:r>
      <w:r w:rsidRPr="00A64ECE">
        <w:rPr>
          <w:rFonts w:eastAsia="Times New Roman"/>
          <w:szCs w:val="24"/>
          <w:lang w:val="es-MX" w:eastAsia="es-ES"/>
        </w:rPr>
        <w:t>importe</w:t>
      </w:r>
      <w:r w:rsidRPr="00A64ECE">
        <w:rPr>
          <w:rFonts w:eastAsia="Times New Roman"/>
          <w:szCs w:val="24"/>
          <w:lang w:val="es-ES_tradnl" w:eastAsia="es-ES"/>
        </w:rPr>
        <w:t xml:space="preserve"> de la mencionada transferencia asciende a </w:t>
      </w:r>
      <w:r w:rsidRPr="00A64ECE">
        <w:rPr>
          <w:rFonts w:eastAsia="Times New Roman"/>
          <w:szCs w:val="24"/>
          <w:lang w:val="es-MX" w:eastAsia="es-ES"/>
        </w:rPr>
        <w:t>$10:</w:t>
      </w:r>
      <w:r>
        <w:rPr>
          <w:rFonts w:eastAsia="Times New Roman"/>
          <w:szCs w:val="24"/>
          <w:lang w:val="es-MX" w:eastAsia="es-ES"/>
        </w:rPr>
        <w:t>1</w:t>
      </w:r>
      <w:r w:rsidRPr="00A64ECE">
        <w:rPr>
          <w:rFonts w:eastAsia="Times New Roman"/>
          <w:szCs w:val="24"/>
          <w:lang w:val="es-MX" w:eastAsia="es-ES"/>
        </w:rPr>
        <w:t>00.000</w:t>
      </w:r>
      <w:r>
        <w:rPr>
          <w:rFonts w:eastAsia="Times New Roman"/>
          <w:szCs w:val="24"/>
          <w:lang w:val="es-MX" w:eastAsia="es-ES"/>
        </w:rPr>
        <w:t xml:space="preserve">  y está documentado en l</w:t>
      </w:r>
      <w:r w:rsidR="00B944D4">
        <w:rPr>
          <w:rFonts w:eastAsia="Times New Roman"/>
          <w:szCs w:val="24"/>
          <w:lang w:val="es-MX" w:eastAsia="es-ES"/>
        </w:rPr>
        <w:t>a</w:t>
      </w:r>
      <w:r>
        <w:rPr>
          <w:rFonts w:eastAsia="Times New Roman"/>
          <w:szCs w:val="24"/>
          <w:lang w:val="es-MX" w:eastAsia="es-ES"/>
        </w:rPr>
        <w:t xml:space="preserve"> Afectación </w:t>
      </w:r>
      <w:r w:rsidRPr="00A64ECE">
        <w:rPr>
          <w:rFonts w:eastAsia="Times New Roman" w:cs="Arial"/>
          <w:szCs w:val="24"/>
          <w:lang w:val="es-ES_tradnl" w:eastAsia="es-ES"/>
        </w:rPr>
        <w:t xml:space="preserve">N° </w:t>
      </w:r>
      <w:r>
        <w:rPr>
          <w:rFonts w:eastAsia="Times New Roman" w:cs="Arial"/>
          <w:szCs w:val="24"/>
          <w:lang w:val="es-ES_tradnl" w:eastAsia="es-ES"/>
        </w:rPr>
        <w:t>076</w:t>
      </w:r>
      <w:r w:rsidRPr="00A64ECE">
        <w:rPr>
          <w:rFonts w:eastAsia="Times New Roman"/>
          <w:szCs w:val="24"/>
          <w:lang w:val="es-MX" w:eastAsia="es-ES"/>
        </w:rPr>
        <w:t>;</w:t>
      </w:r>
    </w:p>
    <w:p w:rsidR="00E75A23" w:rsidRPr="00A64ECE" w:rsidRDefault="00E75A23" w:rsidP="00E75A23">
      <w:pPr>
        <w:tabs>
          <w:tab w:val="left" w:pos="-720"/>
        </w:tabs>
        <w:suppressAutoHyphens/>
        <w:spacing w:after="0" w:line="360" w:lineRule="auto"/>
        <w:ind w:firstLine="2835"/>
        <w:jc w:val="both"/>
        <w:rPr>
          <w:rFonts w:eastAsia="Times New Roman"/>
          <w:szCs w:val="24"/>
          <w:lang w:val="es-MX" w:eastAsia="es-ES"/>
        </w:rPr>
      </w:pPr>
      <w:r w:rsidRPr="00A64ECE">
        <w:rPr>
          <w:rFonts w:eastAsia="Times New Roman" w:cs="Arial"/>
          <w:b/>
          <w:szCs w:val="24"/>
          <w:lang w:val="es-ES_tradnl" w:eastAsia="es-ES"/>
        </w:rPr>
        <w:t>2</w:t>
      </w:r>
      <w:r w:rsidRPr="00E75A23">
        <w:rPr>
          <w:rFonts w:eastAsia="Times New Roman" w:cs="Arial"/>
          <w:b/>
          <w:szCs w:val="24"/>
          <w:lang w:val="es-ES_tradnl" w:eastAsia="es-ES"/>
        </w:rPr>
        <w:t>)</w:t>
      </w:r>
      <w:r w:rsidRPr="00A64ECE">
        <w:rPr>
          <w:rFonts w:eastAsia="Times New Roman" w:cs="Arial"/>
          <w:szCs w:val="24"/>
          <w:lang w:val="es-ES_tradnl" w:eastAsia="es-ES"/>
        </w:rPr>
        <w:t xml:space="preserve"> que la </w:t>
      </w:r>
      <w:r w:rsidRPr="00A64ECE">
        <w:rPr>
          <w:rFonts w:eastAsia="Times New Roman"/>
          <w:szCs w:val="24"/>
          <w:lang w:val="es-MX" w:eastAsia="es-ES"/>
        </w:rPr>
        <w:t>erogaci</w:t>
      </w:r>
      <w:r>
        <w:rPr>
          <w:rFonts w:eastAsia="Times New Roman"/>
          <w:szCs w:val="24"/>
          <w:lang w:val="es-MX" w:eastAsia="es-ES"/>
        </w:rPr>
        <w:t>ón</w:t>
      </w:r>
      <w:r w:rsidRPr="00A64ECE">
        <w:rPr>
          <w:rFonts w:eastAsia="Times New Roman"/>
          <w:szCs w:val="24"/>
          <w:lang w:val="es-MX" w:eastAsia="es-ES"/>
        </w:rPr>
        <w:t xml:space="preserve"> se atenderá con cargo al Plan de Inversiones Públicas de 2017, </w:t>
      </w:r>
      <w:r>
        <w:rPr>
          <w:rFonts w:eastAsia="Times New Roman"/>
          <w:szCs w:val="24"/>
          <w:lang w:val="es-MX" w:eastAsia="es-ES"/>
        </w:rPr>
        <w:t xml:space="preserve">Inciso 29”ASSE”, Unidad Ejecutora 021”Centro Departamental de Florida”, </w:t>
      </w:r>
      <w:r w:rsidRPr="00A64ECE">
        <w:rPr>
          <w:rFonts w:eastAsia="Times New Roman"/>
          <w:szCs w:val="24"/>
          <w:lang w:val="es-MX" w:eastAsia="es-ES"/>
        </w:rPr>
        <w:t>Programa 44</w:t>
      </w:r>
      <w:r>
        <w:rPr>
          <w:rFonts w:eastAsia="Times New Roman"/>
          <w:szCs w:val="24"/>
          <w:lang w:val="es-MX" w:eastAsia="es-ES"/>
        </w:rPr>
        <w:t>0</w:t>
      </w:r>
      <w:r w:rsidRPr="00A64ECE">
        <w:rPr>
          <w:rFonts w:eastAsia="Times New Roman"/>
          <w:szCs w:val="24"/>
          <w:lang w:val="es-MX" w:eastAsia="es-ES"/>
        </w:rPr>
        <w:t xml:space="preserve">, Proyecto </w:t>
      </w:r>
      <w:r>
        <w:rPr>
          <w:rFonts w:eastAsia="Times New Roman"/>
          <w:szCs w:val="24"/>
          <w:lang w:val="es-MX" w:eastAsia="es-ES"/>
        </w:rPr>
        <w:t>973</w:t>
      </w:r>
      <w:r w:rsidRPr="00A64ECE">
        <w:rPr>
          <w:rFonts w:eastAsia="Times New Roman"/>
          <w:szCs w:val="24"/>
          <w:lang w:val="es-MX" w:eastAsia="es-ES"/>
        </w:rPr>
        <w:t xml:space="preserve"> “</w:t>
      </w:r>
      <w:r>
        <w:rPr>
          <w:rFonts w:eastAsia="Times New Roman"/>
          <w:szCs w:val="24"/>
          <w:lang w:val="es-MX" w:eastAsia="es-ES"/>
        </w:rPr>
        <w:t>Inmuebles</w:t>
      </w:r>
      <w:r w:rsidRPr="00A64ECE">
        <w:rPr>
          <w:rFonts w:eastAsia="Times New Roman"/>
          <w:szCs w:val="24"/>
          <w:lang w:val="es-MX" w:eastAsia="es-ES"/>
        </w:rPr>
        <w:t>”</w:t>
      </w:r>
      <w:r>
        <w:rPr>
          <w:rFonts w:eastAsia="Times New Roman"/>
          <w:szCs w:val="24"/>
          <w:lang w:val="es-MX" w:eastAsia="es-ES"/>
        </w:rPr>
        <w:t xml:space="preserve">, </w:t>
      </w:r>
      <w:r w:rsidRPr="00A64ECE">
        <w:rPr>
          <w:rFonts w:eastAsia="Times New Roman"/>
          <w:szCs w:val="24"/>
          <w:lang w:val="es-MX" w:eastAsia="es-ES"/>
        </w:rPr>
        <w:t>Objeto del Gasto 563 “De Protección a la Salud”, en la Financiación 1.1 “Rentas Generales”;</w:t>
      </w:r>
    </w:p>
    <w:p w:rsidR="00E75A23" w:rsidRPr="00A64ECE" w:rsidRDefault="00E75A23" w:rsidP="00E75A23">
      <w:pPr>
        <w:suppressAutoHyphens/>
        <w:spacing w:after="0" w:line="360" w:lineRule="auto"/>
        <w:ind w:firstLine="851"/>
        <w:jc w:val="both"/>
        <w:rPr>
          <w:rFonts w:eastAsia="Times New Roman" w:cs="Arial"/>
          <w:szCs w:val="20"/>
          <w:lang w:val="es-ES_tradnl" w:eastAsia="es-ES"/>
        </w:rPr>
      </w:pPr>
      <w:r w:rsidRPr="00A64ECE">
        <w:rPr>
          <w:rFonts w:eastAsia="Times New Roman" w:cs="Arial"/>
          <w:b/>
          <w:szCs w:val="20"/>
          <w:lang w:val="es-ES_tradnl" w:eastAsia="es-ES"/>
        </w:rPr>
        <w:t xml:space="preserve">CONSIDERANDO: 1) </w:t>
      </w:r>
      <w:r w:rsidRPr="00A64ECE">
        <w:rPr>
          <w:rFonts w:eastAsia="Times New Roman" w:cs="Arial"/>
          <w:szCs w:val="20"/>
          <w:lang w:val="es-ES_tradnl" w:eastAsia="es-ES"/>
        </w:rPr>
        <w:t>que las actuaciones se ajustan a lo establecido en el artículo 436 de la Ley Nº16.170 de 28 de diciembre de 1990;</w:t>
      </w:r>
    </w:p>
    <w:p w:rsidR="00E75A23" w:rsidRPr="00A64ECE" w:rsidRDefault="00182967" w:rsidP="00182967">
      <w:pPr>
        <w:suppressAutoHyphens/>
        <w:spacing w:after="0" w:line="360" w:lineRule="auto"/>
        <w:ind w:firstLine="2977"/>
        <w:jc w:val="both"/>
        <w:rPr>
          <w:rFonts w:eastAsia="Times New Roman" w:cs="Arial"/>
          <w:szCs w:val="20"/>
          <w:lang w:val="es-ES_tradnl" w:eastAsia="es-ES"/>
        </w:rPr>
      </w:pPr>
      <w:r>
        <w:rPr>
          <w:rFonts w:eastAsia="Times New Roman" w:cs="Arial"/>
          <w:b/>
          <w:szCs w:val="20"/>
          <w:lang w:val="es-ES_tradnl" w:eastAsia="es-ES"/>
        </w:rPr>
        <w:t xml:space="preserve"> </w:t>
      </w:r>
      <w:r w:rsidR="00E75A23" w:rsidRPr="00A64ECE">
        <w:rPr>
          <w:rFonts w:eastAsia="Times New Roman" w:cs="Arial"/>
          <w:b/>
          <w:szCs w:val="20"/>
          <w:lang w:val="es-ES_tradnl" w:eastAsia="es-ES"/>
        </w:rPr>
        <w:t xml:space="preserve">2) </w:t>
      </w:r>
      <w:r w:rsidR="00E75A23" w:rsidRPr="00A64ECE">
        <w:rPr>
          <w:rFonts w:eastAsia="Times New Roman" w:cs="Arial"/>
          <w:szCs w:val="20"/>
          <w:lang w:val="es-ES_tradnl" w:eastAsia="es-ES"/>
        </w:rPr>
        <w:t>que deberá rendirse cuenta documentada de la partida, de acuerdo con lo dispuesto por el artículo 132 del TOCAF y la Ordenanza Nº77 de este Tribunal;</w:t>
      </w:r>
    </w:p>
    <w:p w:rsidR="00E75A23" w:rsidRPr="00A64ECE" w:rsidRDefault="00182967" w:rsidP="00182967">
      <w:pPr>
        <w:suppressAutoHyphens/>
        <w:spacing w:after="0" w:line="360" w:lineRule="auto"/>
        <w:ind w:firstLine="2977"/>
        <w:jc w:val="both"/>
        <w:rPr>
          <w:rFonts w:eastAsia="Times New Roman" w:cs="Arial"/>
          <w:szCs w:val="20"/>
          <w:lang w:val="es-ES_tradnl" w:eastAsia="es-ES"/>
        </w:rPr>
      </w:pPr>
      <w:r>
        <w:rPr>
          <w:rFonts w:eastAsia="Times New Roman" w:cs="Arial"/>
          <w:b/>
          <w:szCs w:val="20"/>
          <w:lang w:val="es-ES_tradnl" w:eastAsia="es-ES"/>
        </w:rPr>
        <w:t xml:space="preserve"> </w:t>
      </w:r>
      <w:r w:rsidR="00E75A23" w:rsidRPr="00A64ECE">
        <w:rPr>
          <w:rFonts w:eastAsia="Times New Roman" w:cs="Arial"/>
          <w:b/>
          <w:szCs w:val="20"/>
          <w:lang w:val="es-ES_tradnl" w:eastAsia="es-ES"/>
        </w:rPr>
        <w:t xml:space="preserve">3) </w:t>
      </w:r>
      <w:r w:rsidR="00E75A23" w:rsidRPr="00A64ECE">
        <w:rPr>
          <w:rFonts w:eastAsia="Times New Roman" w:cs="Arial"/>
          <w:szCs w:val="20"/>
          <w:lang w:val="es-ES_tradnl" w:eastAsia="es-ES"/>
        </w:rPr>
        <w:t>que</w:t>
      </w:r>
      <w:r w:rsidR="00E75A23" w:rsidRPr="00A64ECE">
        <w:rPr>
          <w:rFonts w:eastAsia="Times New Roman" w:cs="Arial"/>
          <w:b/>
          <w:szCs w:val="20"/>
          <w:lang w:val="es-ES_tradnl" w:eastAsia="es-ES"/>
        </w:rPr>
        <w:t xml:space="preserve"> </w:t>
      </w:r>
      <w:r w:rsidR="00E75A23" w:rsidRPr="00A64ECE">
        <w:rPr>
          <w:rFonts w:eastAsia="Times New Roman" w:cs="Arial"/>
          <w:szCs w:val="20"/>
          <w:lang w:val="es-ES_tradnl" w:eastAsia="es-ES"/>
        </w:rPr>
        <w:t>deberá darse cumplimiento a lo establecido</w:t>
      </w:r>
      <w:r w:rsidR="00E75A23" w:rsidRPr="00A64ECE">
        <w:rPr>
          <w:rFonts w:eastAsia="Times New Roman" w:cs="Arial"/>
          <w:b/>
          <w:szCs w:val="20"/>
          <w:lang w:val="es-ES_tradnl" w:eastAsia="es-ES"/>
        </w:rPr>
        <w:t xml:space="preserve">  </w:t>
      </w:r>
      <w:r w:rsidR="00E75A23" w:rsidRPr="00A64ECE">
        <w:rPr>
          <w:rFonts w:eastAsia="Times New Roman" w:cs="Arial"/>
          <w:szCs w:val="20"/>
          <w:lang w:val="es-ES_tradnl" w:eastAsia="es-ES"/>
        </w:rPr>
        <w:t>en los artículos 159 y 177 del TOCAF;</w:t>
      </w:r>
    </w:p>
    <w:p w:rsidR="00E75A23" w:rsidRDefault="00182967" w:rsidP="00182967">
      <w:pPr>
        <w:suppressAutoHyphens/>
        <w:spacing w:after="0" w:line="360" w:lineRule="auto"/>
        <w:ind w:firstLine="2977"/>
        <w:jc w:val="both"/>
        <w:rPr>
          <w:rFonts w:eastAsia="Times New Roman" w:cs="Arial"/>
          <w:szCs w:val="20"/>
          <w:lang w:val="es-ES_tradnl" w:eastAsia="es-ES"/>
        </w:rPr>
      </w:pPr>
      <w:r>
        <w:rPr>
          <w:rFonts w:eastAsia="Times New Roman" w:cs="Arial"/>
          <w:b/>
          <w:szCs w:val="20"/>
          <w:lang w:val="es-ES_tradnl" w:eastAsia="es-ES"/>
        </w:rPr>
        <w:t xml:space="preserve"> </w:t>
      </w:r>
      <w:r w:rsidR="00E75A23" w:rsidRPr="00A64ECE">
        <w:rPr>
          <w:rFonts w:eastAsia="Times New Roman" w:cs="Arial"/>
          <w:b/>
          <w:szCs w:val="20"/>
          <w:lang w:val="es-ES_tradnl" w:eastAsia="es-ES"/>
        </w:rPr>
        <w:t>4)</w:t>
      </w:r>
      <w:r w:rsidR="00E75A23" w:rsidRPr="00A64ECE">
        <w:rPr>
          <w:rFonts w:eastAsia="Times New Roman" w:cs="Arial"/>
          <w:szCs w:val="20"/>
          <w:lang w:val="es-ES_tradnl" w:eastAsia="es-ES"/>
        </w:rPr>
        <w:t xml:space="preserve"> que deberá verificarse que</w:t>
      </w:r>
      <w:r w:rsidR="00E75A23">
        <w:rPr>
          <w:rFonts w:eastAsia="Times New Roman" w:cs="Arial"/>
          <w:szCs w:val="20"/>
          <w:lang w:val="es-ES_tradnl" w:eastAsia="es-ES"/>
        </w:rPr>
        <w:t xml:space="preserve"> se cumpla con la Ley </w:t>
      </w:r>
      <w:r w:rsidR="00E75A23" w:rsidRPr="00A64ECE">
        <w:rPr>
          <w:rFonts w:eastAsia="Times New Roman" w:cs="Arial"/>
          <w:szCs w:val="20"/>
          <w:lang w:val="es-ES_tradnl" w:eastAsia="es-ES"/>
        </w:rPr>
        <w:t>N° 18.996 respecto a los proyectos de inversión, contando con los informes técnicos correspondientes del SNIP;</w:t>
      </w:r>
    </w:p>
    <w:p w:rsidR="00E75A23" w:rsidRPr="00E75A23" w:rsidRDefault="00182967" w:rsidP="00182967">
      <w:pPr>
        <w:suppressAutoHyphens/>
        <w:spacing w:after="0" w:line="360" w:lineRule="auto"/>
        <w:ind w:firstLine="2977"/>
        <w:jc w:val="both"/>
        <w:rPr>
          <w:rFonts w:eastAsia="Times New Roman" w:cs="Arial"/>
          <w:szCs w:val="20"/>
          <w:lang w:val="es-ES_tradnl" w:eastAsia="es-ES"/>
        </w:rPr>
      </w:pPr>
      <w:r>
        <w:rPr>
          <w:rFonts w:eastAsia="Times New Roman" w:cs="Arial"/>
          <w:b/>
          <w:szCs w:val="20"/>
          <w:lang w:val="es-ES_tradnl" w:eastAsia="es-ES"/>
        </w:rPr>
        <w:lastRenderedPageBreak/>
        <w:t xml:space="preserve"> </w:t>
      </w:r>
      <w:r w:rsidR="00E75A23" w:rsidRPr="00A64ECE">
        <w:rPr>
          <w:rFonts w:eastAsia="Times New Roman" w:cs="Arial"/>
          <w:b/>
          <w:szCs w:val="20"/>
          <w:lang w:val="es-ES_tradnl" w:eastAsia="es-ES"/>
        </w:rPr>
        <w:t xml:space="preserve">5) </w:t>
      </w:r>
      <w:r w:rsidR="00E75A23" w:rsidRPr="00A64ECE">
        <w:rPr>
          <w:rFonts w:eastAsia="Times New Roman" w:cs="Arial"/>
          <w:szCs w:val="20"/>
          <w:lang w:val="es-ES_tradnl" w:eastAsia="es-ES"/>
        </w:rPr>
        <w:t>que, como resultado de las verificaciones efectuadas, no existen observaciones que formular;</w:t>
      </w:r>
    </w:p>
    <w:p w:rsidR="00E75A23" w:rsidRPr="00E75A23" w:rsidRDefault="00E75A23" w:rsidP="00E75A23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eastAsia="Times New Roman" w:cs="Arial"/>
          <w:szCs w:val="24"/>
          <w:lang w:val="es-ES_tradnl" w:eastAsia="es-ES"/>
        </w:rPr>
      </w:pPr>
      <w:r w:rsidRPr="00A64ECE">
        <w:rPr>
          <w:rFonts w:eastAsia="Times New Roman" w:cs="Arial"/>
          <w:b/>
          <w:szCs w:val="24"/>
          <w:lang w:val="es-ES_tradnl" w:eastAsia="es-ES"/>
        </w:rPr>
        <w:t xml:space="preserve">ATENTO: </w:t>
      </w:r>
      <w:r w:rsidRPr="00A64ECE">
        <w:rPr>
          <w:rFonts w:eastAsia="Times New Roman" w:cs="Arial"/>
          <w:szCs w:val="24"/>
          <w:lang w:val="es-ES_tradnl" w:eastAsia="es-ES"/>
        </w:rPr>
        <w:t>a lo precedentemente expuesto;</w:t>
      </w:r>
    </w:p>
    <w:p w:rsidR="00E75A23" w:rsidRPr="00E75A23" w:rsidRDefault="00E75A23" w:rsidP="00E75A23">
      <w:pPr>
        <w:spacing w:after="0" w:line="360" w:lineRule="auto"/>
        <w:jc w:val="center"/>
        <w:rPr>
          <w:rFonts w:eastAsia="Times New Roman" w:cs="Arial"/>
          <w:b/>
          <w:szCs w:val="24"/>
          <w:lang w:eastAsia="es-ES"/>
        </w:rPr>
      </w:pPr>
      <w:r>
        <w:rPr>
          <w:rFonts w:eastAsia="Times New Roman" w:cs="Arial"/>
          <w:b/>
          <w:szCs w:val="24"/>
          <w:lang w:eastAsia="es-ES"/>
        </w:rPr>
        <w:t>E</w:t>
      </w:r>
      <w:r w:rsidRPr="00A64ECE">
        <w:rPr>
          <w:rFonts w:eastAsia="Times New Roman" w:cs="Arial"/>
          <w:b/>
          <w:szCs w:val="24"/>
          <w:lang w:eastAsia="es-ES"/>
        </w:rPr>
        <w:t>L TRIBUNAL ACUERDA</w:t>
      </w:r>
    </w:p>
    <w:p w:rsidR="00E75A23" w:rsidRPr="00A64ECE" w:rsidRDefault="00E75A23" w:rsidP="00E75A23">
      <w:pPr>
        <w:spacing w:after="0" w:line="360" w:lineRule="auto"/>
        <w:ind w:left="284" w:hanging="284"/>
        <w:jc w:val="both"/>
        <w:rPr>
          <w:rFonts w:eastAsia="Times New Roman" w:cs="Arial"/>
          <w:szCs w:val="24"/>
          <w:lang w:eastAsia="es-ES"/>
        </w:rPr>
      </w:pPr>
      <w:r w:rsidRPr="00230A07">
        <w:rPr>
          <w:rFonts w:eastAsia="Times New Roman" w:cs="Arial"/>
          <w:b/>
          <w:szCs w:val="24"/>
          <w:lang w:eastAsia="es-ES"/>
        </w:rPr>
        <w:t>1)</w:t>
      </w:r>
      <w:r>
        <w:rPr>
          <w:rFonts w:eastAsia="Times New Roman" w:cs="Arial"/>
          <w:b/>
          <w:szCs w:val="24"/>
          <w:lang w:eastAsia="es-ES"/>
        </w:rPr>
        <w:t xml:space="preserve"> </w:t>
      </w:r>
      <w:r w:rsidRPr="00A64ECE">
        <w:rPr>
          <w:rFonts w:eastAsia="Times New Roman" w:cs="Arial"/>
          <w:szCs w:val="24"/>
          <w:lang w:eastAsia="es-ES"/>
        </w:rPr>
        <w:t xml:space="preserve">Cométase al Contador Delegado en </w:t>
      </w:r>
      <w:r w:rsidRPr="00A64ECE">
        <w:rPr>
          <w:rFonts w:eastAsia="Times New Roman" w:cs="Arial"/>
          <w:szCs w:val="20"/>
          <w:lang w:val="es-ES_tradnl" w:eastAsia="es-ES"/>
        </w:rPr>
        <w:t>l</w:t>
      </w:r>
      <w:r w:rsidRPr="00A64ECE">
        <w:rPr>
          <w:rFonts w:eastAsia="Times New Roman" w:cs="Arial"/>
          <w:szCs w:val="24"/>
          <w:lang w:val="es-ES_tradnl" w:eastAsia="es-ES"/>
        </w:rPr>
        <w:t>a Administración de los Servicios de Salud del Estado (ASSE)</w:t>
      </w:r>
      <w:r w:rsidRPr="00A64ECE">
        <w:rPr>
          <w:rFonts w:eastAsia="Times New Roman" w:cs="Arial"/>
          <w:szCs w:val="20"/>
          <w:lang w:val="es-ES_tradnl" w:eastAsia="es-ES"/>
        </w:rPr>
        <w:t xml:space="preserve"> la intervención de</w:t>
      </w:r>
      <w:r>
        <w:rPr>
          <w:rFonts w:eastAsia="Times New Roman" w:cs="Arial"/>
          <w:szCs w:val="20"/>
          <w:lang w:val="es-ES_tradnl" w:eastAsia="es-ES"/>
        </w:rPr>
        <w:t>l</w:t>
      </w:r>
      <w:r w:rsidRPr="00A64ECE">
        <w:rPr>
          <w:rFonts w:eastAsia="Times New Roman" w:cs="Arial"/>
          <w:szCs w:val="20"/>
          <w:lang w:val="es-ES_tradnl" w:eastAsia="es-ES"/>
        </w:rPr>
        <w:t xml:space="preserve"> gasto por </w:t>
      </w:r>
      <w:r>
        <w:rPr>
          <w:rFonts w:eastAsia="Times New Roman" w:cs="Arial"/>
          <w:szCs w:val="20"/>
          <w:lang w:val="es-ES_tradnl" w:eastAsia="es-ES"/>
        </w:rPr>
        <w:t xml:space="preserve">el importe de </w:t>
      </w:r>
      <w:r w:rsidRPr="00A64ECE">
        <w:rPr>
          <w:rFonts w:eastAsia="Times New Roman"/>
          <w:szCs w:val="24"/>
          <w:lang w:val="es-MX" w:eastAsia="es-ES"/>
        </w:rPr>
        <w:t>$</w:t>
      </w:r>
      <w:r>
        <w:rPr>
          <w:rFonts w:eastAsia="Times New Roman"/>
          <w:szCs w:val="24"/>
          <w:lang w:val="es-MX" w:eastAsia="es-ES"/>
        </w:rPr>
        <w:t>10</w:t>
      </w:r>
      <w:r w:rsidR="002E35F9">
        <w:rPr>
          <w:rFonts w:eastAsia="Times New Roman"/>
          <w:szCs w:val="24"/>
          <w:lang w:val="es-MX" w:eastAsia="es-ES"/>
        </w:rPr>
        <w:t>:</w:t>
      </w:r>
      <w:r>
        <w:rPr>
          <w:rFonts w:eastAsia="Times New Roman"/>
          <w:szCs w:val="24"/>
          <w:lang w:val="es-MX" w:eastAsia="es-ES"/>
        </w:rPr>
        <w:t>100.000</w:t>
      </w:r>
      <w:r w:rsidRPr="00A64ECE">
        <w:rPr>
          <w:rFonts w:eastAsia="Times New Roman" w:cs="Arial"/>
          <w:szCs w:val="20"/>
          <w:lang w:val="es-ES_tradnl" w:eastAsia="es-ES"/>
        </w:rPr>
        <w:t>,</w:t>
      </w:r>
      <w:r w:rsidRPr="00A64ECE">
        <w:rPr>
          <w:rFonts w:eastAsia="Times New Roman" w:cs="Arial"/>
          <w:szCs w:val="24"/>
          <w:lang w:val="es-ES_tradnl" w:eastAsia="es-ES"/>
        </w:rPr>
        <w:t xml:space="preserve"> una vez verificado</w:t>
      </w:r>
      <w:r>
        <w:rPr>
          <w:rFonts w:eastAsia="Times New Roman" w:cs="Arial"/>
          <w:szCs w:val="24"/>
          <w:lang w:val="es-ES_tradnl" w:eastAsia="es-ES"/>
        </w:rPr>
        <w:t xml:space="preserve">s </w:t>
      </w:r>
      <w:r w:rsidRPr="00A64ECE">
        <w:rPr>
          <w:rFonts w:eastAsia="Times New Roman" w:cs="Arial"/>
          <w:szCs w:val="20"/>
          <w:lang w:val="es-ES_tradnl" w:eastAsia="es-ES"/>
        </w:rPr>
        <w:t>los informes técnicos del SNIP</w:t>
      </w:r>
      <w:r>
        <w:rPr>
          <w:rFonts w:eastAsia="Times New Roman" w:cs="Arial"/>
          <w:szCs w:val="20"/>
          <w:lang w:val="es-ES_tradnl" w:eastAsia="es-ES"/>
        </w:rPr>
        <w:t xml:space="preserve"> y el cumplimiento de </w:t>
      </w:r>
      <w:r w:rsidRPr="00A64ECE">
        <w:rPr>
          <w:rFonts w:eastAsia="Times New Roman" w:cs="Arial"/>
          <w:szCs w:val="20"/>
          <w:lang w:val="es-ES_tradnl" w:eastAsia="es-ES"/>
        </w:rPr>
        <w:t>artículos 159 y 177 del TOCAF;</w:t>
      </w:r>
    </w:p>
    <w:p w:rsidR="00E75A23" w:rsidRPr="00A64ECE" w:rsidRDefault="00E75A23" w:rsidP="00E75A23">
      <w:pPr>
        <w:spacing w:after="0" w:line="360" w:lineRule="auto"/>
        <w:jc w:val="both"/>
        <w:rPr>
          <w:rFonts w:eastAsia="Times New Roman" w:cs="Arial"/>
          <w:szCs w:val="24"/>
          <w:lang w:eastAsia="es-ES"/>
        </w:rPr>
      </w:pPr>
      <w:r w:rsidRPr="00230A07">
        <w:rPr>
          <w:rFonts w:eastAsia="Times New Roman" w:cs="Arial"/>
          <w:b/>
          <w:szCs w:val="24"/>
          <w:lang w:eastAsia="es-ES"/>
        </w:rPr>
        <w:t>2)</w:t>
      </w:r>
      <w:r>
        <w:rPr>
          <w:rFonts w:eastAsia="Times New Roman" w:cs="Arial"/>
          <w:szCs w:val="24"/>
          <w:lang w:eastAsia="es-ES"/>
        </w:rPr>
        <w:t xml:space="preserve"> </w:t>
      </w:r>
      <w:r w:rsidRPr="00A64ECE">
        <w:rPr>
          <w:rFonts w:eastAsia="Times New Roman" w:cs="Arial"/>
          <w:szCs w:val="24"/>
          <w:lang w:eastAsia="es-ES"/>
        </w:rPr>
        <w:t>Téngase presente lo expresado en los Considerandos 2</w:t>
      </w:r>
      <w:r>
        <w:rPr>
          <w:rFonts w:eastAsia="Times New Roman" w:cs="Arial"/>
          <w:szCs w:val="24"/>
          <w:lang w:eastAsia="es-ES"/>
        </w:rPr>
        <w:t>)</w:t>
      </w:r>
      <w:r w:rsidRPr="00A64ECE">
        <w:rPr>
          <w:rFonts w:eastAsia="Times New Roman" w:cs="Arial"/>
          <w:szCs w:val="24"/>
          <w:lang w:eastAsia="es-ES"/>
        </w:rPr>
        <w:t>, 3</w:t>
      </w:r>
      <w:r>
        <w:rPr>
          <w:rFonts w:eastAsia="Times New Roman" w:cs="Arial"/>
          <w:szCs w:val="24"/>
          <w:lang w:eastAsia="es-ES"/>
        </w:rPr>
        <w:t>)</w:t>
      </w:r>
      <w:r w:rsidRPr="00A64ECE">
        <w:rPr>
          <w:rFonts w:eastAsia="Times New Roman" w:cs="Arial"/>
          <w:szCs w:val="24"/>
          <w:lang w:eastAsia="es-ES"/>
        </w:rPr>
        <w:t xml:space="preserve"> y 4</w:t>
      </w:r>
      <w:r>
        <w:rPr>
          <w:rFonts w:eastAsia="Times New Roman" w:cs="Arial"/>
          <w:szCs w:val="24"/>
          <w:lang w:eastAsia="es-ES"/>
        </w:rPr>
        <w:t>)</w:t>
      </w:r>
      <w:r w:rsidRPr="00A64ECE">
        <w:rPr>
          <w:rFonts w:eastAsia="Times New Roman" w:cs="Arial"/>
          <w:szCs w:val="24"/>
          <w:lang w:eastAsia="es-ES"/>
        </w:rPr>
        <w:t>;</w:t>
      </w:r>
    </w:p>
    <w:p w:rsidR="00E75A23" w:rsidRPr="00A64ECE" w:rsidRDefault="00E75A23" w:rsidP="00E75A23">
      <w:pPr>
        <w:spacing w:after="0" w:line="360" w:lineRule="auto"/>
        <w:ind w:left="284" w:hanging="284"/>
        <w:jc w:val="both"/>
        <w:rPr>
          <w:rFonts w:eastAsia="Times New Roman" w:cs="Arial"/>
          <w:szCs w:val="24"/>
          <w:lang w:eastAsia="es-ES"/>
        </w:rPr>
      </w:pPr>
      <w:r w:rsidRPr="00230A07">
        <w:rPr>
          <w:rFonts w:eastAsia="Times New Roman" w:cs="Arial"/>
          <w:b/>
          <w:szCs w:val="24"/>
          <w:lang w:eastAsia="es-ES"/>
        </w:rPr>
        <w:t>3)</w:t>
      </w:r>
      <w:r>
        <w:rPr>
          <w:rFonts w:eastAsia="Times New Roman" w:cs="Arial"/>
          <w:szCs w:val="24"/>
          <w:lang w:eastAsia="es-ES"/>
        </w:rPr>
        <w:t xml:space="preserve"> </w:t>
      </w:r>
      <w:r w:rsidRPr="00A64ECE">
        <w:rPr>
          <w:rFonts w:eastAsia="Times New Roman" w:cs="Arial"/>
          <w:szCs w:val="24"/>
          <w:lang w:eastAsia="es-ES"/>
        </w:rPr>
        <w:t>Comuníquese al Ministerio de Salud Pública, al Contador Delegado en el   Inciso; y</w:t>
      </w:r>
    </w:p>
    <w:p w:rsidR="00E75A23" w:rsidRPr="00A64ECE" w:rsidRDefault="00E75A23" w:rsidP="00E75A23">
      <w:pPr>
        <w:suppressAutoHyphens/>
        <w:spacing w:after="0" w:line="360" w:lineRule="auto"/>
        <w:jc w:val="both"/>
        <w:rPr>
          <w:rFonts w:eastAsia="Times New Roman"/>
          <w:szCs w:val="24"/>
          <w:lang w:eastAsia="es-ES"/>
        </w:rPr>
      </w:pPr>
      <w:r w:rsidRPr="00230A07">
        <w:rPr>
          <w:rFonts w:eastAsia="Times New Roman" w:cs="Arial"/>
          <w:b/>
          <w:szCs w:val="24"/>
          <w:lang w:eastAsia="es-ES"/>
        </w:rPr>
        <w:t>4)</w:t>
      </w:r>
      <w:r>
        <w:rPr>
          <w:rFonts w:eastAsia="Times New Roman" w:cs="Arial"/>
          <w:szCs w:val="24"/>
          <w:lang w:eastAsia="es-ES"/>
        </w:rPr>
        <w:t xml:space="preserve"> </w:t>
      </w:r>
      <w:r w:rsidRPr="00A64ECE">
        <w:rPr>
          <w:rFonts w:eastAsia="Times New Roman" w:cs="Arial"/>
          <w:szCs w:val="24"/>
          <w:lang w:eastAsia="es-ES"/>
        </w:rPr>
        <w:t>Devuélvase.</w:t>
      </w:r>
    </w:p>
    <w:p w:rsidR="00E75A23" w:rsidRPr="006940CB" w:rsidRDefault="00E75A23" w:rsidP="00E75A23">
      <w:pPr>
        <w:spacing w:after="0" w:line="360" w:lineRule="auto"/>
        <w:jc w:val="both"/>
        <w:rPr>
          <w:lang w:val="es-MX" w:eastAsia="es-ES"/>
        </w:rPr>
      </w:pPr>
    </w:p>
    <w:p w:rsidR="00E75A23" w:rsidRDefault="00E75A23" w:rsidP="00182967">
      <w:pPr>
        <w:tabs>
          <w:tab w:val="right" w:pos="10490"/>
        </w:tabs>
        <w:suppressAutoHyphens/>
        <w:spacing w:after="0" w:line="360" w:lineRule="auto"/>
        <w:jc w:val="both"/>
        <w:rPr>
          <w:rFonts w:eastAsia="Times New Roman"/>
          <w:szCs w:val="24"/>
          <w:lang w:val="es-ES_tradnl" w:eastAsia="es-ES"/>
        </w:rPr>
      </w:pPr>
      <w:proofErr w:type="spellStart"/>
      <w:proofErr w:type="gramStart"/>
      <w:r>
        <w:rPr>
          <w:rFonts w:eastAsia="Times New Roman"/>
          <w:szCs w:val="24"/>
          <w:lang w:val="es-ES_tradnl" w:eastAsia="es-ES"/>
        </w:rPr>
        <w:t>bf</w:t>
      </w:r>
      <w:proofErr w:type="spellEnd"/>
      <w:proofErr w:type="gramEnd"/>
    </w:p>
    <w:sectPr w:rsidR="00E75A23" w:rsidSect="00E75A23">
      <w:footerReference w:type="default" r:id="rId8"/>
      <w:pgSz w:w="11906" w:h="16838" w:code="9"/>
      <w:pgMar w:top="3402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4D4" w:rsidRDefault="00B944D4">
      <w:pPr>
        <w:spacing w:after="0" w:line="240" w:lineRule="auto"/>
      </w:pPr>
      <w:r>
        <w:separator/>
      </w:r>
    </w:p>
  </w:endnote>
  <w:endnote w:type="continuationSeparator" w:id="0">
    <w:p w:rsidR="00B944D4" w:rsidRDefault="00B9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430565"/>
      <w:docPartObj>
        <w:docPartGallery w:val="Page Numbers (Bottom of Page)"/>
        <w:docPartUnique/>
      </w:docPartObj>
    </w:sdtPr>
    <w:sdtEndPr/>
    <w:sdtContent>
      <w:p w:rsidR="00B944D4" w:rsidRDefault="00B944D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967">
          <w:rPr>
            <w:noProof/>
          </w:rPr>
          <w:t>1</w:t>
        </w:r>
        <w:r>
          <w:fldChar w:fldCharType="end"/>
        </w:r>
      </w:p>
    </w:sdtContent>
  </w:sdt>
  <w:p w:rsidR="00B944D4" w:rsidRDefault="00B944D4">
    <w:pPr>
      <w:pStyle w:val="Piedep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4D4" w:rsidRDefault="00B944D4">
      <w:pPr>
        <w:spacing w:after="0" w:line="240" w:lineRule="auto"/>
      </w:pPr>
      <w:r>
        <w:separator/>
      </w:r>
    </w:p>
  </w:footnote>
  <w:footnote w:type="continuationSeparator" w:id="0">
    <w:p w:rsidR="00B944D4" w:rsidRDefault="00B94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E7EAB354"/>
    <w:lvl w:ilvl="0" w:tplc="3F10DD8A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/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AAD11D6"/>
    <w:multiLevelType w:val="hybridMultilevel"/>
    <w:tmpl w:val="5D0AC7C4"/>
    <w:lvl w:ilvl="0" w:tplc="55F276CE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79"/>
    <w:rsid w:val="00003F79"/>
    <w:rsid w:val="00056692"/>
    <w:rsid w:val="00081737"/>
    <w:rsid w:val="00182967"/>
    <w:rsid w:val="001923C2"/>
    <w:rsid w:val="00230A07"/>
    <w:rsid w:val="002E35F9"/>
    <w:rsid w:val="00337B53"/>
    <w:rsid w:val="00456196"/>
    <w:rsid w:val="004D4E3A"/>
    <w:rsid w:val="004F67C8"/>
    <w:rsid w:val="005028B4"/>
    <w:rsid w:val="005E4976"/>
    <w:rsid w:val="006940CB"/>
    <w:rsid w:val="006A0318"/>
    <w:rsid w:val="006A295E"/>
    <w:rsid w:val="006B2797"/>
    <w:rsid w:val="007949B1"/>
    <w:rsid w:val="00867EBE"/>
    <w:rsid w:val="008C095F"/>
    <w:rsid w:val="00A64ECE"/>
    <w:rsid w:val="00A87706"/>
    <w:rsid w:val="00A951B4"/>
    <w:rsid w:val="00AB2D5D"/>
    <w:rsid w:val="00B944D4"/>
    <w:rsid w:val="00C72C12"/>
    <w:rsid w:val="00D66065"/>
    <w:rsid w:val="00DB5D08"/>
    <w:rsid w:val="00DE2D9F"/>
    <w:rsid w:val="00E10F0B"/>
    <w:rsid w:val="00E7521C"/>
    <w:rsid w:val="00E75A23"/>
    <w:rsid w:val="00E868F2"/>
    <w:rsid w:val="00EB62FD"/>
    <w:rsid w:val="00E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CB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72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C12"/>
  </w:style>
  <w:style w:type="paragraph" w:customStyle="1" w:styleId="xl29">
    <w:name w:val="xl29"/>
    <w:basedOn w:val="Normal"/>
    <w:rsid w:val="004561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Arial"/>
      <w:b/>
      <w:b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37B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4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4D4"/>
    <w:rPr>
      <w:rFonts w:ascii="Arial" w:hAnsi="Arial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0CB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C72C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C12"/>
  </w:style>
  <w:style w:type="paragraph" w:customStyle="1" w:styleId="xl29">
    <w:name w:val="xl29"/>
    <w:basedOn w:val="Normal"/>
    <w:rsid w:val="0045619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Times New Roman" w:cs="Arial"/>
      <w:b/>
      <w:bCs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37B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94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4D4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TCR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2017-03-21T15:46:00Z</cp:lastPrinted>
  <dcterms:created xsi:type="dcterms:W3CDTF">2017-05-09T18:17:00Z</dcterms:created>
  <dcterms:modified xsi:type="dcterms:W3CDTF">2017-09-29T19:26:00Z</dcterms:modified>
</cp:coreProperties>
</file>