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77" w:rsidRDefault="00410E77" w:rsidP="00410E77">
      <w:pPr>
        <w:tabs>
          <w:tab w:val="center" w:pos="4253"/>
        </w:tabs>
        <w:jc w:val="right"/>
        <w:rPr>
          <w:rFonts w:ascii="Arial" w:eastAsia="Times New Roman" w:hAnsi="Arial" w:cs="Arial"/>
          <w:b/>
          <w:snapToGrid w:val="0"/>
          <w:kern w:val="0"/>
          <w:sz w:val="28"/>
          <w:szCs w:val="28"/>
          <w:lang w:val="es-ES_tradnl" w:eastAsia="es-ES" w:bidi="ar-SA"/>
        </w:rPr>
      </w:pPr>
      <w:r w:rsidRPr="00410E77">
        <w:rPr>
          <w:rFonts w:ascii="Arial" w:eastAsia="Times New Roman" w:hAnsi="Arial" w:cs="Arial"/>
          <w:b/>
          <w:snapToGrid w:val="0"/>
          <w:kern w:val="0"/>
          <w:sz w:val="28"/>
          <w:szCs w:val="28"/>
          <w:lang w:val="es-ES_tradnl" w:eastAsia="es-ES" w:bidi="ar-SA"/>
        </w:rPr>
        <w:t>R</w:t>
      </w:r>
      <w:bookmarkStart w:id="0" w:name="_GoBack"/>
      <w:bookmarkEnd w:id="0"/>
      <w:r w:rsidRPr="00410E77">
        <w:rPr>
          <w:rFonts w:ascii="Arial" w:eastAsia="Times New Roman" w:hAnsi="Arial" w:cs="Arial"/>
          <w:b/>
          <w:snapToGrid w:val="0"/>
          <w:kern w:val="0"/>
          <w:sz w:val="28"/>
          <w:szCs w:val="28"/>
          <w:lang w:val="es-ES_tradnl" w:eastAsia="es-ES" w:bidi="ar-SA"/>
        </w:rPr>
        <w:t xml:space="preserve">ES. </w:t>
      </w:r>
      <w:r w:rsidR="00EE28B6">
        <w:rPr>
          <w:rFonts w:ascii="Arial" w:eastAsia="Times New Roman" w:hAnsi="Arial" w:cs="Arial"/>
          <w:b/>
          <w:snapToGrid w:val="0"/>
          <w:kern w:val="0"/>
          <w:sz w:val="28"/>
          <w:szCs w:val="28"/>
          <w:lang w:val="es-ES_tradnl" w:eastAsia="es-ES" w:bidi="ar-SA"/>
        </w:rPr>
        <w:t>1532</w:t>
      </w:r>
      <w:r w:rsidRPr="00410E77">
        <w:rPr>
          <w:rFonts w:ascii="Arial" w:eastAsia="Times New Roman" w:hAnsi="Arial" w:cs="Arial"/>
          <w:b/>
          <w:snapToGrid w:val="0"/>
          <w:kern w:val="0"/>
          <w:sz w:val="28"/>
          <w:szCs w:val="28"/>
          <w:lang w:val="es-ES_tradnl" w:eastAsia="es-ES" w:bidi="ar-SA"/>
        </w:rPr>
        <w:t>/17</w:t>
      </w:r>
    </w:p>
    <w:p w:rsidR="004A571E" w:rsidRPr="00410E77" w:rsidRDefault="004A571E" w:rsidP="00410E77">
      <w:pPr>
        <w:tabs>
          <w:tab w:val="center" w:pos="4253"/>
        </w:tabs>
        <w:jc w:val="right"/>
        <w:rPr>
          <w:rFonts w:ascii="Arial" w:eastAsia="Times New Roman" w:hAnsi="Arial" w:cs="Arial"/>
          <w:b/>
          <w:snapToGrid w:val="0"/>
          <w:kern w:val="0"/>
          <w:sz w:val="28"/>
          <w:szCs w:val="28"/>
          <w:lang w:val="es-ES_tradnl" w:eastAsia="es-ES" w:bidi="ar-SA"/>
        </w:rPr>
      </w:pPr>
    </w:p>
    <w:p w:rsidR="00410E77" w:rsidRPr="00410E77" w:rsidRDefault="00410E77" w:rsidP="00410E77">
      <w:pPr>
        <w:tabs>
          <w:tab w:val="center" w:pos="4253"/>
        </w:tabs>
        <w:jc w:val="center"/>
        <w:rPr>
          <w:rFonts w:ascii="Helvetica" w:eastAsia="Times New Roman" w:hAnsi="Helvetica" w:cs="Times New Roman"/>
          <w:b/>
          <w:snapToGrid w:val="0"/>
          <w:kern w:val="0"/>
          <w:szCs w:val="20"/>
          <w:lang w:val="es-ES_tradnl" w:eastAsia="es-ES" w:bidi="ar-SA"/>
        </w:rPr>
      </w:pPr>
      <w:r w:rsidRPr="00410E77">
        <w:rPr>
          <w:rFonts w:ascii="Helvetica" w:eastAsia="Times New Roman" w:hAnsi="Helvetica" w:cs="Times New Roman"/>
          <w:b/>
          <w:snapToGrid w:val="0"/>
          <w:kern w:val="0"/>
          <w:szCs w:val="20"/>
          <w:lang w:val="es-ES_tradnl" w:eastAsia="es-ES" w:bidi="ar-SA"/>
        </w:rPr>
        <w:t>RESOLUCION ADOPTADA POR EL</w:t>
      </w:r>
    </w:p>
    <w:p w:rsidR="00410E77" w:rsidRPr="00410E77" w:rsidRDefault="00410E77" w:rsidP="00410E77">
      <w:pPr>
        <w:tabs>
          <w:tab w:val="left" w:pos="-720"/>
        </w:tabs>
        <w:jc w:val="center"/>
        <w:rPr>
          <w:rFonts w:ascii="Helvetica" w:eastAsia="Times New Roman" w:hAnsi="Helvetica" w:cs="Times New Roman"/>
          <w:b/>
          <w:snapToGrid w:val="0"/>
          <w:kern w:val="0"/>
          <w:szCs w:val="20"/>
          <w:lang w:val="es-ES_tradnl" w:eastAsia="es-ES" w:bidi="ar-SA"/>
        </w:rPr>
      </w:pPr>
    </w:p>
    <w:p w:rsidR="00410E77" w:rsidRPr="00410E77" w:rsidRDefault="00410E77" w:rsidP="00410E77">
      <w:pPr>
        <w:tabs>
          <w:tab w:val="center" w:pos="4253"/>
        </w:tabs>
        <w:jc w:val="center"/>
        <w:rPr>
          <w:rFonts w:ascii="Helvetica" w:eastAsia="Times New Roman" w:hAnsi="Helvetica" w:cs="Times New Roman"/>
          <w:b/>
          <w:snapToGrid w:val="0"/>
          <w:kern w:val="0"/>
          <w:szCs w:val="20"/>
          <w:lang w:val="es-ES_tradnl" w:eastAsia="es-ES" w:bidi="ar-SA"/>
        </w:rPr>
      </w:pPr>
      <w:r w:rsidRPr="00410E77">
        <w:rPr>
          <w:rFonts w:ascii="Helvetica" w:eastAsia="Times New Roman" w:hAnsi="Helvetica" w:cs="Times New Roman"/>
          <w:b/>
          <w:snapToGrid w:val="0"/>
          <w:kern w:val="0"/>
          <w:szCs w:val="20"/>
          <w:lang w:val="es-ES_tradnl" w:eastAsia="es-ES" w:bidi="ar-SA"/>
        </w:rPr>
        <w:t>TRIBUNAL DE CUENTAS</w:t>
      </w:r>
    </w:p>
    <w:p w:rsidR="00410E77" w:rsidRPr="00410E77" w:rsidRDefault="00410E77" w:rsidP="00410E77">
      <w:pPr>
        <w:tabs>
          <w:tab w:val="left" w:pos="-720"/>
        </w:tabs>
        <w:jc w:val="center"/>
        <w:rPr>
          <w:rFonts w:ascii="Helvetica" w:eastAsia="Times New Roman" w:hAnsi="Helvetica" w:cs="Times New Roman"/>
          <w:b/>
          <w:snapToGrid w:val="0"/>
          <w:kern w:val="0"/>
          <w:szCs w:val="20"/>
          <w:lang w:val="es-ES_tradnl" w:eastAsia="es-ES" w:bidi="ar-SA"/>
        </w:rPr>
      </w:pPr>
    </w:p>
    <w:p w:rsidR="00410E77" w:rsidRPr="00410E77" w:rsidRDefault="00410E77" w:rsidP="00410E77">
      <w:pPr>
        <w:tabs>
          <w:tab w:val="center" w:pos="4253"/>
        </w:tabs>
        <w:jc w:val="center"/>
        <w:rPr>
          <w:rFonts w:ascii="Helvetica" w:eastAsia="Times New Roman" w:hAnsi="Helvetica" w:cs="Times New Roman"/>
          <w:b/>
          <w:snapToGrid w:val="0"/>
          <w:kern w:val="0"/>
          <w:szCs w:val="20"/>
          <w:lang w:val="es-ES_tradnl" w:eastAsia="es-ES" w:bidi="ar-SA"/>
        </w:rPr>
      </w:pPr>
      <w:r w:rsidRPr="00410E77">
        <w:rPr>
          <w:rFonts w:ascii="Helvetica" w:eastAsia="Times New Roman" w:hAnsi="Helvetica" w:cs="Times New Roman"/>
          <w:b/>
          <w:snapToGrid w:val="0"/>
          <w:kern w:val="0"/>
          <w:szCs w:val="20"/>
          <w:lang w:val="es-ES_tradnl" w:eastAsia="es-ES" w:bidi="ar-SA"/>
        </w:rPr>
        <w:t>EN SESION DE FECHA 17 DE MAYO DE 2017</w:t>
      </w:r>
    </w:p>
    <w:p w:rsidR="00410E77" w:rsidRPr="00410E77" w:rsidRDefault="00410E77" w:rsidP="00410E77">
      <w:pPr>
        <w:tabs>
          <w:tab w:val="center" w:pos="4253"/>
        </w:tabs>
        <w:jc w:val="center"/>
        <w:rPr>
          <w:rFonts w:ascii="Helvetica" w:eastAsia="Times New Roman" w:hAnsi="Helvetica" w:cs="Times New Roman"/>
          <w:b/>
          <w:snapToGrid w:val="0"/>
          <w:kern w:val="0"/>
          <w:szCs w:val="20"/>
          <w:lang w:val="es-ES_tradnl" w:eastAsia="es-ES" w:bidi="ar-SA"/>
        </w:rPr>
      </w:pPr>
    </w:p>
    <w:p w:rsidR="00410E77" w:rsidRPr="00410E77" w:rsidRDefault="00410E77" w:rsidP="00410E77">
      <w:pPr>
        <w:tabs>
          <w:tab w:val="center" w:pos="4253"/>
        </w:tabs>
        <w:jc w:val="center"/>
        <w:rPr>
          <w:rFonts w:ascii="Helvetica" w:eastAsia="Times New Roman" w:hAnsi="Helvetica" w:cs="Times New Roman"/>
          <w:b/>
          <w:snapToGrid w:val="0"/>
          <w:kern w:val="0"/>
          <w:szCs w:val="20"/>
          <w:lang w:eastAsia="es-ES" w:bidi="ar-SA"/>
        </w:rPr>
      </w:pPr>
      <w:r w:rsidRPr="00410E77">
        <w:rPr>
          <w:rFonts w:ascii="Helvetica" w:eastAsia="Times New Roman" w:hAnsi="Helvetica" w:cs="Times New Roman"/>
          <w:b/>
          <w:snapToGrid w:val="0"/>
          <w:kern w:val="0"/>
          <w:szCs w:val="20"/>
          <w:lang w:eastAsia="es-ES" w:bidi="ar-SA"/>
        </w:rPr>
        <w:t xml:space="preserve">(E. E. Nº 2017-17-1-0001511, </w:t>
      </w:r>
      <w:proofErr w:type="spellStart"/>
      <w:r w:rsidRPr="00410E77">
        <w:rPr>
          <w:rFonts w:ascii="Helvetica" w:eastAsia="Times New Roman" w:hAnsi="Helvetica" w:cs="Times New Roman"/>
          <w:b/>
          <w:snapToGrid w:val="0"/>
          <w:kern w:val="0"/>
          <w:szCs w:val="20"/>
          <w:lang w:eastAsia="es-ES" w:bidi="ar-SA"/>
        </w:rPr>
        <w:t>Ent</w:t>
      </w:r>
      <w:proofErr w:type="spellEnd"/>
      <w:r w:rsidRPr="00410E77">
        <w:rPr>
          <w:rFonts w:ascii="Helvetica" w:eastAsia="Times New Roman" w:hAnsi="Helvetica" w:cs="Times New Roman"/>
          <w:b/>
          <w:snapToGrid w:val="0"/>
          <w:kern w:val="0"/>
          <w:szCs w:val="20"/>
          <w:lang w:eastAsia="es-ES" w:bidi="ar-SA"/>
        </w:rPr>
        <w:t>. N° 1171/17)</w:t>
      </w:r>
    </w:p>
    <w:p w:rsidR="00410E77" w:rsidRPr="00410E77" w:rsidRDefault="00410E77" w:rsidP="00410E77">
      <w:pPr>
        <w:tabs>
          <w:tab w:val="center" w:pos="4253"/>
        </w:tabs>
        <w:jc w:val="center"/>
        <w:rPr>
          <w:rFonts w:ascii="Arial" w:eastAsia="Times New Roman" w:hAnsi="Arial" w:cs="Arial"/>
          <w:b/>
          <w:snapToGrid w:val="0"/>
          <w:kern w:val="0"/>
          <w:szCs w:val="20"/>
          <w:lang w:eastAsia="es-ES" w:bidi="ar-SA"/>
        </w:rPr>
      </w:pPr>
    </w:p>
    <w:p w:rsidR="00410E77" w:rsidRPr="00410E77" w:rsidRDefault="00410E77" w:rsidP="00410E77">
      <w:pPr>
        <w:tabs>
          <w:tab w:val="center" w:pos="4253"/>
        </w:tabs>
        <w:jc w:val="center"/>
        <w:rPr>
          <w:rFonts w:ascii="Helvetica" w:eastAsia="Times New Roman" w:hAnsi="Helvetica" w:cs="Times New Roman"/>
          <w:b/>
          <w:snapToGrid w:val="0"/>
          <w:kern w:val="0"/>
          <w:szCs w:val="20"/>
          <w:lang w:val="es-ES_tradnl" w:eastAsia="es-ES" w:bidi="ar-SA"/>
        </w:rPr>
      </w:pPr>
    </w:p>
    <w:p w:rsidR="006301F0" w:rsidRDefault="006301F0" w:rsidP="006301F0">
      <w:pPr>
        <w:tabs>
          <w:tab w:val="left" w:pos="-1440"/>
          <w:tab w:val="left" w:pos="-720"/>
          <w:tab w:val="left" w:pos="0"/>
          <w:tab w:val="left" w:pos="720"/>
          <w:tab w:val="left" w:pos="1440"/>
          <w:tab w:val="left" w:pos="2160"/>
          <w:tab w:val="left" w:pos="2448"/>
          <w:tab w:val="left" w:pos="6480"/>
          <w:tab w:val="left" w:pos="7920"/>
        </w:tabs>
        <w:spacing w:line="360" w:lineRule="auto"/>
        <w:ind w:firstLine="851"/>
        <w:jc w:val="both"/>
      </w:pPr>
      <w:r>
        <w:rPr>
          <w:rFonts w:ascii="Arial" w:hAnsi="Arial" w:cs="Arial"/>
          <w:b/>
        </w:rPr>
        <w:t xml:space="preserve">VISTO Y CONSIDERANDO: </w:t>
      </w:r>
      <w:r>
        <w:rPr>
          <w:rFonts w:ascii="Arial" w:hAnsi="Arial" w:cs="Arial"/>
        </w:rPr>
        <w:t xml:space="preserve">el Oficio </w:t>
      </w:r>
      <w:r w:rsidR="009E7C27">
        <w:rPr>
          <w:rFonts w:ascii="Arial" w:hAnsi="Arial" w:cs="Arial"/>
        </w:rPr>
        <w:t>Nº</w:t>
      </w:r>
      <w:r>
        <w:rPr>
          <w:rFonts w:ascii="Arial" w:hAnsi="Arial" w:cs="Arial"/>
        </w:rPr>
        <w:t xml:space="preserve"> </w:t>
      </w:r>
      <w:r w:rsidR="009E7C27">
        <w:rPr>
          <w:rFonts w:ascii="Arial" w:hAnsi="Arial" w:cs="Arial"/>
        </w:rPr>
        <w:t>066</w:t>
      </w:r>
      <w:r>
        <w:rPr>
          <w:rFonts w:ascii="Arial" w:hAnsi="Arial" w:cs="Arial"/>
        </w:rPr>
        <w:t>/201</w:t>
      </w:r>
      <w:r w:rsidR="009E7C27">
        <w:rPr>
          <w:rFonts w:ascii="Arial" w:hAnsi="Arial" w:cs="Arial"/>
        </w:rPr>
        <w:t>7</w:t>
      </w:r>
      <w:r>
        <w:rPr>
          <w:rFonts w:ascii="Arial" w:hAnsi="Arial" w:cs="Arial"/>
        </w:rPr>
        <w:t xml:space="preserve"> </w:t>
      </w:r>
      <w:r w:rsidR="009E7C27">
        <w:rPr>
          <w:rFonts w:ascii="Arial" w:hAnsi="Arial" w:cs="Arial"/>
        </w:rPr>
        <w:t>de fecha 2 de marzo de 2017</w:t>
      </w:r>
      <w:r>
        <w:rPr>
          <w:rFonts w:ascii="Arial" w:hAnsi="Arial" w:cs="Arial"/>
        </w:rPr>
        <w:t xml:space="preserve"> remitido por la Junta Departamental de </w:t>
      </w:r>
      <w:r w:rsidR="009E7C27">
        <w:rPr>
          <w:rFonts w:ascii="Arial" w:hAnsi="Arial" w:cs="Arial"/>
        </w:rPr>
        <w:t>Rivera</w:t>
      </w:r>
      <w:r>
        <w:rPr>
          <w:rFonts w:ascii="Arial" w:hAnsi="Arial" w:cs="Arial"/>
        </w:rPr>
        <w:t xml:space="preserve">, adjunto al cual se remite Resolución Nº </w:t>
      </w:r>
      <w:r w:rsidR="009E7C27">
        <w:rPr>
          <w:rFonts w:ascii="Arial" w:hAnsi="Arial" w:cs="Arial"/>
        </w:rPr>
        <w:t>975</w:t>
      </w:r>
      <w:r>
        <w:rPr>
          <w:rFonts w:ascii="Arial" w:hAnsi="Arial" w:cs="Arial"/>
        </w:rPr>
        <w:t>/</w:t>
      </w:r>
      <w:r w:rsidR="009E7C27">
        <w:rPr>
          <w:rFonts w:ascii="Arial" w:hAnsi="Arial" w:cs="Arial"/>
        </w:rPr>
        <w:t>2017</w:t>
      </w:r>
      <w:r>
        <w:rPr>
          <w:rFonts w:ascii="Arial" w:hAnsi="Arial" w:cs="Arial"/>
        </w:rPr>
        <w:t xml:space="preserve"> de fecha </w:t>
      </w:r>
      <w:r w:rsidR="009E7C27">
        <w:rPr>
          <w:rFonts w:ascii="Arial" w:hAnsi="Arial" w:cs="Arial"/>
        </w:rPr>
        <w:t>21</w:t>
      </w:r>
      <w:r>
        <w:rPr>
          <w:rFonts w:ascii="Arial" w:hAnsi="Arial" w:cs="Arial"/>
        </w:rPr>
        <w:t>/0</w:t>
      </w:r>
      <w:r w:rsidR="009E7C27">
        <w:rPr>
          <w:rFonts w:ascii="Arial" w:hAnsi="Arial" w:cs="Arial"/>
        </w:rPr>
        <w:t>2</w:t>
      </w:r>
      <w:r>
        <w:rPr>
          <w:rFonts w:ascii="Arial" w:hAnsi="Arial" w:cs="Arial"/>
        </w:rPr>
        <w:t>/1</w:t>
      </w:r>
      <w:r w:rsidR="009E7C27">
        <w:rPr>
          <w:rFonts w:ascii="Arial" w:hAnsi="Arial" w:cs="Arial"/>
        </w:rPr>
        <w:t>7</w:t>
      </w:r>
      <w:r>
        <w:rPr>
          <w:rFonts w:ascii="Arial" w:hAnsi="Arial" w:cs="Arial"/>
        </w:rPr>
        <w:t xml:space="preserve"> de la Intendencia solicitando anuencia para </w:t>
      </w:r>
      <w:r w:rsidR="009E7C27">
        <w:rPr>
          <w:rFonts w:ascii="Arial" w:hAnsi="Arial" w:cs="Arial"/>
        </w:rPr>
        <w:t xml:space="preserve">contratar con el BROU una línea de crédito de hasta </w:t>
      </w:r>
      <w:r w:rsidR="00EE28B6">
        <w:rPr>
          <w:rFonts w:ascii="Arial" w:hAnsi="Arial" w:cs="Arial"/>
        </w:rPr>
        <w:t xml:space="preserve">                                                </w:t>
      </w:r>
      <w:r w:rsidR="009E7C27">
        <w:rPr>
          <w:rFonts w:ascii="Arial" w:hAnsi="Arial" w:cs="Arial"/>
        </w:rPr>
        <w:t>U$S 2.500.000 (dos millones quinientos mil dólares estadounidenses)</w:t>
      </w:r>
      <w:r>
        <w:rPr>
          <w:rFonts w:ascii="Arial" w:hAnsi="Arial" w:cs="Arial"/>
        </w:rPr>
        <w:t>, al amparo de lo dispuesto por el Artículo 301 inc.2 de l</w:t>
      </w:r>
      <w:r w:rsidR="004A571E">
        <w:rPr>
          <w:rFonts w:ascii="Arial" w:hAnsi="Arial" w:cs="Arial"/>
        </w:rPr>
        <w:t>a Constitución de la República;</w:t>
      </w:r>
    </w:p>
    <w:p w:rsidR="006301F0" w:rsidRDefault="006301F0" w:rsidP="006301F0">
      <w:pPr>
        <w:tabs>
          <w:tab w:val="left" w:pos="-1440"/>
          <w:tab w:val="left" w:pos="-720"/>
          <w:tab w:val="left" w:pos="0"/>
          <w:tab w:val="left" w:pos="720"/>
          <w:tab w:val="left" w:pos="1440"/>
          <w:tab w:val="left" w:pos="2160"/>
          <w:tab w:val="left" w:pos="2448"/>
          <w:tab w:val="left" w:pos="6480"/>
          <w:tab w:val="left" w:pos="7920"/>
        </w:tabs>
        <w:spacing w:line="360" w:lineRule="auto"/>
        <w:ind w:firstLine="851"/>
        <w:jc w:val="both"/>
        <w:rPr>
          <w:rFonts w:ascii="Arial" w:hAnsi="Arial" w:cs="Arial"/>
        </w:rPr>
      </w:pPr>
      <w:r>
        <w:rPr>
          <w:rFonts w:ascii="Arial" w:hAnsi="Arial" w:cs="Arial"/>
          <w:b/>
        </w:rPr>
        <w:t xml:space="preserve">ATENTO: </w:t>
      </w:r>
      <w:r>
        <w:rPr>
          <w:rFonts w:ascii="Arial" w:hAnsi="Arial" w:cs="Arial"/>
        </w:rPr>
        <w:t>a lo establecido precedentemente;</w:t>
      </w:r>
    </w:p>
    <w:p w:rsidR="006301F0" w:rsidRDefault="006301F0" w:rsidP="006301F0">
      <w:pPr>
        <w:tabs>
          <w:tab w:val="left" w:pos="-1440"/>
          <w:tab w:val="left" w:pos="-720"/>
          <w:tab w:val="left" w:pos="0"/>
          <w:tab w:val="left" w:pos="720"/>
          <w:tab w:val="left" w:pos="1440"/>
          <w:tab w:val="left" w:pos="2160"/>
          <w:tab w:val="left" w:pos="2448"/>
          <w:tab w:val="left" w:pos="6480"/>
          <w:tab w:val="left" w:pos="7920"/>
        </w:tabs>
        <w:spacing w:line="360" w:lineRule="auto"/>
        <w:ind w:firstLine="851"/>
        <w:jc w:val="center"/>
        <w:rPr>
          <w:rFonts w:ascii="Arial" w:hAnsi="Arial" w:cs="Arial"/>
          <w:b/>
        </w:rPr>
      </w:pPr>
      <w:r>
        <w:rPr>
          <w:rFonts w:ascii="Arial" w:hAnsi="Arial" w:cs="Arial"/>
          <w:b/>
        </w:rPr>
        <w:t>EL TRIBUNAL ACUERDA</w:t>
      </w:r>
    </w:p>
    <w:p w:rsidR="009E7C27" w:rsidRPr="00EE28B6" w:rsidRDefault="00EE28B6" w:rsidP="00EE28B6">
      <w:pPr>
        <w:widowControl/>
        <w:tabs>
          <w:tab w:val="left" w:pos="-1440"/>
          <w:tab w:val="left" w:pos="-720"/>
          <w:tab w:val="left" w:pos="0"/>
          <w:tab w:val="left" w:pos="426"/>
          <w:tab w:val="left" w:pos="851"/>
          <w:tab w:val="left" w:pos="1440"/>
          <w:tab w:val="left" w:pos="2160"/>
          <w:tab w:val="left" w:pos="2448"/>
          <w:tab w:val="left" w:pos="6480"/>
          <w:tab w:val="left" w:pos="7920"/>
        </w:tabs>
        <w:spacing w:line="360" w:lineRule="auto"/>
        <w:jc w:val="both"/>
        <w:rPr>
          <w:rFonts w:ascii="Arial" w:hAnsi="Arial" w:cs="Arial"/>
        </w:rPr>
      </w:pPr>
      <w:r w:rsidRPr="00EE28B6">
        <w:rPr>
          <w:rFonts w:ascii="Arial" w:hAnsi="Arial" w:cs="Arial"/>
          <w:b/>
        </w:rPr>
        <w:t>1)</w:t>
      </w:r>
      <w:r>
        <w:rPr>
          <w:rFonts w:ascii="Arial" w:hAnsi="Arial" w:cs="Arial"/>
        </w:rPr>
        <w:t xml:space="preserve"> </w:t>
      </w:r>
      <w:r w:rsidR="009E7C27" w:rsidRPr="00EE28B6">
        <w:rPr>
          <w:rFonts w:ascii="Arial" w:hAnsi="Arial" w:cs="Arial"/>
        </w:rPr>
        <w:t>Ap</w:t>
      </w:r>
      <w:r w:rsidRPr="00EE28B6">
        <w:rPr>
          <w:rFonts w:ascii="Arial" w:hAnsi="Arial" w:cs="Arial"/>
        </w:rPr>
        <w:t>robar el informe que se adjunta;</w:t>
      </w:r>
    </w:p>
    <w:p w:rsidR="009E7C27" w:rsidRPr="00EE28B6" w:rsidRDefault="00EE28B6" w:rsidP="00EE28B6">
      <w:pPr>
        <w:widowControl/>
        <w:tabs>
          <w:tab w:val="left" w:pos="-1440"/>
          <w:tab w:val="left" w:pos="-720"/>
          <w:tab w:val="left" w:pos="0"/>
          <w:tab w:val="left" w:pos="426"/>
          <w:tab w:val="left" w:pos="851"/>
          <w:tab w:val="left" w:pos="1440"/>
          <w:tab w:val="left" w:pos="2160"/>
          <w:tab w:val="left" w:pos="2448"/>
          <w:tab w:val="left" w:pos="6480"/>
          <w:tab w:val="left" w:pos="7920"/>
        </w:tabs>
        <w:spacing w:line="360" w:lineRule="auto"/>
        <w:jc w:val="both"/>
        <w:rPr>
          <w:rFonts w:ascii="Arial" w:hAnsi="Arial" w:cs="Arial"/>
        </w:rPr>
      </w:pPr>
      <w:r w:rsidRPr="00EE28B6">
        <w:rPr>
          <w:rFonts w:ascii="Arial" w:hAnsi="Arial" w:cs="Arial"/>
          <w:b/>
        </w:rPr>
        <w:t>2)</w:t>
      </w:r>
      <w:r>
        <w:rPr>
          <w:rFonts w:ascii="Arial" w:hAnsi="Arial" w:cs="Arial"/>
        </w:rPr>
        <w:t xml:space="preserve"> </w:t>
      </w:r>
      <w:r w:rsidR="009E7C27" w:rsidRPr="00EE28B6">
        <w:rPr>
          <w:rFonts w:ascii="Arial" w:hAnsi="Arial" w:cs="Arial"/>
        </w:rPr>
        <w:t>Comunicar a la Intendencia y a la Junta Departamental de Rivera</w:t>
      </w:r>
      <w:r>
        <w:rPr>
          <w:rFonts w:ascii="Arial" w:hAnsi="Arial" w:cs="Arial"/>
        </w:rPr>
        <w:t>;</w:t>
      </w:r>
    </w:p>
    <w:p w:rsidR="009E7C27" w:rsidRDefault="00EE28B6" w:rsidP="00EE28B6">
      <w:pPr>
        <w:widowControl/>
        <w:tabs>
          <w:tab w:val="left" w:pos="-1440"/>
          <w:tab w:val="left" w:pos="-720"/>
          <w:tab w:val="left" w:pos="0"/>
          <w:tab w:val="left" w:pos="426"/>
          <w:tab w:val="left" w:pos="851"/>
          <w:tab w:val="left" w:pos="1440"/>
          <w:tab w:val="left" w:pos="2160"/>
          <w:tab w:val="left" w:pos="2448"/>
          <w:tab w:val="left" w:pos="6480"/>
          <w:tab w:val="left" w:pos="7920"/>
        </w:tabs>
        <w:spacing w:line="360" w:lineRule="auto"/>
        <w:jc w:val="both"/>
        <w:rPr>
          <w:rFonts w:ascii="Arial" w:hAnsi="Arial" w:cs="Arial"/>
        </w:rPr>
      </w:pPr>
      <w:r w:rsidRPr="00EE28B6">
        <w:rPr>
          <w:rFonts w:ascii="Arial" w:hAnsi="Arial" w:cs="Arial"/>
          <w:b/>
        </w:rPr>
        <w:t>3)</w:t>
      </w:r>
      <w:r>
        <w:rPr>
          <w:rFonts w:ascii="Arial" w:hAnsi="Arial" w:cs="Arial"/>
        </w:rPr>
        <w:t xml:space="preserve"> </w:t>
      </w:r>
      <w:r w:rsidR="009E7C27" w:rsidRPr="00EE28B6">
        <w:rPr>
          <w:rFonts w:ascii="Arial" w:hAnsi="Arial" w:cs="Arial"/>
        </w:rPr>
        <w:t>Devolver los antecedentes.</w:t>
      </w:r>
    </w:p>
    <w:p w:rsidR="00EE28B6" w:rsidRDefault="00EE28B6" w:rsidP="00EE28B6">
      <w:pPr>
        <w:widowControl/>
        <w:tabs>
          <w:tab w:val="left" w:pos="-1440"/>
          <w:tab w:val="left" w:pos="-720"/>
          <w:tab w:val="left" w:pos="0"/>
          <w:tab w:val="left" w:pos="426"/>
          <w:tab w:val="left" w:pos="851"/>
          <w:tab w:val="left" w:pos="1440"/>
          <w:tab w:val="left" w:pos="2160"/>
          <w:tab w:val="left" w:pos="2448"/>
          <w:tab w:val="left" w:pos="6480"/>
          <w:tab w:val="left" w:pos="7920"/>
        </w:tabs>
        <w:spacing w:line="360" w:lineRule="auto"/>
        <w:jc w:val="both"/>
        <w:rPr>
          <w:rFonts w:ascii="Arial" w:hAnsi="Arial" w:cs="Arial"/>
        </w:rPr>
      </w:pPr>
    </w:p>
    <w:p w:rsidR="00EE28B6" w:rsidRPr="00EE28B6" w:rsidRDefault="00EE28B6" w:rsidP="00EE28B6">
      <w:pPr>
        <w:widowControl/>
        <w:tabs>
          <w:tab w:val="left" w:pos="-1440"/>
          <w:tab w:val="left" w:pos="-720"/>
          <w:tab w:val="left" w:pos="0"/>
          <w:tab w:val="left" w:pos="426"/>
          <w:tab w:val="left" w:pos="851"/>
          <w:tab w:val="left" w:pos="1440"/>
          <w:tab w:val="left" w:pos="2160"/>
          <w:tab w:val="left" w:pos="2448"/>
          <w:tab w:val="left" w:pos="6480"/>
          <w:tab w:val="left" w:pos="7920"/>
        </w:tabs>
        <w:spacing w:line="360" w:lineRule="auto"/>
        <w:jc w:val="both"/>
        <w:rPr>
          <w:rFonts w:ascii="Arial" w:hAnsi="Arial" w:cs="Arial"/>
        </w:rPr>
      </w:pPr>
      <w:proofErr w:type="spellStart"/>
      <w:proofErr w:type="gramStart"/>
      <w:r>
        <w:rPr>
          <w:rFonts w:ascii="Arial" w:hAnsi="Arial" w:cs="Arial"/>
        </w:rPr>
        <w:t>ag</w:t>
      </w:r>
      <w:proofErr w:type="spellEnd"/>
      <w:proofErr w:type="gramEnd"/>
    </w:p>
    <w:p w:rsidR="009E7C27" w:rsidRDefault="009E7C27"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rPr>
          <w:rFonts w:ascii="Arial" w:hAnsi="Arial" w:cs="Arial"/>
        </w:rPr>
      </w:pPr>
    </w:p>
    <w:p w:rsidR="009E7C27" w:rsidRDefault="009E7C27"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rPr>
          <w:rFonts w:ascii="Arial" w:hAnsi="Arial" w:cs="Arial"/>
        </w:rPr>
      </w:pPr>
    </w:p>
    <w:p w:rsidR="006301F0" w:rsidRDefault="006301F0"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6301F0" w:rsidRDefault="006301F0"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304291" w:rsidRDefault="00304291"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304291" w:rsidRDefault="00304291"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304291" w:rsidRDefault="00304291"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304291" w:rsidRDefault="00304291" w:rsidP="006301F0">
      <w:pPr>
        <w:tabs>
          <w:tab w:val="left" w:pos="-1440"/>
          <w:tab w:val="left" w:pos="-720"/>
          <w:tab w:val="left" w:pos="720"/>
          <w:tab w:val="left" w:pos="1140"/>
          <w:tab w:val="left" w:pos="2160"/>
          <w:tab w:val="left" w:pos="2448"/>
          <w:tab w:val="left" w:pos="6480"/>
          <w:tab w:val="left" w:pos="7920"/>
        </w:tabs>
        <w:spacing w:line="360" w:lineRule="auto"/>
        <w:ind w:firstLine="870"/>
        <w:jc w:val="both"/>
      </w:pPr>
    </w:p>
    <w:p w:rsidR="00304291" w:rsidRDefault="00304291">
      <w:pPr>
        <w:pStyle w:val="Ttulo1"/>
        <w:spacing w:line="360" w:lineRule="auto"/>
        <w:jc w:val="center"/>
        <w:rPr>
          <w:rFonts w:ascii="Arial" w:hAnsi="Arial"/>
        </w:rPr>
      </w:pPr>
      <w:r>
        <w:rPr>
          <w:rFonts w:ascii="Arial" w:hAnsi="Arial"/>
        </w:rPr>
        <w:lastRenderedPageBreak/>
        <w:t>INFORME</w:t>
      </w:r>
    </w:p>
    <w:p w:rsidR="00304291" w:rsidRPr="009A401E" w:rsidRDefault="00304291" w:rsidP="009A401E">
      <w:pPr>
        <w:rPr>
          <w:lang w:val="es-ES_tradnl"/>
        </w:rPr>
      </w:pPr>
    </w:p>
    <w:p w:rsidR="00304291" w:rsidRDefault="00304291" w:rsidP="00304291">
      <w:pPr>
        <w:numPr>
          <w:ilvl w:val="0"/>
          <w:numId w:val="3"/>
        </w:numPr>
        <w:spacing w:line="360" w:lineRule="auto"/>
        <w:ind w:hanging="513"/>
        <w:rPr>
          <w:rFonts w:ascii="Arial" w:hAnsi="Arial"/>
          <w:b/>
          <w:spacing w:val="-3"/>
          <w:lang w:val="es-ES_tradnl"/>
        </w:rPr>
      </w:pPr>
      <w:r>
        <w:rPr>
          <w:rFonts w:ascii="Arial" w:hAnsi="Arial"/>
          <w:b/>
          <w:spacing w:val="-3"/>
          <w:lang w:val="es-ES_tradnl"/>
        </w:rPr>
        <w:t xml:space="preserve"> OBJETO Y ANTECEDENTES</w:t>
      </w:r>
    </w:p>
    <w:p w:rsidR="00304291" w:rsidRDefault="00304291" w:rsidP="006E759B">
      <w:pPr>
        <w:spacing w:line="360" w:lineRule="auto"/>
        <w:jc w:val="both"/>
        <w:rPr>
          <w:rFonts w:ascii="Arial" w:hAnsi="Arial"/>
          <w:b/>
          <w:spacing w:val="-3"/>
          <w:lang w:val="es-ES_tradnl"/>
        </w:rPr>
      </w:pPr>
    </w:p>
    <w:p w:rsidR="00304291" w:rsidRDefault="00304291" w:rsidP="006E759B">
      <w:pPr>
        <w:spacing w:line="360" w:lineRule="auto"/>
        <w:jc w:val="both"/>
        <w:rPr>
          <w:rFonts w:ascii="Arial" w:hAnsi="Arial"/>
          <w:spacing w:val="-3"/>
          <w:lang w:val="es-ES_tradnl"/>
        </w:rPr>
      </w:pPr>
      <w:r>
        <w:rPr>
          <w:rFonts w:ascii="Arial" w:hAnsi="Arial"/>
          <w:spacing w:val="-3"/>
          <w:lang w:val="es-ES_tradnl"/>
        </w:rPr>
        <w:t>El presente informe se emite en ejercicio de la atribución asignada al Tribunal de Cuentas por el Artículo 301  inciso 2 de la Constitución de la República.</w:t>
      </w:r>
    </w:p>
    <w:p w:rsidR="00304291" w:rsidRDefault="00304291">
      <w:pPr>
        <w:pStyle w:val="Textoindependiente"/>
        <w:spacing w:line="360" w:lineRule="auto"/>
      </w:pPr>
      <w:r>
        <w:t>La  Junta Departamental de Rivera remite Oficio 066/17 de fecha 02/03/17 por el que se solicita el referido informe, previo a conceder la anuencia que le fuera solicitada por el Intendente de Rivera.</w:t>
      </w:r>
    </w:p>
    <w:p w:rsidR="00304291" w:rsidRDefault="00304291">
      <w:pPr>
        <w:pStyle w:val="Textoindependiente"/>
        <w:spacing w:line="360" w:lineRule="auto"/>
      </w:pPr>
      <w:r>
        <w:t>Por Resolución Nº 975/2017 de fecha 21/02/17, el Intendente  solicitó anuencia a la Junta Departamental para convenir con el Banco de la República Oriental del Uruguay un endeudamiento de hasta U$S 2:500.000, para la adquisición de maquinaria y financiamiento a corto plazo, de acuerdo a lo previsto en el presupuesto para el Ejercicio 2016-2020.</w:t>
      </w:r>
    </w:p>
    <w:p w:rsidR="00304291" w:rsidRDefault="00304291">
      <w:pPr>
        <w:pStyle w:val="Textoindependiente"/>
        <w:spacing w:line="360" w:lineRule="auto"/>
        <w:rPr>
          <w:bCs/>
        </w:rPr>
      </w:pPr>
      <w:r>
        <w:rPr>
          <w:bCs/>
        </w:rPr>
        <w:t>El endeudamiento se obtendrá contra la suscripción de vales amortizables con pagos mensuales y vencimiento 30/06/2020, según informe de la Directora General de Hacienda</w:t>
      </w:r>
      <w:r w:rsidR="004A571E">
        <w:rPr>
          <w:bCs/>
        </w:rPr>
        <w:t xml:space="preserve"> de fecha 13/12/2016.</w:t>
      </w:r>
    </w:p>
    <w:p w:rsidR="00304291" w:rsidRDefault="00304291">
      <w:pPr>
        <w:pStyle w:val="Textoindependiente"/>
        <w:spacing w:line="360" w:lineRule="auto"/>
        <w:rPr>
          <w:bCs/>
        </w:rPr>
      </w:pPr>
      <w:r w:rsidRPr="009B5041">
        <w:rPr>
          <w:bCs/>
        </w:rPr>
        <w:t>Asimismo, se garantizará la cancelación de dichos vales mediante la cesión de los ingresos de origen nacional que le corresponden a  la Intendencia de acuerdo a lo</w:t>
      </w:r>
      <w:r>
        <w:rPr>
          <w:bCs/>
        </w:rPr>
        <w:t xml:space="preserve"> establecido en los Artículos 214 Literal C) y 297 numeral 13) de la Constitución de la República, en cantidad suficiente para cubrir la asistencia que se le concede </w:t>
      </w:r>
      <w:r w:rsidR="004A571E">
        <w:rPr>
          <w:bCs/>
        </w:rPr>
        <w:t>y sus posteriores renovaciones.</w:t>
      </w:r>
    </w:p>
    <w:p w:rsidR="00304291" w:rsidRDefault="00304291">
      <w:pPr>
        <w:pStyle w:val="Textoindependiente"/>
        <w:spacing w:line="360" w:lineRule="auto"/>
        <w:rPr>
          <w:bCs/>
        </w:rPr>
      </w:pPr>
      <w:r>
        <w:rPr>
          <w:bCs/>
        </w:rPr>
        <w:t xml:space="preserve">Con fecha 22/12/2016, el Directorio del BROU comunica a la Intendencia, que se concede la asistencia financiera por hasta la suma de U$S 3:366.908, previo cumplimiento de lo dispuesto por el Artículo 301 de la Constitución y de los </w:t>
      </w:r>
      <w:r w:rsidRPr="0032240C">
        <w:rPr>
          <w:bCs/>
        </w:rPr>
        <w:t>lineamientos establecidos en la Circular Nº 118/051 de la División Empresas y particulares</w:t>
      </w:r>
      <w:r>
        <w:rPr>
          <w:bCs/>
        </w:rPr>
        <w:t>.</w:t>
      </w:r>
    </w:p>
    <w:p w:rsidR="00304291" w:rsidRDefault="00304291">
      <w:pPr>
        <w:pStyle w:val="Textoindependiente"/>
        <w:spacing w:line="360" w:lineRule="auto"/>
        <w:rPr>
          <w:bCs/>
        </w:rPr>
      </w:pPr>
    </w:p>
    <w:p w:rsidR="004A571E" w:rsidRDefault="004A571E">
      <w:pPr>
        <w:pStyle w:val="Textoindependiente"/>
        <w:spacing w:line="360" w:lineRule="auto"/>
        <w:rPr>
          <w:bCs/>
        </w:rPr>
      </w:pPr>
    </w:p>
    <w:p w:rsidR="004A571E" w:rsidRDefault="004A571E">
      <w:pPr>
        <w:pStyle w:val="Textoindependiente"/>
        <w:spacing w:line="360" w:lineRule="auto"/>
        <w:rPr>
          <w:bCs/>
        </w:rPr>
      </w:pPr>
    </w:p>
    <w:p w:rsidR="00304291" w:rsidRDefault="00304291" w:rsidP="00EC6674">
      <w:pPr>
        <w:pStyle w:val="Textoindependiente"/>
        <w:spacing w:line="360" w:lineRule="auto"/>
        <w:ind w:firstLine="851"/>
        <w:rPr>
          <w:b/>
          <w:bCs/>
        </w:rPr>
      </w:pPr>
      <w:r w:rsidRPr="00847B52">
        <w:rPr>
          <w:b/>
          <w:bCs/>
        </w:rPr>
        <w:lastRenderedPageBreak/>
        <w:t>2)</w:t>
      </w:r>
      <w:r>
        <w:rPr>
          <w:bCs/>
        </w:rPr>
        <w:t xml:space="preserve"> </w:t>
      </w:r>
      <w:r>
        <w:rPr>
          <w:b/>
          <w:bCs/>
        </w:rPr>
        <w:t>SITUACIÓN FINANCIERA</w:t>
      </w:r>
    </w:p>
    <w:p w:rsidR="00304291" w:rsidRPr="0092756E" w:rsidRDefault="00304291" w:rsidP="00487A13">
      <w:pPr>
        <w:pStyle w:val="Textoindependiente"/>
        <w:spacing w:line="360" w:lineRule="auto"/>
        <w:rPr>
          <w:bCs/>
        </w:rPr>
      </w:pPr>
      <w:r w:rsidRPr="00FF7C81">
        <w:rPr>
          <w:rFonts w:cs="Arial"/>
        </w:rPr>
        <w:t xml:space="preserve">El </w:t>
      </w:r>
      <w:r>
        <w:rPr>
          <w:rFonts w:cs="Arial"/>
        </w:rPr>
        <w:t>déficit acumulado</w:t>
      </w:r>
      <w:r w:rsidRPr="00FF7C81">
        <w:t xml:space="preserve"> al 31/12/2015</w:t>
      </w:r>
      <w:r>
        <w:t xml:space="preserve"> de la Intendencia de Rivera</w:t>
      </w:r>
      <w:r w:rsidRPr="00FF7C81">
        <w:t xml:space="preserve">, </w:t>
      </w:r>
      <w:r>
        <w:t>es de                   $ 534.859.463, no contándose hasta la fecha con la información al 31/12/2016</w:t>
      </w:r>
      <w:r w:rsidRPr="0092756E">
        <w:t>, en tanto aún no venció el plazo constitucional que tiene la Intendencia para presentar la Rendición de Cuentas</w:t>
      </w:r>
      <w:r w:rsidR="004A571E">
        <w:t xml:space="preserve"> 2016.</w:t>
      </w:r>
    </w:p>
    <w:p w:rsidR="00304291" w:rsidRDefault="00304291" w:rsidP="00487A13">
      <w:pPr>
        <w:pStyle w:val="Textoindependiente"/>
        <w:spacing w:line="360" w:lineRule="auto"/>
        <w:rPr>
          <w:bCs/>
        </w:rPr>
      </w:pPr>
      <w:r>
        <w:rPr>
          <w:bCs/>
        </w:rPr>
        <w:t xml:space="preserve">Los recursos totales previstos presupuestalmente para el período 2016-2020 son de $ 7.093.209.112, correspondiendo $ 3.484.738.317 a los de origen nacional. La cesión de las transferencias del Gobierno Nacional de las partidas dispuestas por los Artículos 214 Literal C) y 297 numeral 13) de la Constitución, son garantía para atender el préstamo de hasta U$S 2.500.000, aproximadamente </w:t>
      </w:r>
      <w:r w:rsidR="004A571E">
        <w:rPr>
          <w:bCs/>
        </w:rPr>
        <w:t>$</w:t>
      </w:r>
      <w:r>
        <w:rPr>
          <w:bCs/>
        </w:rPr>
        <w:t>72.500.000 lo que equivale a un 2.08% de los recursos nacionales.</w:t>
      </w:r>
    </w:p>
    <w:p w:rsidR="00304291" w:rsidRDefault="00304291" w:rsidP="00B026E5">
      <w:pPr>
        <w:pStyle w:val="Textoindependiente"/>
        <w:spacing w:line="360" w:lineRule="auto"/>
        <w:rPr>
          <w:bCs/>
        </w:rPr>
      </w:pPr>
      <w:r>
        <w:rPr>
          <w:bCs/>
        </w:rPr>
        <w:t>Analizada la incidencia del préstamo en el total del endeudamiento se observa que</w:t>
      </w:r>
      <w:r>
        <w:rPr>
          <w:bCs/>
          <w:color w:val="FF0000"/>
        </w:rPr>
        <w:t>:</w:t>
      </w:r>
    </w:p>
    <w:p w:rsidR="00304291" w:rsidRDefault="00304291" w:rsidP="00304291">
      <w:pPr>
        <w:pStyle w:val="Textoindependiente"/>
        <w:numPr>
          <w:ilvl w:val="0"/>
          <w:numId w:val="4"/>
        </w:numPr>
        <w:spacing w:line="360" w:lineRule="auto"/>
        <w:rPr>
          <w:bCs/>
        </w:rPr>
      </w:pPr>
      <w:r>
        <w:rPr>
          <w:bCs/>
        </w:rPr>
        <w:t xml:space="preserve">El rubro presupuestal de intereses (Grupos 6 “Intereses y Otros Gastos de la Deuda”) </w:t>
      </w:r>
      <w:r w:rsidRPr="002E2392">
        <w:rPr>
          <w:bCs/>
        </w:rPr>
        <w:t>para los cuatro años que restan del quinquenio</w:t>
      </w:r>
      <w:r>
        <w:rPr>
          <w:bCs/>
        </w:rPr>
        <w:t xml:space="preserve"> es de                </w:t>
      </w:r>
      <w:r w:rsidRPr="002E2392">
        <w:rPr>
          <w:bCs/>
        </w:rPr>
        <w:t>$ 131.428.987  del cual</w:t>
      </w:r>
      <w:r>
        <w:rPr>
          <w:bCs/>
          <w:color w:val="FF0000"/>
        </w:rPr>
        <w:t>,</w:t>
      </w:r>
      <w:r>
        <w:rPr>
          <w:bCs/>
        </w:rPr>
        <w:t xml:space="preserve"> según los préstamos vigentes</w:t>
      </w:r>
      <w:r>
        <w:rPr>
          <w:bCs/>
          <w:color w:val="FF0000"/>
        </w:rPr>
        <w:t>,</w:t>
      </w:r>
      <w:r>
        <w:rPr>
          <w:bCs/>
        </w:rPr>
        <w:t xml:space="preserve"> se podría concluir que se utilizará un monto aproximado al 76%</w:t>
      </w:r>
      <w:r>
        <w:rPr>
          <w:bCs/>
          <w:color w:val="FF0000"/>
        </w:rPr>
        <w:t>,</w:t>
      </w:r>
      <w:r>
        <w:rPr>
          <w:bCs/>
        </w:rPr>
        <w:t xml:space="preserve"> sin tomar en</w:t>
      </w:r>
      <w:r w:rsidR="004A571E">
        <w:rPr>
          <w:bCs/>
        </w:rPr>
        <w:t xml:space="preserve"> cuenta el préstamo a solicitar.</w:t>
      </w:r>
    </w:p>
    <w:p w:rsidR="00304291" w:rsidRDefault="00304291" w:rsidP="00304291">
      <w:pPr>
        <w:pStyle w:val="Textoindependiente"/>
        <w:numPr>
          <w:ilvl w:val="0"/>
          <w:numId w:val="4"/>
        </w:numPr>
        <w:spacing w:line="360" w:lineRule="auto"/>
        <w:rPr>
          <w:bCs/>
        </w:rPr>
      </w:pPr>
      <w:r>
        <w:rPr>
          <w:bCs/>
        </w:rPr>
        <w:t xml:space="preserve">Los intereses que </w:t>
      </w:r>
      <w:r w:rsidRPr="00121F60">
        <w:rPr>
          <w:bCs/>
        </w:rPr>
        <w:t>generaría el préstamo solicitado siguiendo las condiciones del préstamo</w:t>
      </w:r>
      <w:r>
        <w:rPr>
          <w:bCs/>
        </w:rPr>
        <w:t xml:space="preserve"> de aproximadamente </w:t>
      </w:r>
      <w:r w:rsidRPr="00121F60">
        <w:rPr>
          <w:bCs/>
        </w:rPr>
        <w:t xml:space="preserve">8% de interés anual pagadero en </w:t>
      </w:r>
      <w:r>
        <w:rPr>
          <w:bCs/>
        </w:rPr>
        <w:t>treinta y seis</w:t>
      </w:r>
      <w:r w:rsidRPr="00121F60">
        <w:rPr>
          <w:bCs/>
        </w:rPr>
        <w:t xml:space="preserve"> cuotas </w:t>
      </w:r>
      <w:r>
        <w:rPr>
          <w:bCs/>
        </w:rPr>
        <w:t>mensuales</w:t>
      </w:r>
      <w:r w:rsidRPr="00121F60">
        <w:rPr>
          <w:bCs/>
        </w:rPr>
        <w:t xml:space="preserve"> iguales</w:t>
      </w:r>
      <w:r>
        <w:rPr>
          <w:bCs/>
        </w:rPr>
        <w:t>,</w:t>
      </w:r>
      <w:r w:rsidRPr="00121F60">
        <w:rPr>
          <w:bCs/>
        </w:rPr>
        <w:t xml:space="preserve"> </w:t>
      </w:r>
      <w:r w:rsidRPr="002E2392">
        <w:rPr>
          <w:bCs/>
        </w:rPr>
        <w:t>ascenderían a $</w:t>
      </w:r>
      <w:r w:rsidRPr="00C13107">
        <w:rPr>
          <w:bCs/>
        </w:rPr>
        <w:t>8.700.000</w:t>
      </w:r>
      <w:r>
        <w:rPr>
          <w:bCs/>
        </w:rPr>
        <w:t xml:space="preserve"> aproximadamente.</w:t>
      </w:r>
    </w:p>
    <w:p w:rsidR="00304291" w:rsidRPr="00C13107" w:rsidRDefault="00304291" w:rsidP="00304291">
      <w:pPr>
        <w:pStyle w:val="Textoindependiente"/>
        <w:numPr>
          <w:ilvl w:val="0"/>
          <w:numId w:val="4"/>
        </w:numPr>
        <w:spacing w:line="360" w:lineRule="auto"/>
        <w:rPr>
          <w:bCs/>
        </w:rPr>
      </w:pPr>
      <w:r>
        <w:rPr>
          <w:bCs/>
        </w:rPr>
        <w:t xml:space="preserve">El rubro presupuestal para las amortizaciones de los préstamos (Grupo 8 “Clasificador de </w:t>
      </w:r>
      <w:proofErr w:type="spellStart"/>
      <w:r>
        <w:rPr>
          <w:bCs/>
        </w:rPr>
        <w:t>Aplic</w:t>
      </w:r>
      <w:proofErr w:type="spellEnd"/>
      <w:r>
        <w:rPr>
          <w:bCs/>
        </w:rPr>
        <w:t xml:space="preserve">. </w:t>
      </w:r>
      <w:proofErr w:type="spellStart"/>
      <w:r>
        <w:rPr>
          <w:bCs/>
        </w:rPr>
        <w:t>Financ</w:t>
      </w:r>
      <w:proofErr w:type="spellEnd"/>
      <w:r>
        <w:rPr>
          <w:bCs/>
        </w:rPr>
        <w:t>.”   dispone de un saldo para los cuatro años de $ 379.398.562. Lo comprometido hasta la fecha asciende al  25% del rubro.</w:t>
      </w:r>
    </w:p>
    <w:p w:rsidR="00304291" w:rsidRDefault="00304291" w:rsidP="00304291">
      <w:pPr>
        <w:pStyle w:val="Textoindependiente"/>
        <w:numPr>
          <w:ilvl w:val="0"/>
          <w:numId w:val="4"/>
        </w:numPr>
        <w:spacing w:line="360" w:lineRule="auto"/>
        <w:rPr>
          <w:bCs/>
        </w:rPr>
      </w:pPr>
      <w:r w:rsidRPr="00C13107">
        <w:rPr>
          <w:bCs/>
        </w:rPr>
        <w:t>La diferencia entre lo expresado en los apartados anteriores determinaría saldo</w:t>
      </w:r>
      <w:r>
        <w:rPr>
          <w:bCs/>
        </w:rPr>
        <w:t>s</w:t>
      </w:r>
      <w:r w:rsidRPr="00C13107">
        <w:rPr>
          <w:bCs/>
        </w:rPr>
        <w:t xml:space="preserve"> positivo</w:t>
      </w:r>
      <w:r>
        <w:rPr>
          <w:bCs/>
        </w:rPr>
        <w:t>s</w:t>
      </w:r>
      <w:r w:rsidRPr="00C13107">
        <w:rPr>
          <w:bCs/>
        </w:rPr>
        <w:t xml:space="preserve"> por lo que se concluye que es razonable que la Intendencia podrá amortizar este préstamo más sus intereses, sin afectar el déficit acumulado</w:t>
      </w:r>
      <w:r w:rsidR="00EC6674">
        <w:rPr>
          <w:bCs/>
        </w:rPr>
        <w:t>.</w:t>
      </w:r>
    </w:p>
    <w:tbl>
      <w:tblPr>
        <w:tblW w:w="9850" w:type="dxa"/>
        <w:tblInd w:w="-668" w:type="dxa"/>
        <w:tblCellMar>
          <w:left w:w="70" w:type="dxa"/>
          <w:right w:w="70" w:type="dxa"/>
        </w:tblCellMar>
        <w:tblLook w:val="04A0" w:firstRow="1" w:lastRow="0" w:firstColumn="1" w:lastColumn="0" w:noHBand="0" w:noVBand="1"/>
      </w:tblPr>
      <w:tblGrid>
        <w:gridCol w:w="2850"/>
        <w:gridCol w:w="1400"/>
        <w:gridCol w:w="1400"/>
        <w:gridCol w:w="1400"/>
        <w:gridCol w:w="1400"/>
        <w:gridCol w:w="1400"/>
      </w:tblGrid>
      <w:tr w:rsidR="00304291" w:rsidRPr="00C13107" w:rsidTr="00B36256">
        <w:trPr>
          <w:trHeight w:val="300"/>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 xml:space="preserve">2.017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 xml:space="preserve">2.018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 xml:space="preserve">2.019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 xml:space="preserve">2.020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Total</w:t>
            </w:r>
          </w:p>
        </w:tc>
      </w:tr>
      <w:tr w:rsidR="00304291" w:rsidRPr="00C13107" w:rsidTr="00B36256">
        <w:trPr>
          <w:trHeight w:val="300"/>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center"/>
              <w:rPr>
                <w:rFonts w:ascii="Arial" w:hAnsi="Arial" w:cs="Arial"/>
                <w:color w:val="000000"/>
                <w:sz w:val="20"/>
                <w:lang w:eastAsia="es-UY"/>
              </w:rPr>
            </w:pPr>
            <w:r w:rsidRPr="00C13107">
              <w:rPr>
                <w:rFonts w:ascii="Arial" w:hAnsi="Arial" w:cs="Arial"/>
                <w:color w:val="000000"/>
                <w:sz w:val="20"/>
                <w:lang w:eastAsia="es-UY"/>
              </w:rPr>
              <w:t>$</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6 - "Intereses y otros gastos de Deuda"</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35.774.244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33.447.357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31.906.333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30.301.053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131.428.987 </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Total Intereses Comprometidos</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27.403.556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25.313.280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23.925.975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22.662.561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99.305.372 </w:t>
            </w:r>
          </w:p>
        </w:tc>
      </w:tr>
      <w:tr w:rsidR="00304291" w:rsidRPr="00C13107" w:rsidTr="00B36256">
        <w:trPr>
          <w:trHeight w:val="300"/>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 xml:space="preserve">Préstamo </w:t>
            </w:r>
            <w:proofErr w:type="spellStart"/>
            <w:r w:rsidRPr="00C13107">
              <w:rPr>
                <w:rFonts w:ascii="Calibri" w:hAnsi="Calibri"/>
                <w:color w:val="000000"/>
                <w:sz w:val="22"/>
                <w:szCs w:val="22"/>
                <w:lang w:eastAsia="es-UY"/>
              </w:rPr>
              <w:t>Brou</w:t>
            </w:r>
            <w:proofErr w:type="spellEnd"/>
            <w:r w:rsidRPr="00C13107">
              <w:rPr>
                <w:rFonts w:ascii="Calibri" w:hAnsi="Calibri"/>
                <w:color w:val="000000"/>
                <w:sz w:val="22"/>
                <w:szCs w:val="22"/>
                <w:lang w:eastAsia="es-UY"/>
              </w:rPr>
              <w:t xml:space="preserve"> a Solicitar</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2.605.556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3.811.111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1.944.444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272.222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8.633.333 </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Total Intereses Proyectados</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30.009.111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29.124.391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25.870.420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22.934.784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107.938.706 </w:t>
            </w:r>
          </w:p>
        </w:tc>
      </w:tr>
      <w:tr w:rsidR="00304291" w:rsidRPr="00C13107" w:rsidTr="00B36256">
        <w:trPr>
          <w:trHeight w:val="330"/>
        </w:trPr>
        <w:tc>
          <w:tcPr>
            <w:tcW w:w="2850" w:type="dxa"/>
            <w:tcBorders>
              <w:top w:val="nil"/>
              <w:left w:val="nil"/>
              <w:bottom w:val="nil"/>
              <w:right w:val="nil"/>
            </w:tcBorders>
            <w:shd w:val="clear" w:color="auto" w:fill="auto"/>
            <w:noWrap/>
            <w:vAlign w:val="bottom"/>
            <w:hideMark/>
          </w:tcPr>
          <w:p w:rsidR="00304291" w:rsidRPr="00C13107" w:rsidRDefault="00304291" w:rsidP="00F32B58">
            <w:pPr>
              <w:widowControl/>
              <w:rPr>
                <w:rFonts w:ascii="Calibri" w:hAnsi="Calibri"/>
                <w:color w:val="000000"/>
                <w:sz w:val="22"/>
                <w:szCs w:val="22"/>
                <w:lang w:eastAsia="es-UY"/>
              </w:rPr>
            </w:pPr>
            <w:r w:rsidRPr="00C13107">
              <w:rPr>
                <w:rFonts w:ascii="Calibri" w:hAnsi="Calibri"/>
                <w:color w:val="000000"/>
                <w:sz w:val="22"/>
                <w:szCs w:val="22"/>
                <w:lang w:eastAsia="es-UY"/>
              </w:rPr>
              <w:t>Disponibilidad Proyectada</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5.765.133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4.322.966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6.035.913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7.366.269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23.490.281 </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r>
      <w:tr w:rsidR="00304291" w:rsidRPr="00C13107" w:rsidTr="00B36256">
        <w:trPr>
          <w:trHeight w:val="300"/>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 xml:space="preserve">8- " Clasificador de </w:t>
            </w:r>
            <w:proofErr w:type="spellStart"/>
            <w:r w:rsidRPr="00C13107">
              <w:rPr>
                <w:rFonts w:ascii="Calibri" w:hAnsi="Calibri"/>
                <w:color w:val="000000"/>
                <w:sz w:val="22"/>
                <w:szCs w:val="22"/>
                <w:lang w:eastAsia="es-UY"/>
              </w:rPr>
              <w:t>Aplic</w:t>
            </w:r>
            <w:proofErr w:type="spellEnd"/>
            <w:r w:rsidRPr="00C13107">
              <w:rPr>
                <w:rFonts w:ascii="Calibri" w:hAnsi="Calibri"/>
                <w:color w:val="000000"/>
                <w:sz w:val="22"/>
                <w:szCs w:val="22"/>
                <w:lang w:eastAsia="es-UY"/>
              </w:rPr>
              <w:t>.</w:t>
            </w:r>
            <w:r>
              <w:rPr>
                <w:rFonts w:ascii="Calibri" w:hAnsi="Calibri"/>
                <w:color w:val="000000"/>
                <w:sz w:val="22"/>
                <w:szCs w:val="22"/>
                <w:lang w:eastAsia="es-UY"/>
              </w:rPr>
              <w:t xml:space="preserve"> </w:t>
            </w:r>
            <w:proofErr w:type="spellStart"/>
            <w:r w:rsidRPr="00C13107">
              <w:rPr>
                <w:rFonts w:ascii="Calibri" w:hAnsi="Calibri"/>
                <w:color w:val="000000"/>
                <w:sz w:val="22"/>
                <w:szCs w:val="22"/>
                <w:lang w:eastAsia="es-UY"/>
              </w:rPr>
              <w:t>Financ</w:t>
            </w:r>
            <w:proofErr w:type="spellEnd"/>
            <w:r w:rsidRPr="00C13107">
              <w:rPr>
                <w:rFonts w:ascii="Calibri" w:hAnsi="Calibri"/>
                <w:color w:val="000000"/>
                <w:sz w:val="22"/>
                <w:szCs w:val="22"/>
                <w:lang w:eastAsia="es-UY"/>
              </w:rPr>
              <w:t>."</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115.261.806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42.661.913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43.818.178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35.546.824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379.398.562 </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Total Préstamo Vigentes</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24.702.555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24.957.663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26.015.176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18.286.673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93.962.068 </w:t>
            </w:r>
          </w:p>
        </w:tc>
      </w:tr>
      <w:tr w:rsidR="00304291" w:rsidRPr="00C13107" w:rsidTr="00B36256">
        <w:trPr>
          <w:trHeight w:val="300"/>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 xml:space="preserve">Préstamo </w:t>
            </w:r>
            <w:proofErr w:type="spellStart"/>
            <w:r w:rsidRPr="00C13107">
              <w:rPr>
                <w:rFonts w:ascii="Calibri" w:hAnsi="Calibri"/>
                <w:color w:val="000000"/>
                <w:sz w:val="22"/>
                <w:szCs w:val="22"/>
                <w:lang w:eastAsia="es-UY"/>
              </w:rPr>
              <w:t>Brou</w:t>
            </w:r>
            <w:proofErr w:type="spellEnd"/>
            <w:r w:rsidRPr="00C13107">
              <w:rPr>
                <w:rFonts w:ascii="Calibri" w:hAnsi="Calibri"/>
                <w:color w:val="000000"/>
                <w:sz w:val="22"/>
                <w:szCs w:val="22"/>
                <w:lang w:eastAsia="es-UY"/>
              </w:rPr>
              <w:t xml:space="preserve"> a Solicitar</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11.666.667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23.333.333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23.333.333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11.666.667 </w:t>
            </w:r>
          </w:p>
        </w:tc>
        <w:tc>
          <w:tcPr>
            <w:tcW w:w="1400" w:type="dxa"/>
            <w:tcBorders>
              <w:top w:val="nil"/>
              <w:left w:val="nil"/>
              <w:bottom w:val="nil"/>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70.000.000 </w:t>
            </w:r>
          </w:p>
        </w:tc>
      </w:tr>
      <w:tr w:rsidR="00304291" w:rsidRPr="00C13107" w:rsidTr="00B36256">
        <w:trPr>
          <w:trHeight w:val="315"/>
        </w:trPr>
        <w:tc>
          <w:tcPr>
            <w:tcW w:w="2850" w:type="dxa"/>
            <w:tcBorders>
              <w:top w:val="nil"/>
              <w:left w:val="nil"/>
              <w:bottom w:val="nil"/>
              <w:right w:val="nil"/>
            </w:tcBorders>
            <w:shd w:val="clear" w:color="auto" w:fill="auto"/>
            <w:noWrap/>
            <w:vAlign w:val="bottom"/>
            <w:hideMark/>
          </w:tcPr>
          <w:p w:rsidR="00304291" w:rsidRPr="00C13107" w:rsidRDefault="00304291" w:rsidP="00C13107">
            <w:pPr>
              <w:widowControl/>
              <w:rPr>
                <w:rFonts w:ascii="Calibri" w:hAnsi="Calibri"/>
                <w:color w:val="000000"/>
                <w:sz w:val="22"/>
                <w:szCs w:val="22"/>
                <w:lang w:eastAsia="es-UY"/>
              </w:rPr>
            </w:pPr>
            <w:r w:rsidRPr="00C13107">
              <w:rPr>
                <w:rFonts w:ascii="Calibri" w:hAnsi="Calibri"/>
                <w:color w:val="000000"/>
                <w:sz w:val="22"/>
                <w:szCs w:val="22"/>
                <w:lang w:eastAsia="es-UY"/>
              </w:rPr>
              <w:t>Total  Proyectado</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36.369.222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48.290.996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49.348.510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29.953.340 </w:t>
            </w:r>
          </w:p>
        </w:tc>
        <w:tc>
          <w:tcPr>
            <w:tcW w:w="1400" w:type="dxa"/>
            <w:tcBorders>
              <w:top w:val="single" w:sz="4" w:space="0" w:color="auto"/>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163.962.068 </w:t>
            </w:r>
          </w:p>
        </w:tc>
      </w:tr>
      <w:tr w:rsidR="00304291" w:rsidRPr="00C13107" w:rsidTr="00B36256">
        <w:trPr>
          <w:trHeight w:val="330"/>
        </w:trPr>
        <w:tc>
          <w:tcPr>
            <w:tcW w:w="2850" w:type="dxa"/>
            <w:tcBorders>
              <w:top w:val="nil"/>
              <w:left w:val="nil"/>
              <w:bottom w:val="nil"/>
              <w:right w:val="nil"/>
            </w:tcBorders>
            <w:shd w:val="clear" w:color="auto" w:fill="auto"/>
            <w:noWrap/>
            <w:vAlign w:val="bottom"/>
            <w:hideMark/>
          </w:tcPr>
          <w:p w:rsidR="00304291" w:rsidRPr="00C13107" w:rsidRDefault="00304291" w:rsidP="00F32B58">
            <w:pPr>
              <w:widowControl/>
              <w:rPr>
                <w:rFonts w:ascii="Calibri" w:hAnsi="Calibri"/>
                <w:color w:val="000000"/>
                <w:sz w:val="22"/>
                <w:szCs w:val="22"/>
                <w:lang w:eastAsia="es-UY"/>
              </w:rPr>
            </w:pPr>
            <w:r w:rsidRPr="00C13107">
              <w:rPr>
                <w:rFonts w:ascii="Calibri" w:hAnsi="Calibri"/>
                <w:color w:val="000000"/>
                <w:sz w:val="22"/>
                <w:szCs w:val="22"/>
                <w:lang w:eastAsia="es-UY"/>
              </w:rPr>
              <w:t>Disponibilidad Proyectada</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78.892.584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FF0000"/>
                <w:sz w:val="20"/>
                <w:lang w:eastAsia="es-UY"/>
              </w:rPr>
              <w:t>(5.629.083)</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FF0000"/>
                <w:sz w:val="20"/>
                <w:lang w:eastAsia="es-UY"/>
              </w:rPr>
              <w:t>(5.530.332)</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C13107">
            <w:pPr>
              <w:widowControl/>
              <w:jc w:val="right"/>
              <w:rPr>
                <w:rFonts w:ascii="Arial" w:hAnsi="Arial" w:cs="Arial"/>
                <w:color w:val="000000"/>
                <w:sz w:val="20"/>
                <w:lang w:eastAsia="es-UY"/>
              </w:rPr>
            </w:pPr>
            <w:r w:rsidRPr="00C13107">
              <w:rPr>
                <w:rFonts w:ascii="Arial" w:hAnsi="Arial" w:cs="Arial"/>
                <w:color w:val="000000"/>
                <w:sz w:val="20"/>
                <w:lang w:eastAsia="es-UY"/>
              </w:rPr>
              <w:t xml:space="preserve">5.593.484 </w:t>
            </w:r>
          </w:p>
        </w:tc>
        <w:tc>
          <w:tcPr>
            <w:tcW w:w="1400" w:type="dxa"/>
            <w:tcBorders>
              <w:top w:val="nil"/>
              <w:left w:val="nil"/>
              <w:bottom w:val="double" w:sz="6" w:space="0" w:color="auto"/>
              <w:right w:val="nil"/>
            </w:tcBorders>
            <w:shd w:val="clear" w:color="auto" w:fill="auto"/>
            <w:noWrap/>
            <w:vAlign w:val="center"/>
            <w:hideMark/>
          </w:tcPr>
          <w:p w:rsidR="00304291" w:rsidRPr="00C13107" w:rsidRDefault="00304291" w:rsidP="00304291">
            <w:pPr>
              <w:widowControl/>
              <w:numPr>
                <w:ilvl w:val="2"/>
                <w:numId w:val="5"/>
              </w:numPr>
              <w:suppressAutoHyphens w:val="0"/>
              <w:jc w:val="right"/>
              <w:rPr>
                <w:rFonts w:ascii="Arial" w:hAnsi="Arial" w:cs="Arial"/>
                <w:color w:val="000000"/>
                <w:sz w:val="20"/>
                <w:lang w:eastAsia="es-UY"/>
              </w:rPr>
            </w:pPr>
          </w:p>
        </w:tc>
      </w:tr>
    </w:tbl>
    <w:p w:rsidR="00304291" w:rsidRPr="00C452C5" w:rsidRDefault="00304291" w:rsidP="00EC6674">
      <w:pPr>
        <w:pStyle w:val="Textoindependiente"/>
        <w:spacing w:line="360" w:lineRule="auto"/>
        <w:ind w:left="360" w:firstLine="491"/>
      </w:pPr>
      <w:r>
        <w:rPr>
          <w:rFonts w:cs="Arial"/>
          <w:b/>
        </w:rPr>
        <w:t xml:space="preserve">3) </w:t>
      </w:r>
      <w:r w:rsidRPr="00C452C5">
        <w:rPr>
          <w:rFonts w:cs="Arial"/>
          <w:b/>
        </w:rPr>
        <w:t>NORMAS Y CRITERIOS APLICABLE</w:t>
      </w:r>
      <w:r>
        <w:rPr>
          <w:rFonts w:cs="Arial"/>
          <w:b/>
        </w:rPr>
        <w:t>S</w:t>
      </w:r>
    </w:p>
    <w:p w:rsidR="00304291" w:rsidRDefault="00304291">
      <w:pPr>
        <w:pStyle w:val="Ttulo2"/>
        <w:ind w:left="0" w:firstLine="0"/>
        <w:rPr>
          <w:rFonts w:ascii="Arial" w:hAnsi="Arial"/>
          <w:b w:val="0"/>
        </w:rPr>
      </w:pPr>
      <w:r>
        <w:rPr>
          <w:rFonts w:ascii="Arial" w:hAnsi="Arial" w:cs="Arial"/>
          <w:bCs/>
        </w:rPr>
        <w:t>3.1-</w:t>
      </w:r>
      <w:r>
        <w:rPr>
          <w:rFonts w:ascii="Arial" w:hAnsi="Arial" w:cs="Arial"/>
        </w:rPr>
        <w:t xml:space="preserve"> </w:t>
      </w:r>
      <w:r>
        <w:rPr>
          <w:rFonts w:ascii="Arial" w:hAnsi="Arial" w:cs="Arial"/>
          <w:b w:val="0"/>
        </w:rPr>
        <w:t>De conformidad al Artículo 301 inciso 2 de la Constitución de la República</w:t>
      </w:r>
      <w:r>
        <w:rPr>
          <w:b w:val="0"/>
        </w:rPr>
        <w:t xml:space="preserve">, </w:t>
      </w:r>
      <w:r>
        <w:rPr>
          <w:rFonts w:ascii="Arial" w:hAnsi="Arial"/>
          <w:b w:val="0"/>
        </w:rPr>
        <w:t>los Gobiernos Departamentales requieren para contratar préstamos,”la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304291" w:rsidRDefault="00304291">
      <w:pPr>
        <w:spacing w:line="360" w:lineRule="auto"/>
        <w:jc w:val="both"/>
        <w:rPr>
          <w:rFonts w:ascii="Arial" w:hAnsi="Arial"/>
          <w:spacing w:val="-3"/>
          <w:lang w:val="es-ES_tradnl"/>
        </w:rPr>
      </w:pPr>
      <w:r>
        <w:rPr>
          <w:rFonts w:ascii="Arial" w:hAnsi="Arial"/>
          <w:b/>
          <w:bCs/>
          <w:spacing w:val="-3"/>
          <w:lang w:val="es-ES_tradnl"/>
        </w:rPr>
        <w:t>3.2</w:t>
      </w:r>
      <w:r>
        <w:rPr>
          <w:rFonts w:ascii="Arial" w:hAnsi="Arial"/>
          <w:b/>
          <w:spacing w:val="-3"/>
          <w:lang w:val="es-ES_tradnl"/>
        </w:rPr>
        <w:t>-</w:t>
      </w:r>
      <w:r>
        <w:rPr>
          <w:rFonts w:ascii="Arial" w:hAnsi="Arial"/>
          <w:spacing w:val="-3"/>
          <w:lang w:val="es-ES_tradnl"/>
        </w:rPr>
        <w:t xml:space="preserve"> El informe del Tribunal tiene por objeto el control de los aspectos legales y condiciones económicas financieras en que se contrata el préstamo, y las posibilidades de su reintegro de acuerdo a los recursos que se prevean al efecto.</w:t>
      </w:r>
    </w:p>
    <w:p w:rsidR="00304291" w:rsidRDefault="00304291" w:rsidP="003C2B46">
      <w:pPr>
        <w:spacing w:line="360" w:lineRule="auto"/>
        <w:jc w:val="both"/>
        <w:rPr>
          <w:rFonts w:ascii="Arial" w:hAnsi="Arial"/>
          <w:spacing w:val="-3"/>
          <w:lang w:val="es-ES_tradnl"/>
        </w:rPr>
      </w:pPr>
      <w:r>
        <w:rPr>
          <w:rFonts w:ascii="Arial" w:hAnsi="Arial"/>
          <w:spacing w:val="-3"/>
          <w:lang w:val="es-ES_tradnl"/>
        </w:rPr>
        <w:t>Dicho informe, de acuerdo con la norma precitada, debe ser previo al pronunciamiento de la Junta.</w:t>
      </w:r>
    </w:p>
    <w:p w:rsidR="00304291" w:rsidRDefault="00304291" w:rsidP="009B5041">
      <w:pPr>
        <w:pStyle w:val="Textoindependiente"/>
        <w:spacing w:line="360" w:lineRule="auto"/>
      </w:pPr>
      <w:r w:rsidRPr="00B80161">
        <w:rPr>
          <w:b/>
        </w:rPr>
        <w:t>3.3</w:t>
      </w:r>
      <w:r>
        <w:rPr>
          <w:b/>
        </w:rPr>
        <w:t>-</w:t>
      </w:r>
      <w:r w:rsidRPr="00B80161">
        <w:t xml:space="preserve"> La contratación del préstamo en forma directa con el BROU, se ajusta a lo establecido en el Artículo 33, </w:t>
      </w:r>
      <w:r>
        <w:t>L</w:t>
      </w:r>
      <w:r w:rsidRPr="00B80161">
        <w:t>it</w:t>
      </w:r>
      <w:r>
        <w:t>eral</w:t>
      </w:r>
      <w:r w:rsidRPr="00B80161">
        <w:t xml:space="preserve"> C) numeral 1) del TOCAF, en cuanto a la contratación entre organismos o dependencias del Estado como causal de excepción</w:t>
      </w:r>
    </w:p>
    <w:p w:rsidR="00304291" w:rsidRDefault="00304291" w:rsidP="00EC6674">
      <w:pPr>
        <w:pStyle w:val="Textoindependiente"/>
        <w:spacing w:line="360" w:lineRule="auto"/>
        <w:ind w:firstLine="851"/>
        <w:rPr>
          <w:b/>
        </w:rPr>
      </w:pPr>
      <w:r>
        <w:rPr>
          <w:b/>
        </w:rPr>
        <w:lastRenderedPageBreak/>
        <w:t>4) CONCLUSIONES</w:t>
      </w:r>
    </w:p>
    <w:p w:rsidR="00304291" w:rsidRDefault="00304291">
      <w:pPr>
        <w:spacing w:line="360" w:lineRule="auto"/>
        <w:jc w:val="both"/>
        <w:rPr>
          <w:rFonts w:ascii="Arial" w:hAnsi="Arial"/>
          <w:spacing w:val="-3"/>
          <w:lang w:val="es-ES_tradnl"/>
        </w:rPr>
      </w:pPr>
      <w:r>
        <w:rPr>
          <w:rFonts w:ascii="Arial" w:hAnsi="Arial"/>
          <w:b/>
          <w:bCs/>
          <w:spacing w:val="-3"/>
          <w:lang w:val="es-ES_tradnl"/>
        </w:rPr>
        <w:t>4.</w:t>
      </w:r>
      <w:r>
        <w:rPr>
          <w:rFonts w:ascii="Arial" w:hAnsi="Arial"/>
          <w:b/>
          <w:spacing w:val="-3"/>
          <w:lang w:val="es-ES_tradnl"/>
        </w:rPr>
        <w:t>1-</w:t>
      </w:r>
      <w:r>
        <w:rPr>
          <w:rFonts w:ascii="Arial" w:hAnsi="Arial"/>
          <w:spacing w:val="-3"/>
          <w:lang w:val="es-ES_tradnl"/>
        </w:rPr>
        <w:t xml:space="preserve"> Se ha dado cumplimiento a lo dispuesto por el Artículo 301 inciso 2º de la Constitución de la República al solicitarse el informe que compete a este Tribunal, previamente a la suscripción del contrato y a la anuencia del Legislativo Departamental.</w:t>
      </w:r>
    </w:p>
    <w:p w:rsidR="00304291" w:rsidRDefault="00304291">
      <w:pPr>
        <w:spacing w:line="360" w:lineRule="auto"/>
        <w:jc w:val="both"/>
        <w:rPr>
          <w:rFonts w:ascii="Arial" w:hAnsi="Arial"/>
          <w:spacing w:val="-3"/>
          <w:lang w:val="es-ES_tradnl"/>
        </w:rPr>
      </w:pPr>
      <w:r w:rsidRPr="009018ED">
        <w:rPr>
          <w:rFonts w:ascii="Arial" w:hAnsi="Arial"/>
          <w:b/>
          <w:spacing w:val="-3"/>
          <w:lang w:val="es-ES_tradnl"/>
        </w:rPr>
        <w:t>4.2</w:t>
      </w:r>
      <w:r w:rsidRPr="00B36256">
        <w:rPr>
          <w:rFonts w:ascii="Arial" w:hAnsi="Arial"/>
          <w:b/>
          <w:spacing w:val="-3"/>
          <w:lang w:val="es-ES_tradnl"/>
        </w:rPr>
        <w:t>-</w:t>
      </w:r>
      <w:r w:rsidRPr="00B36256">
        <w:rPr>
          <w:rFonts w:ascii="Arial" w:hAnsi="Arial"/>
          <w:spacing w:val="-3"/>
          <w:lang w:val="es-ES_tradnl"/>
        </w:rPr>
        <w:t xml:space="preserve"> De acuerdo a lo previsto en el Presupuesto Quinquenal 2016-2020 y sus antecedentes</w:t>
      </w:r>
      <w:r>
        <w:rPr>
          <w:rFonts w:ascii="Arial" w:hAnsi="Arial"/>
          <w:spacing w:val="-3"/>
          <w:lang w:val="es-ES_tradnl"/>
        </w:rPr>
        <w:t xml:space="preserve"> </w:t>
      </w:r>
      <w:r w:rsidRPr="00D34034">
        <w:rPr>
          <w:rFonts w:ascii="Arial" w:hAnsi="Arial"/>
          <w:spacing w:val="-3"/>
          <w:lang w:val="es-ES_tradnl"/>
        </w:rPr>
        <w:t>y lo expresado en el punto 2),</w:t>
      </w:r>
      <w:r w:rsidRPr="00B36256">
        <w:rPr>
          <w:rFonts w:ascii="Arial" w:hAnsi="Arial"/>
          <w:spacing w:val="-3"/>
          <w:lang w:val="es-ES_tradnl"/>
        </w:rPr>
        <w:t xml:space="preserve"> la Intendencia podrá amortizar este préstamo más sus intereses, sin afectar el resultado acumulado, considerándose suficiente la garantía del préstamo.</w:t>
      </w:r>
    </w:p>
    <w:p w:rsidR="00304291" w:rsidRDefault="00304291" w:rsidP="0040373D">
      <w:pPr>
        <w:spacing w:line="360" w:lineRule="auto"/>
        <w:jc w:val="both"/>
        <w:rPr>
          <w:rFonts w:ascii="Arial" w:hAnsi="Arial"/>
        </w:rPr>
      </w:pPr>
      <w:r>
        <w:rPr>
          <w:rFonts w:ascii="Arial" w:hAnsi="Arial"/>
          <w:b/>
        </w:rPr>
        <w:t>4</w:t>
      </w:r>
      <w:r>
        <w:rPr>
          <w:rFonts w:ascii="Arial" w:hAnsi="Arial"/>
          <w:b/>
          <w:bCs/>
        </w:rPr>
        <w:t xml:space="preserve">.3-  </w:t>
      </w:r>
      <w:r>
        <w:rPr>
          <w:rFonts w:ascii="Arial" w:hAnsi="Arial"/>
        </w:rPr>
        <w:t>La contratación prevista con el Banco República encuadra en la causal legal de excepción prevista en el Artículo 33 Literal C) numeral 1.</w:t>
      </w:r>
    </w:p>
    <w:p w:rsidR="00304291" w:rsidRDefault="00304291">
      <w:pPr>
        <w:spacing w:line="360" w:lineRule="auto"/>
        <w:jc w:val="both"/>
        <w:rPr>
          <w:rFonts w:ascii="Arial" w:hAnsi="Arial"/>
        </w:rPr>
      </w:pPr>
      <w:r>
        <w:rPr>
          <w:rFonts w:ascii="Arial" w:hAnsi="Arial"/>
          <w:b/>
          <w:bCs/>
        </w:rPr>
        <w:t xml:space="preserve">4.4- </w:t>
      </w:r>
      <w:r>
        <w:rPr>
          <w:rFonts w:ascii="Arial" w:hAnsi="Arial"/>
        </w:rPr>
        <w:t xml:space="preserve">Otorgada la anuencia respectiva y </w:t>
      </w:r>
      <w:proofErr w:type="gramStart"/>
      <w:r>
        <w:rPr>
          <w:rFonts w:ascii="Arial" w:hAnsi="Arial"/>
        </w:rPr>
        <w:t>culminado</w:t>
      </w:r>
      <w:proofErr w:type="gramEnd"/>
      <w:r>
        <w:rPr>
          <w:rFonts w:ascii="Arial" w:hAnsi="Arial"/>
        </w:rPr>
        <w:t xml:space="preserve"> el procedimiento legal de contratación, deberá ser sometido por la Intendencia actuante, junto con el contrato proyectado o suscrito ad referéndum, a la intervención preventiva que compete a este Tribunal.</w:t>
      </w:r>
    </w:p>
    <w:p w:rsidR="00304291" w:rsidRDefault="00304291">
      <w:pPr>
        <w:spacing w:line="360" w:lineRule="auto"/>
        <w:jc w:val="both"/>
        <w:rPr>
          <w:rFonts w:ascii="Arial" w:hAnsi="Arial"/>
          <w:spacing w:val="-3"/>
        </w:rPr>
      </w:pPr>
    </w:p>
    <w:p w:rsidR="00304291" w:rsidRPr="00304291" w:rsidRDefault="00304291" w:rsidP="00304291">
      <w:pPr>
        <w:spacing w:line="360" w:lineRule="auto"/>
        <w:jc w:val="both"/>
        <w:rPr>
          <w:rFonts w:ascii="Arial" w:hAnsi="Arial" w:cs="Arial"/>
          <w:sz w:val="20"/>
          <w:lang w:val="es-ES_tradnl"/>
        </w:rPr>
      </w:pPr>
      <w:proofErr w:type="spellStart"/>
      <w:proofErr w:type="gramStart"/>
      <w:r>
        <w:rPr>
          <w:rFonts w:ascii="Arial" w:hAnsi="Arial"/>
          <w:spacing w:val="-3"/>
          <w:lang w:val="es-ES_tradnl"/>
        </w:rPr>
        <w:t>ag</w:t>
      </w:r>
      <w:proofErr w:type="spellEnd"/>
      <w:proofErr w:type="gramEnd"/>
    </w:p>
    <w:sectPr w:rsidR="00304291" w:rsidRPr="00304291" w:rsidSect="00410E77">
      <w:pgSz w:w="11906" w:h="16838" w:code="9"/>
      <w:pgMar w:top="3289" w:right="1701" w:bottom="1134"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E77"/>
    <w:multiLevelType w:val="hybridMultilevel"/>
    <w:tmpl w:val="D63C4DA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C362B9F"/>
    <w:multiLevelType w:val="hybridMultilevel"/>
    <w:tmpl w:val="31028228"/>
    <w:lvl w:ilvl="0" w:tplc="DC449898">
      <w:start w:val="1"/>
      <w:numFmt w:val="decimal"/>
      <w:lvlText w:val="%1."/>
      <w:lvlJc w:val="left"/>
      <w:pPr>
        <w:ind w:left="360" w:hanging="360"/>
      </w:pPr>
      <w:rPr>
        <w:rFonts w:ascii="Arial" w:hAnsi="Arial" w:cs="Arial" w:hint="default"/>
      </w:rPr>
    </w:lvl>
    <w:lvl w:ilvl="1" w:tplc="0C0A0019">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
    <w:nsid w:val="1B9D7D74"/>
    <w:multiLevelType w:val="hybridMultilevel"/>
    <w:tmpl w:val="3370C2A4"/>
    <w:lvl w:ilvl="0" w:tplc="058E7D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3959AD"/>
    <w:multiLevelType w:val="multilevel"/>
    <w:tmpl w:val="6DA498CC"/>
    <w:lvl w:ilvl="0">
      <w:start w:val="215"/>
      <w:numFmt w:val="decimal"/>
      <w:lvlText w:val="%1"/>
      <w:lvlJc w:val="left"/>
      <w:pPr>
        <w:ind w:left="1065" w:hanging="1065"/>
      </w:pPr>
      <w:rPr>
        <w:rFonts w:hint="default"/>
      </w:rPr>
    </w:lvl>
    <w:lvl w:ilvl="1">
      <w:start w:val="436"/>
      <w:numFmt w:val="decimal"/>
      <w:lvlText w:val="%1.%2"/>
      <w:lvlJc w:val="left"/>
      <w:pPr>
        <w:ind w:left="1065" w:hanging="1065"/>
      </w:pPr>
      <w:rPr>
        <w:rFonts w:hint="default"/>
      </w:rPr>
    </w:lvl>
    <w:lvl w:ilvl="2">
      <w:start w:val="494"/>
      <w:numFmt w:val="decimal"/>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34D722D"/>
    <w:multiLevelType w:val="hybridMultilevel"/>
    <w:tmpl w:val="46F81298"/>
    <w:lvl w:ilvl="0" w:tplc="934667A0">
      <w:start w:val="1"/>
      <w:numFmt w:val="decimal"/>
      <w:lvlText w:val="%1)"/>
      <w:lvlJc w:val="left"/>
      <w:pPr>
        <w:ind w:left="1211" w:hanging="360"/>
      </w:pPr>
      <w:rPr>
        <w:rFonts w:hint="default"/>
        <w:b/>
      </w:rPr>
    </w:lvl>
    <w:lvl w:ilvl="1" w:tplc="380A0019" w:tentative="1">
      <w:start w:val="1"/>
      <w:numFmt w:val="lowerLetter"/>
      <w:lvlText w:val="%2."/>
      <w:lvlJc w:val="left"/>
      <w:pPr>
        <w:ind w:left="1931" w:hanging="360"/>
      </w:pPr>
    </w:lvl>
    <w:lvl w:ilvl="2" w:tplc="380A001B" w:tentative="1">
      <w:start w:val="1"/>
      <w:numFmt w:val="lowerRoman"/>
      <w:lvlText w:val="%3."/>
      <w:lvlJc w:val="right"/>
      <w:pPr>
        <w:ind w:left="2651" w:hanging="180"/>
      </w:pPr>
    </w:lvl>
    <w:lvl w:ilvl="3" w:tplc="380A000F" w:tentative="1">
      <w:start w:val="1"/>
      <w:numFmt w:val="decimal"/>
      <w:lvlText w:val="%4."/>
      <w:lvlJc w:val="left"/>
      <w:pPr>
        <w:ind w:left="3371" w:hanging="360"/>
      </w:pPr>
    </w:lvl>
    <w:lvl w:ilvl="4" w:tplc="380A0019" w:tentative="1">
      <w:start w:val="1"/>
      <w:numFmt w:val="lowerLetter"/>
      <w:lvlText w:val="%5."/>
      <w:lvlJc w:val="left"/>
      <w:pPr>
        <w:ind w:left="4091" w:hanging="360"/>
      </w:pPr>
    </w:lvl>
    <w:lvl w:ilvl="5" w:tplc="380A001B" w:tentative="1">
      <w:start w:val="1"/>
      <w:numFmt w:val="lowerRoman"/>
      <w:lvlText w:val="%6."/>
      <w:lvlJc w:val="right"/>
      <w:pPr>
        <w:ind w:left="4811" w:hanging="180"/>
      </w:pPr>
    </w:lvl>
    <w:lvl w:ilvl="6" w:tplc="380A000F" w:tentative="1">
      <w:start w:val="1"/>
      <w:numFmt w:val="decimal"/>
      <w:lvlText w:val="%7."/>
      <w:lvlJc w:val="left"/>
      <w:pPr>
        <w:ind w:left="5531" w:hanging="360"/>
      </w:pPr>
    </w:lvl>
    <w:lvl w:ilvl="7" w:tplc="380A0019" w:tentative="1">
      <w:start w:val="1"/>
      <w:numFmt w:val="lowerLetter"/>
      <w:lvlText w:val="%8."/>
      <w:lvlJc w:val="left"/>
      <w:pPr>
        <w:ind w:left="6251" w:hanging="360"/>
      </w:pPr>
    </w:lvl>
    <w:lvl w:ilvl="8" w:tplc="380A001B" w:tentative="1">
      <w:start w:val="1"/>
      <w:numFmt w:val="lowerRoman"/>
      <w:lvlText w:val="%9."/>
      <w:lvlJc w:val="right"/>
      <w:pPr>
        <w:ind w:left="6971"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F0"/>
    <w:rsid w:val="000C46E4"/>
    <w:rsid w:val="000E7129"/>
    <w:rsid w:val="001D34EC"/>
    <w:rsid w:val="00304291"/>
    <w:rsid w:val="00410E77"/>
    <w:rsid w:val="004A571E"/>
    <w:rsid w:val="005E1C30"/>
    <w:rsid w:val="005F7731"/>
    <w:rsid w:val="006301F0"/>
    <w:rsid w:val="00646559"/>
    <w:rsid w:val="006A7D14"/>
    <w:rsid w:val="009E7C27"/>
    <w:rsid w:val="00EC6674"/>
    <w:rsid w:val="00EE28B6"/>
    <w:rsid w:val="00F33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F0"/>
    <w:pPr>
      <w:widowControl w:val="0"/>
      <w:suppressAutoHyphens/>
      <w:spacing w:after="0" w:line="240" w:lineRule="auto"/>
    </w:pPr>
    <w:rPr>
      <w:rFonts w:ascii="Times New Roman" w:eastAsia="Lucida Sans Unicode" w:hAnsi="Times New Roman" w:cs="Mangal"/>
      <w:kern w:val="1"/>
      <w:sz w:val="24"/>
      <w:szCs w:val="24"/>
      <w:lang w:val="es-UY" w:eastAsia="hi-IN" w:bidi="hi-IN"/>
    </w:rPr>
  </w:style>
  <w:style w:type="paragraph" w:styleId="Ttulo1">
    <w:name w:val="heading 1"/>
    <w:basedOn w:val="Normal"/>
    <w:next w:val="Normal"/>
    <w:link w:val="Ttulo1Car"/>
    <w:qFormat/>
    <w:rsid w:val="009E7C27"/>
    <w:pPr>
      <w:keepNext/>
      <w:jc w:val="both"/>
      <w:outlineLvl w:val="0"/>
    </w:pPr>
    <w:rPr>
      <w:rFonts w:ascii="Bookman Old Style" w:eastAsia="Times New Roman" w:hAnsi="Bookman Old Style" w:cs="Times New Roman"/>
      <w:b/>
      <w:snapToGrid w:val="0"/>
      <w:spacing w:val="-3"/>
      <w:kern w:val="0"/>
      <w:szCs w:val="20"/>
      <w:lang w:val="es-ES_tradnl" w:eastAsia="es-ES" w:bidi="ar-SA"/>
    </w:rPr>
  </w:style>
  <w:style w:type="paragraph" w:styleId="Ttulo2">
    <w:name w:val="heading 2"/>
    <w:basedOn w:val="Normal"/>
    <w:next w:val="Normal"/>
    <w:link w:val="Ttulo2Car"/>
    <w:qFormat/>
    <w:rsid w:val="00304291"/>
    <w:pPr>
      <w:keepNext/>
      <w:spacing w:line="360" w:lineRule="auto"/>
      <w:ind w:left="1440" w:firstLine="720"/>
      <w:jc w:val="both"/>
      <w:outlineLvl w:val="1"/>
    </w:pPr>
    <w:rPr>
      <w:rFonts w:ascii="Bookman Old Style" w:eastAsia="Times New Roman" w:hAnsi="Bookman Old Style" w:cs="Times New Roman"/>
      <w:b/>
      <w:snapToGrid w:val="0"/>
      <w:spacing w:val="-3"/>
      <w:kern w:val="0"/>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7C27"/>
    <w:rPr>
      <w:rFonts w:ascii="Bookman Old Style" w:eastAsia="Times New Roman" w:hAnsi="Bookman Old Style" w:cs="Times New Roman"/>
      <w:b/>
      <w:snapToGrid w:val="0"/>
      <w:spacing w:val="-3"/>
      <w:sz w:val="24"/>
      <w:szCs w:val="20"/>
      <w:lang w:val="es-ES_tradnl" w:eastAsia="es-ES"/>
    </w:rPr>
  </w:style>
  <w:style w:type="paragraph" w:styleId="Prrafodelista">
    <w:name w:val="List Paragraph"/>
    <w:basedOn w:val="Normal"/>
    <w:uiPriority w:val="34"/>
    <w:qFormat/>
    <w:rsid w:val="009E7C27"/>
    <w:pPr>
      <w:ind w:left="720"/>
      <w:contextualSpacing/>
    </w:pPr>
    <w:rPr>
      <w:szCs w:val="21"/>
    </w:rPr>
  </w:style>
  <w:style w:type="character" w:customStyle="1" w:styleId="Ttulo2Car">
    <w:name w:val="Título 2 Car"/>
    <w:basedOn w:val="Fuentedeprrafopredeter"/>
    <w:link w:val="Ttulo2"/>
    <w:rsid w:val="00304291"/>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304291"/>
    <w:pPr>
      <w:jc w:val="both"/>
    </w:pPr>
    <w:rPr>
      <w:rFonts w:ascii="Arial" w:eastAsia="Times New Roman" w:hAnsi="Arial" w:cs="Times New Roman"/>
      <w:snapToGrid w:val="0"/>
      <w:spacing w:val="-3"/>
      <w:kern w:val="0"/>
      <w:szCs w:val="20"/>
      <w:lang w:val="es-ES_tradnl" w:eastAsia="es-ES" w:bidi="ar-SA"/>
    </w:rPr>
  </w:style>
  <w:style w:type="character" w:customStyle="1" w:styleId="TextoindependienteCar">
    <w:name w:val="Texto independiente Car"/>
    <w:basedOn w:val="Fuentedeprrafopredeter"/>
    <w:link w:val="Textoindependiente"/>
    <w:semiHidden/>
    <w:rsid w:val="00304291"/>
    <w:rPr>
      <w:rFonts w:ascii="Arial" w:eastAsia="Times New Roman" w:hAnsi="Arial"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F0"/>
    <w:pPr>
      <w:widowControl w:val="0"/>
      <w:suppressAutoHyphens/>
      <w:spacing w:after="0" w:line="240" w:lineRule="auto"/>
    </w:pPr>
    <w:rPr>
      <w:rFonts w:ascii="Times New Roman" w:eastAsia="Lucida Sans Unicode" w:hAnsi="Times New Roman" w:cs="Mangal"/>
      <w:kern w:val="1"/>
      <w:sz w:val="24"/>
      <w:szCs w:val="24"/>
      <w:lang w:val="es-UY" w:eastAsia="hi-IN" w:bidi="hi-IN"/>
    </w:rPr>
  </w:style>
  <w:style w:type="paragraph" w:styleId="Ttulo1">
    <w:name w:val="heading 1"/>
    <w:basedOn w:val="Normal"/>
    <w:next w:val="Normal"/>
    <w:link w:val="Ttulo1Car"/>
    <w:qFormat/>
    <w:rsid w:val="009E7C27"/>
    <w:pPr>
      <w:keepNext/>
      <w:jc w:val="both"/>
      <w:outlineLvl w:val="0"/>
    </w:pPr>
    <w:rPr>
      <w:rFonts w:ascii="Bookman Old Style" w:eastAsia="Times New Roman" w:hAnsi="Bookman Old Style" w:cs="Times New Roman"/>
      <w:b/>
      <w:snapToGrid w:val="0"/>
      <w:spacing w:val="-3"/>
      <w:kern w:val="0"/>
      <w:szCs w:val="20"/>
      <w:lang w:val="es-ES_tradnl" w:eastAsia="es-ES" w:bidi="ar-SA"/>
    </w:rPr>
  </w:style>
  <w:style w:type="paragraph" w:styleId="Ttulo2">
    <w:name w:val="heading 2"/>
    <w:basedOn w:val="Normal"/>
    <w:next w:val="Normal"/>
    <w:link w:val="Ttulo2Car"/>
    <w:qFormat/>
    <w:rsid w:val="00304291"/>
    <w:pPr>
      <w:keepNext/>
      <w:spacing w:line="360" w:lineRule="auto"/>
      <w:ind w:left="1440" w:firstLine="720"/>
      <w:jc w:val="both"/>
      <w:outlineLvl w:val="1"/>
    </w:pPr>
    <w:rPr>
      <w:rFonts w:ascii="Bookman Old Style" w:eastAsia="Times New Roman" w:hAnsi="Bookman Old Style" w:cs="Times New Roman"/>
      <w:b/>
      <w:snapToGrid w:val="0"/>
      <w:spacing w:val="-3"/>
      <w:kern w:val="0"/>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7C27"/>
    <w:rPr>
      <w:rFonts w:ascii="Bookman Old Style" w:eastAsia="Times New Roman" w:hAnsi="Bookman Old Style" w:cs="Times New Roman"/>
      <w:b/>
      <w:snapToGrid w:val="0"/>
      <w:spacing w:val="-3"/>
      <w:sz w:val="24"/>
      <w:szCs w:val="20"/>
      <w:lang w:val="es-ES_tradnl" w:eastAsia="es-ES"/>
    </w:rPr>
  </w:style>
  <w:style w:type="paragraph" w:styleId="Prrafodelista">
    <w:name w:val="List Paragraph"/>
    <w:basedOn w:val="Normal"/>
    <w:uiPriority w:val="34"/>
    <w:qFormat/>
    <w:rsid w:val="009E7C27"/>
    <w:pPr>
      <w:ind w:left="720"/>
      <w:contextualSpacing/>
    </w:pPr>
    <w:rPr>
      <w:szCs w:val="21"/>
    </w:rPr>
  </w:style>
  <w:style w:type="character" w:customStyle="1" w:styleId="Ttulo2Car">
    <w:name w:val="Título 2 Car"/>
    <w:basedOn w:val="Fuentedeprrafopredeter"/>
    <w:link w:val="Ttulo2"/>
    <w:rsid w:val="00304291"/>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304291"/>
    <w:pPr>
      <w:jc w:val="both"/>
    </w:pPr>
    <w:rPr>
      <w:rFonts w:ascii="Arial" w:eastAsia="Times New Roman" w:hAnsi="Arial" w:cs="Times New Roman"/>
      <w:snapToGrid w:val="0"/>
      <w:spacing w:val="-3"/>
      <w:kern w:val="0"/>
      <w:szCs w:val="20"/>
      <w:lang w:val="es-ES_tradnl" w:eastAsia="es-ES" w:bidi="ar-SA"/>
    </w:rPr>
  </w:style>
  <w:style w:type="character" w:customStyle="1" w:styleId="TextoindependienteCar">
    <w:name w:val="Texto independiente Car"/>
    <w:basedOn w:val="Fuentedeprrafopredeter"/>
    <w:link w:val="Textoindependiente"/>
    <w:semiHidden/>
    <w:rsid w:val="00304291"/>
    <w:rPr>
      <w:rFonts w:ascii="Arial" w:eastAsia="Times New Roman" w:hAnsi="Arial"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1124</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8</cp:revision>
  <cp:lastPrinted>2017-04-03T18:37:00Z</cp:lastPrinted>
  <dcterms:created xsi:type="dcterms:W3CDTF">2017-05-19T17:20:00Z</dcterms:created>
  <dcterms:modified xsi:type="dcterms:W3CDTF">2017-09-27T19:12:00Z</dcterms:modified>
</cp:coreProperties>
</file>