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42" w:rsidRDefault="00CE2EB1" w:rsidP="00E95642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E2EB1">
        <w:rPr>
          <w:rFonts w:ascii="Arial" w:hAnsi="Arial" w:cs="Arial"/>
          <w:sz w:val="24"/>
          <w:szCs w:val="24"/>
        </w:rPr>
        <w:t xml:space="preserve">Montevideo, </w:t>
      </w:r>
      <w:r w:rsidR="0045615C">
        <w:rPr>
          <w:rFonts w:ascii="Arial" w:hAnsi="Arial" w:cs="Arial"/>
          <w:sz w:val="24"/>
          <w:szCs w:val="24"/>
        </w:rPr>
        <w:t>30</w:t>
      </w:r>
      <w:r w:rsidR="00CD485D">
        <w:rPr>
          <w:rFonts w:ascii="Arial" w:hAnsi="Arial" w:cs="Arial"/>
          <w:sz w:val="24"/>
          <w:szCs w:val="24"/>
        </w:rPr>
        <w:t xml:space="preserve"> de mayo de 2017</w:t>
      </w:r>
    </w:p>
    <w:p w:rsidR="00E95642" w:rsidRDefault="00E95642" w:rsidP="00E95642">
      <w:pPr>
        <w:jc w:val="center"/>
        <w:rPr>
          <w:rFonts w:ascii="Arial" w:hAnsi="Arial" w:cs="Arial"/>
          <w:b/>
          <w:sz w:val="24"/>
          <w:szCs w:val="24"/>
        </w:rPr>
      </w:pPr>
    </w:p>
    <w:p w:rsidR="003C56F9" w:rsidRDefault="00E230B4" w:rsidP="0045615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Presidente de la</w:t>
      </w:r>
    </w:p>
    <w:p w:rsidR="00E95642" w:rsidRDefault="00E95642" w:rsidP="004561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5642">
        <w:rPr>
          <w:rFonts w:ascii="Arial" w:hAnsi="Arial" w:cs="Arial"/>
          <w:sz w:val="24"/>
          <w:szCs w:val="24"/>
        </w:rPr>
        <w:t>Cámara de Representantes</w:t>
      </w:r>
    </w:p>
    <w:p w:rsidR="00E95642" w:rsidRDefault="00E95642" w:rsidP="0045615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José Carlos </w:t>
      </w:r>
      <w:proofErr w:type="spellStart"/>
      <w:r>
        <w:rPr>
          <w:rFonts w:ascii="Arial" w:hAnsi="Arial" w:cs="Arial"/>
          <w:sz w:val="24"/>
          <w:szCs w:val="24"/>
        </w:rPr>
        <w:t>Mahía</w:t>
      </w:r>
      <w:proofErr w:type="spellEnd"/>
    </w:p>
    <w:p w:rsidR="0045615C" w:rsidRDefault="0045615C" w:rsidP="0045615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E. Nº  2017-17-1-0001820</w:t>
      </w:r>
    </w:p>
    <w:p w:rsidR="00E95642" w:rsidRDefault="0045615C" w:rsidP="0045615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Nº 1446/17</w:t>
      </w:r>
    </w:p>
    <w:p w:rsidR="0045615C" w:rsidRDefault="0045615C" w:rsidP="0045615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3979/17</w:t>
      </w:r>
    </w:p>
    <w:p w:rsidR="0045615C" w:rsidRPr="00E95642" w:rsidRDefault="0045615C" w:rsidP="0045615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95642" w:rsidRDefault="00E95642" w:rsidP="005B5B7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2A3FF8">
        <w:rPr>
          <w:rFonts w:ascii="Arial" w:hAnsi="Arial" w:cs="Arial"/>
          <w:sz w:val="24"/>
          <w:szCs w:val="24"/>
        </w:rPr>
        <w:t xml:space="preserve"> Oficio N° 13099 </w:t>
      </w:r>
      <w:r w:rsidR="00620DCE">
        <w:rPr>
          <w:rFonts w:ascii="Arial" w:hAnsi="Arial" w:cs="Arial"/>
          <w:sz w:val="24"/>
          <w:szCs w:val="24"/>
        </w:rPr>
        <w:t>de fecha 15/03/2017</w:t>
      </w:r>
      <w:r w:rsidR="00DB6C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esa Cámara transcribe la solicitud del Señor Representante Nicolás Olivera </w:t>
      </w:r>
      <w:r w:rsidR="00D05B3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la que se efectuó un pedido de informes </w:t>
      </w:r>
      <w:r w:rsidR="003C56F9">
        <w:rPr>
          <w:rFonts w:ascii="Arial" w:hAnsi="Arial" w:cs="Arial"/>
          <w:sz w:val="24"/>
          <w:szCs w:val="24"/>
        </w:rPr>
        <w:t xml:space="preserve">relacionado con el control del cumplimiento del artículo </w:t>
      </w:r>
      <w:r w:rsidR="005B5B7D">
        <w:rPr>
          <w:rFonts w:ascii="Arial" w:hAnsi="Arial" w:cs="Arial"/>
          <w:sz w:val="24"/>
          <w:szCs w:val="24"/>
        </w:rPr>
        <w:t xml:space="preserve">     </w:t>
      </w:r>
      <w:r w:rsidR="003C56F9">
        <w:rPr>
          <w:rFonts w:ascii="Arial" w:hAnsi="Arial" w:cs="Arial"/>
          <w:sz w:val="24"/>
          <w:szCs w:val="24"/>
        </w:rPr>
        <w:t xml:space="preserve">17 de la Ley N° 17.904 de 07/10/2005 en materia de pauta publicitaria. </w:t>
      </w:r>
      <w:r w:rsidR="00D05B36">
        <w:rPr>
          <w:rFonts w:ascii="Arial" w:hAnsi="Arial" w:cs="Arial"/>
          <w:sz w:val="24"/>
          <w:szCs w:val="24"/>
        </w:rPr>
        <w:t>Dicha solicitud refiere a los siguientes puntos</w:t>
      </w:r>
      <w:r>
        <w:rPr>
          <w:rFonts w:ascii="Arial" w:hAnsi="Arial" w:cs="Arial"/>
          <w:sz w:val="24"/>
          <w:szCs w:val="24"/>
        </w:rPr>
        <w:t>:</w:t>
      </w:r>
    </w:p>
    <w:p w:rsidR="00B82093" w:rsidRDefault="00B82093" w:rsidP="0045615C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642">
        <w:rPr>
          <w:rFonts w:ascii="Arial" w:hAnsi="Arial" w:cs="Arial"/>
          <w:sz w:val="24"/>
          <w:szCs w:val="24"/>
        </w:rPr>
        <w:t>Copia de las rendiciones de cuentas que han realizado los organismos obligados en los últimos 36 meses.</w:t>
      </w:r>
    </w:p>
    <w:p w:rsidR="00B82093" w:rsidRDefault="00421311" w:rsidP="0045615C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642">
        <w:rPr>
          <w:rFonts w:ascii="Arial" w:hAnsi="Arial" w:cs="Arial"/>
          <w:sz w:val="24"/>
          <w:szCs w:val="24"/>
        </w:rPr>
        <w:t xml:space="preserve">A cuánto ascienden los montos que en dicho período se han contratado en cumplimiento del artículo 17 de la Ley N° 17.904, con el alcance del artículo </w:t>
      </w:r>
      <w:r w:rsidR="005B5B7D">
        <w:rPr>
          <w:rFonts w:ascii="Arial" w:hAnsi="Arial" w:cs="Arial"/>
          <w:sz w:val="24"/>
          <w:szCs w:val="24"/>
        </w:rPr>
        <w:t xml:space="preserve">    </w:t>
      </w:r>
      <w:r w:rsidRPr="00E95642">
        <w:rPr>
          <w:rFonts w:ascii="Arial" w:hAnsi="Arial" w:cs="Arial"/>
          <w:sz w:val="24"/>
          <w:szCs w:val="24"/>
        </w:rPr>
        <w:t>77 de la Ley N° 18.046, de 24 de octubre de 2006, discriminados por organismo.</w:t>
      </w:r>
    </w:p>
    <w:p w:rsidR="00421311" w:rsidRDefault="00421311" w:rsidP="0045615C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642">
        <w:rPr>
          <w:rFonts w:ascii="Arial" w:hAnsi="Arial" w:cs="Arial"/>
          <w:sz w:val="24"/>
          <w:szCs w:val="24"/>
        </w:rPr>
        <w:t>Especificar si respecto de la obligación de rendir cuentas en forma trimestral existen organismos y sociedades omisas. En caso afirmativo, detallar las acciones que en tal sentido realizó ese Tribunal</w:t>
      </w:r>
      <w:r w:rsidR="00C921AD" w:rsidRPr="00E95642">
        <w:rPr>
          <w:rFonts w:ascii="Arial" w:hAnsi="Arial" w:cs="Arial"/>
          <w:sz w:val="24"/>
          <w:szCs w:val="24"/>
        </w:rPr>
        <w:t>.</w:t>
      </w:r>
    </w:p>
    <w:p w:rsidR="00DD4C1B" w:rsidRDefault="00DD4C1B" w:rsidP="0045615C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95642">
        <w:rPr>
          <w:rFonts w:ascii="Arial" w:hAnsi="Arial" w:cs="Arial"/>
          <w:sz w:val="24"/>
          <w:szCs w:val="24"/>
        </w:rPr>
        <w:t>Cual</w:t>
      </w:r>
      <w:proofErr w:type="spellEnd"/>
      <w:r w:rsidRPr="00E95642">
        <w:rPr>
          <w:rFonts w:ascii="Arial" w:hAnsi="Arial" w:cs="Arial"/>
          <w:sz w:val="24"/>
          <w:szCs w:val="24"/>
        </w:rPr>
        <w:t xml:space="preserve"> es el monto de los gastos no intervenidos en los últimos 36 meses por incumplimiento del inciso tercero del artículo 226 de la Ley N° 18.172 de 31 de agosto de 2007.</w:t>
      </w:r>
    </w:p>
    <w:p w:rsidR="00D05B36" w:rsidRDefault="00D05B36" w:rsidP="00456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</w:t>
      </w:r>
      <w:r w:rsidR="000E33D2">
        <w:rPr>
          <w:rFonts w:ascii="Arial" w:hAnsi="Arial" w:cs="Arial"/>
          <w:sz w:val="24"/>
          <w:szCs w:val="24"/>
        </w:rPr>
        <w:t>specto corresponde expresar lo siguiente:</w:t>
      </w:r>
    </w:p>
    <w:p w:rsidR="000E33D2" w:rsidRDefault="000E33D2" w:rsidP="0045615C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órganos del Poder Ejecutivo no han remitido rendición de cuentas en ningún caso</w:t>
      </w:r>
      <w:r w:rsidR="007A322C">
        <w:rPr>
          <w:rFonts w:ascii="Arial" w:hAnsi="Arial" w:cs="Arial"/>
          <w:sz w:val="24"/>
          <w:szCs w:val="24"/>
        </w:rPr>
        <w:t>, debiéndose señalar que, desde el año</w:t>
      </w:r>
      <w:r w:rsidR="002A3FF8">
        <w:rPr>
          <w:rFonts w:ascii="Arial" w:hAnsi="Arial" w:cs="Arial"/>
          <w:sz w:val="24"/>
          <w:szCs w:val="24"/>
        </w:rPr>
        <w:t xml:space="preserve"> 2012</w:t>
      </w:r>
      <w:r w:rsidR="007A322C">
        <w:rPr>
          <w:rFonts w:ascii="Arial" w:hAnsi="Arial" w:cs="Arial"/>
          <w:sz w:val="24"/>
          <w:szCs w:val="24"/>
        </w:rPr>
        <w:t>,</w:t>
      </w:r>
      <w:r w:rsidR="00B50280">
        <w:rPr>
          <w:rFonts w:ascii="Arial" w:hAnsi="Arial" w:cs="Arial"/>
          <w:sz w:val="24"/>
          <w:szCs w:val="24"/>
        </w:rPr>
        <w:t xml:space="preserve"> </w:t>
      </w:r>
      <w:r w:rsidR="007A322C">
        <w:rPr>
          <w:rFonts w:ascii="Arial" w:hAnsi="Arial" w:cs="Arial"/>
          <w:sz w:val="24"/>
          <w:szCs w:val="24"/>
        </w:rPr>
        <w:t xml:space="preserve">la intervención </w:t>
      </w:r>
      <w:r w:rsidR="007A322C">
        <w:rPr>
          <w:rFonts w:ascii="Arial" w:hAnsi="Arial" w:cs="Arial"/>
          <w:sz w:val="24"/>
          <w:szCs w:val="24"/>
        </w:rPr>
        <w:lastRenderedPageBreak/>
        <w:t>preventiva de gastos que corresponde a este Tribunal es ejercida por medio de sus propios contadores auditores destacados en cada Inciso, no existiendo por consiguiente contadores delegados</w:t>
      </w:r>
      <w:r w:rsidR="00302D5B">
        <w:rPr>
          <w:rFonts w:ascii="Arial" w:hAnsi="Arial" w:cs="Arial"/>
          <w:sz w:val="24"/>
          <w:szCs w:val="24"/>
        </w:rPr>
        <w:t xml:space="preserve"> lo que, en consecuencia  </w:t>
      </w:r>
      <w:r w:rsidR="00B50280">
        <w:rPr>
          <w:rFonts w:ascii="Arial" w:hAnsi="Arial" w:cs="Arial"/>
          <w:sz w:val="24"/>
          <w:szCs w:val="24"/>
        </w:rPr>
        <w:t>imposibilita</w:t>
      </w:r>
      <w:r w:rsidR="00302D5B">
        <w:rPr>
          <w:rFonts w:ascii="Arial" w:hAnsi="Arial" w:cs="Arial"/>
          <w:sz w:val="24"/>
          <w:szCs w:val="24"/>
        </w:rPr>
        <w:t xml:space="preserve"> el cumplimiento de lo dispuesto por el inciso tercero del artículo 226 de la Ley </w:t>
      </w:r>
      <w:r w:rsidR="005B5B7D">
        <w:rPr>
          <w:rFonts w:ascii="Arial" w:hAnsi="Arial" w:cs="Arial"/>
          <w:sz w:val="24"/>
          <w:szCs w:val="24"/>
        </w:rPr>
        <w:t xml:space="preserve">    </w:t>
      </w:r>
      <w:r w:rsidR="00302D5B">
        <w:rPr>
          <w:rFonts w:ascii="Arial" w:hAnsi="Arial" w:cs="Arial"/>
          <w:sz w:val="24"/>
          <w:szCs w:val="24"/>
        </w:rPr>
        <w:t xml:space="preserve">N° 18.172 citada en cuanto a que los organismos rendirán cuenta a través de sus contadores delegados. </w:t>
      </w:r>
      <w:r w:rsidR="00B50280">
        <w:rPr>
          <w:rFonts w:ascii="Arial" w:hAnsi="Arial" w:cs="Arial"/>
          <w:sz w:val="24"/>
          <w:szCs w:val="24"/>
        </w:rPr>
        <w:t>Resulta improcedente que un organismo rinda cuentas a través de un funcionario del propio órgano controlante.</w:t>
      </w:r>
    </w:p>
    <w:p w:rsidR="0088284D" w:rsidRPr="005B5B7D" w:rsidRDefault="00302D5B" w:rsidP="0045615C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empresas de derecho público y las sociedades comerciales con cien por ciento de capital social público</w:t>
      </w:r>
      <w:r w:rsidR="000C34C1">
        <w:rPr>
          <w:rFonts w:ascii="Arial" w:hAnsi="Arial" w:cs="Arial"/>
          <w:sz w:val="24"/>
          <w:szCs w:val="24"/>
        </w:rPr>
        <w:t>, que se hallan sujetas a las obligaciones derivadas del artículo 17 de la Ley N° 17.904, conforme a lo dispuesto por el artículo 226 de la Ley N° 18.172, no tienen contadores delegados, en tanto se rigen por el derecho privado y no corresponde al Tribunal de Cuentas practicar la certificación de legalidad del gasto establecida en el artículo 211 lit</w:t>
      </w:r>
      <w:r w:rsidR="005B5B7D">
        <w:rPr>
          <w:rFonts w:ascii="Arial" w:hAnsi="Arial" w:cs="Arial"/>
          <w:sz w:val="24"/>
          <w:szCs w:val="24"/>
        </w:rPr>
        <w:t>eral</w:t>
      </w:r>
      <w:r w:rsidR="000C34C1">
        <w:rPr>
          <w:rFonts w:ascii="Arial" w:hAnsi="Arial" w:cs="Arial"/>
          <w:sz w:val="24"/>
          <w:szCs w:val="24"/>
        </w:rPr>
        <w:t xml:space="preserve">. B) de la Constitución de la República, por </w:t>
      </w:r>
      <w:r w:rsidR="00D36437">
        <w:rPr>
          <w:rFonts w:ascii="Arial" w:hAnsi="Arial" w:cs="Arial"/>
          <w:sz w:val="24"/>
          <w:szCs w:val="24"/>
        </w:rPr>
        <w:t xml:space="preserve">lo </w:t>
      </w:r>
      <w:r w:rsidR="000C34C1">
        <w:rPr>
          <w:rFonts w:ascii="Arial" w:hAnsi="Arial" w:cs="Arial"/>
          <w:sz w:val="24"/>
          <w:szCs w:val="24"/>
        </w:rPr>
        <w:t>que también en este caso se dificulta el cumplimiento de la obl</w:t>
      </w:r>
      <w:r w:rsidR="00E230B4">
        <w:rPr>
          <w:rFonts w:ascii="Arial" w:hAnsi="Arial" w:cs="Arial"/>
          <w:sz w:val="24"/>
          <w:szCs w:val="24"/>
        </w:rPr>
        <w:t>igación legal.</w:t>
      </w:r>
    </w:p>
    <w:p w:rsidR="00D36437" w:rsidRPr="000E33D2" w:rsidRDefault="00B50280" w:rsidP="0045615C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artículo 226 de la Ley N°</w:t>
      </w:r>
      <w:r w:rsidR="00D36437">
        <w:rPr>
          <w:rFonts w:ascii="Arial" w:hAnsi="Arial" w:cs="Arial"/>
          <w:sz w:val="24"/>
          <w:szCs w:val="24"/>
        </w:rPr>
        <w:t xml:space="preserve"> 18.172, al referirse a la imposibilidad de intervenir pagos en el caso de que no se haya verificado la imputación de los créditos correspondientes al Servicio de Televisión Nacional o, en su caso, a las radiodifusoras del SODRE, no establece si se trata de </w:t>
      </w:r>
      <w:r w:rsidR="008D2DFD">
        <w:rPr>
          <w:rFonts w:ascii="Arial" w:hAnsi="Arial" w:cs="Arial"/>
          <w:sz w:val="24"/>
          <w:szCs w:val="24"/>
        </w:rPr>
        <w:t>pagos de publicida</w:t>
      </w:r>
      <w:r w:rsidR="00E230B4">
        <w:rPr>
          <w:rFonts w:ascii="Arial" w:hAnsi="Arial" w:cs="Arial"/>
          <w:sz w:val="24"/>
          <w:szCs w:val="24"/>
        </w:rPr>
        <w:t>d o de cualquier tipo de pagos.</w:t>
      </w:r>
    </w:p>
    <w:p w:rsidR="00E95642" w:rsidRDefault="008D2DFD" w:rsidP="00456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914FEC">
        <w:rPr>
          <w:rFonts w:ascii="Arial" w:hAnsi="Arial" w:cs="Arial"/>
          <w:sz w:val="24"/>
          <w:szCs w:val="24"/>
        </w:rPr>
        <w:t>Con respecto al N</w:t>
      </w:r>
      <w:r w:rsidR="00E95642">
        <w:rPr>
          <w:rFonts w:ascii="Arial" w:hAnsi="Arial" w:cs="Arial"/>
          <w:sz w:val="24"/>
          <w:szCs w:val="24"/>
        </w:rPr>
        <w:t>umeral 1 de la información solicitada</w:t>
      </w:r>
      <w:r w:rsidR="00CA0DE0">
        <w:rPr>
          <w:rFonts w:ascii="Arial" w:hAnsi="Arial" w:cs="Arial"/>
          <w:sz w:val="24"/>
          <w:szCs w:val="24"/>
        </w:rPr>
        <w:t>, en el ANEXO I</w:t>
      </w:r>
      <w:r w:rsidR="00E95642">
        <w:rPr>
          <w:rFonts w:ascii="Arial" w:hAnsi="Arial" w:cs="Arial"/>
          <w:sz w:val="24"/>
          <w:szCs w:val="24"/>
        </w:rPr>
        <w:t xml:space="preserve"> </w:t>
      </w:r>
      <w:r w:rsidR="009F4069">
        <w:rPr>
          <w:rFonts w:ascii="Arial" w:hAnsi="Arial" w:cs="Arial"/>
          <w:sz w:val="24"/>
          <w:szCs w:val="24"/>
        </w:rPr>
        <w:t xml:space="preserve">se adjuntan las rendiciones de cuentas que ha recibido este Tribunal </w:t>
      </w:r>
      <w:r w:rsidR="00CA0DE0">
        <w:rPr>
          <w:rFonts w:ascii="Arial" w:hAnsi="Arial" w:cs="Arial"/>
          <w:sz w:val="24"/>
          <w:szCs w:val="24"/>
        </w:rPr>
        <w:t>en</w:t>
      </w:r>
      <w:r w:rsidR="009F4069">
        <w:rPr>
          <w:rFonts w:ascii="Arial" w:hAnsi="Arial" w:cs="Arial"/>
          <w:sz w:val="24"/>
          <w:szCs w:val="24"/>
        </w:rPr>
        <w:t xml:space="preserve"> los últimos 36 meses</w:t>
      </w:r>
      <w:r w:rsidR="007B34AD">
        <w:rPr>
          <w:rFonts w:ascii="Arial" w:hAnsi="Arial" w:cs="Arial"/>
          <w:sz w:val="24"/>
          <w:szCs w:val="24"/>
        </w:rPr>
        <w:t xml:space="preserve"> de los siguientes </w:t>
      </w:r>
      <w:r w:rsidR="00CA0DE0">
        <w:rPr>
          <w:rFonts w:ascii="Arial" w:hAnsi="Arial" w:cs="Arial"/>
          <w:sz w:val="24"/>
          <w:szCs w:val="24"/>
        </w:rPr>
        <w:t>organismos</w:t>
      </w:r>
      <w:r w:rsidR="009655C4">
        <w:rPr>
          <w:rFonts w:ascii="Arial" w:hAnsi="Arial" w:cs="Arial"/>
          <w:sz w:val="24"/>
          <w:szCs w:val="24"/>
        </w:rPr>
        <w:t xml:space="preserve">: </w:t>
      </w:r>
      <w:r w:rsidR="00A63381">
        <w:rPr>
          <w:rFonts w:ascii="Arial" w:hAnsi="Arial" w:cs="Arial"/>
          <w:sz w:val="24"/>
          <w:szCs w:val="24"/>
        </w:rPr>
        <w:t xml:space="preserve">Administración Nacional de Combustibles Alcohol y Portland (ANCAP), </w:t>
      </w:r>
      <w:r w:rsidR="009655C4">
        <w:rPr>
          <w:rFonts w:ascii="Arial" w:hAnsi="Arial" w:cs="Arial"/>
          <w:sz w:val="24"/>
          <w:szCs w:val="24"/>
        </w:rPr>
        <w:t>Administración Nacional de Correos (ANC), Administración Nacional de Puertos (ANP)</w:t>
      </w:r>
      <w:r w:rsidR="00A63381">
        <w:rPr>
          <w:rFonts w:ascii="Arial" w:hAnsi="Arial" w:cs="Arial"/>
          <w:sz w:val="24"/>
          <w:szCs w:val="24"/>
        </w:rPr>
        <w:t>, Administración Nacional de Telecomunicaciones (ANTEL)</w:t>
      </w:r>
      <w:r w:rsidR="00A37242">
        <w:rPr>
          <w:rFonts w:ascii="Arial" w:hAnsi="Arial" w:cs="Arial"/>
          <w:sz w:val="24"/>
          <w:szCs w:val="24"/>
        </w:rPr>
        <w:t xml:space="preserve">, </w:t>
      </w:r>
      <w:r w:rsidR="009655C4">
        <w:rPr>
          <w:rFonts w:ascii="Arial" w:hAnsi="Arial" w:cs="Arial"/>
          <w:sz w:val="24"/>
          <w:szCs w:val="24"/>
        </w:rPr>
        <w:t xml:space="preserve">Agencia Nacional de Vivienda (ANV), Banco Hipotecario del Uruguay (BHU), Banco de Previsión Social (BPS), </w:t>
      </w:r>
      <w:r w:rsidR="00BF4CA1">
        <w:rPr>
          <w:rFonts w:ascii="Arial" w:hAnsi="Arial" w:cs="Arial"/>
          <w:sz w:val="24"/>
          <w:szCs w:val="24"/>
        </w:rPr>
        <w:t>Banco de la República Oriental del Uruguay (BROU), Banco de Seguros del Estado (BSE),</w:t>
      </w:r>
      <w:r w:rsidR="00CA24DC">
        <w:rPr>
          <w:rFonts w:ascii="Arial" w:hAnsi="Arial" w:cs="Arial"/>
          <w:sz w:val="24"/>
          <w:szCs w:val="24"/>
        </w:rPr>
        <w:t xml:space="preserve"> </w:t>
      </w:r>
      <w:r w:rsidR="00A37242">
        <w:rPr>
          <w:rFonts w:ascii="Arial" w:hAnsi="Arial" w:cs="Arial"/>
          <w:sz w:val="24"/>
          <w:szCs w:val="24"/>
        </w:rPr>
        <w:lastRenderedPageBreak/>
        <w:t>Obras Sanitarias del Estado (OSE)</w:t>
      </w:r>
      <w:r w:rsidR="00570CAE">
        <w:rPr>
          <w:rFonts w:ascii="Arial" w:hAnsi="Arial" w:cs="Arial"/>
          <w:sz w:val="24"/>
          <w:szCs w:val="24"/>
        </w:rPr>
        <w:t xml:space="preserve"> y</w:t>
      </w:r>
      <w:r w:rsidR="00CA0DE0">
        <w:rPr>
          <w:rFonts w:ascii="Arial" w:hAnsi="Arial" w:cs="Arial"/>
          <w:sz w:val="24"/>
          <w:szCs w:val="24"/>
        </w:rPr>
        <w:t xml:space="preserve"> Administración Nacional de Usinas y Trasmisiones Eléctricas (UTE)</w:t>
      </w:r>
      <w:r w:rsidR="00BE5CCD">
        <w:rPr>
          <w:rFonts w:ascii="Arial" w:hAnsi="Arial" w:cs="Arial"/>
          <w:sz w:val="24"/>
          <w:szCs w:val="24"/>
        </w:rPr>
        <w:t>.</w:t>
      </w:r>
    </w:p>
    <w:p w:rsidR="00EA2F37" w:rsidRDefault="008D2DFD" w:rsidP="00456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A63381">
        <w:rPr>
          <w:rFonts w:ascii="Arial" w:hAnsi="Arial" w:cs="Arial"/>
          <w:sz w:val="24"/>
          <w:szCs w:val="24"/>
        </w:rPr>
        <w:t xml:space="preserve">Se deja constancia que </w:t>
      </w:r>
      <w:r w:rsidR="00B50280">
        <w:rPr>
          <w:rFonts w:ascii="Arial" w:hAnsi="Arial" w:cs="Arial"/>
          <w:sz w:val="24"/>
          <w:szCs w:val="24"/>
        </w:rPr>
        <w:t>la</w:t>
      </w:r>
      <w:r w:rsidR="00A63381">
        <w:rPr>
          <w:rFonts w:ascii="Arial" w:hAnsi="Arial" w:cs="Arial"/>
          <w:sz w:val="24"/>
          <w:szCs w:val="24"/>
        </w:rPr>
        <w:t xml:space="preserve"> Administración de Ferrocarriles del Estado (AFE), </w:t>
      </w:r>
      <w:r w:rsidR="00B50280">
        <w:rPr>
          <w:rFonts w:ascii="Arial" w:hAnsi="Arial" w:cs="Arial"/>
          <w:sz w:val="24"/>
          <w:szCs w:val="24"/>
        </w:rPr>
        <w:t xml:space="preserve">el </w:t>
      </w:r>
      <w:r w:rsidR="009655C4">
        <w:rPr>
          <w:rFonts w:ascii="Arial" w:hAnsi="Arial" w:cs="Arial"/>
          <w:sz w:val="24"/>
          <w:szCs w:val="24"/>
        </w:rPr>
        <w:t>Banco Central del Uruguay (BCU),</w:t>
      </w:r>
      <w:r w:rsidR="00A63381">
        <w:rPr>
          <w:rFonts w:ascii="Arial" w:hAnsi="Arial" w:cs="Arial"/>
          <w:sz w:val="24"/>
          <w:szCs w:val="24"/>
        </w:rPr>
        <w:t xml:space="preserve"> </w:t>
      </w:r>
      <w:r w:rsidR="00B50280">
        <w:rPr>
          <w:rFonts w:ascii="Arial" w:hAnsi="Arial" w:cs="Arial"/>
          <w:sz w:val="24"/>
          <w:szCs w:val="24"/>
        </w:rPr>
        <w:t xml:space="preserve">el </w:t>
      </w:r>
      <w:r w:rsidR="00A37242">
        <w:rPr>
          <w:rFonts w:ascii="Arial" w:hAnsi="Arial" w:cs="Arial"/>
          <w:sz w:val="24"/>
          <w:szCs w:val="24"/>
        </w:rPr>
        <w:t>Instituto Nacional de Colonización (INC)</w:t>
      </w:r>
      <w:r w:rsidR="00570CAE">
        <w:rPr>
          <w:rFonts w:ascii="Arial" w:hAnsi="Arial" w:cs="Arial"/>
          <w:sz w:val="24"/>
          <w:szCs w:val="24"/>
        </w:rPr>
        <w:t xml:space="preserve"> y</w:t>
      </w:r>
      <w:r w:rsidR="00A63381">
        <w:rPr>
          <w:rFonts w:ascii="Arial" w:hAnsi="Arial" w:cs="Arial"/>
          <w:sz w:val="24"/>
          <w:szCs w:val="24"/>
        </w:rPr>
        <w:t xml:space="preserve"> </w:t>
      </w:r>
      <w:r w:rsidR="00A37242">
        <w:rPr>
          <w:rFonts w:ascii="Arial" w:hAnsi="Arial" w:cs="Arial"/>
          <w:sz w:val="24"/>
          <w:szCs w:val="24"/>
        </w:rPr>
        <w:t>Primeras Líneas Uruguayas de Navegación Aérea (PLUNA)</w:t>
      </w:r>
      <w:r w:rsidR="00A63381">
        <w:rPr>
          <w:rFonts w:ascii="Arial" w:hAnsi="Arial" w:cs="Arial"/>
          <w:sz w:val="24"/>
          <w:szCs w:val="24"/>
        </w:rPr>
        <w:t xml:space="preserve"> no han contratado publicidad por lo que no han remitido las rendiciones correspondientes.</w:t>
      </w:r>
    </w:p>
    <w:p w:rsidR="00914FEC" w:rsidRDefault="008D2DFD" w:rsidP="00456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914FEC">
        <w:rPr>
          <w:rFonts w:ascii="Arial" w:hAnsi="Arial" w:cs="Arial"/>
          <w:sz w:val="24"/>
          <w:szCs w:val="24"/>
        </w:rPr>
        <w:t xml:space="preserve">Con respecto al Numeral 2 </w:t>
      </w:r>
      <w:r>
        <w:rPr>
          <w:rFonts w:ascii="Arial" w:hAnsi="Arial" w:cs="Arial"/>
          <w:sz w:val="24"/>
          <w:szCs w:val="24"/>
        </w:rPr>
        <w:t xml:space="preserve">de la solicitud </w:t>
      </w:r>
      <w:r w:rsidR="00914FEC">
        <w:rPr>
          <w:rFonts w:ascii="Arial" w:hAnsi="Arial" w:cs="Arial"/>
          <w:sz w:val="24"/>
          <w:szCs w:val="24"/>
        </w:rPr>
        <w:t>se adjunta una planilla discriminada por organismo, en la que se detallan los importe</w:t>
      </w:r>
      <w:r w:rsidR="00912CB3">
        <w:rPr>
          <w:rFonts w:ascii="Arial" w:hAnsi="Arial" w:cs="Arial"/>
          <w:sz w:val="24"/>
          <w:szCs w:val="24"/>
        </w:rPr>
        <w:t>s</w:t>
      </w:r>
      <w:r w:rsidR="00914FEC">
        <w:rPr>
          <w:rFonts w:ascii="Arial" w:hAnsi="Arial" w:cs="Arial"/>
          <w:sz w:val="24"/>
          <w:szCs w:val="24"/>
        </w:rPr>
        <w:t xml:space="preserve"> contratados de </w:t>
      </w:r>
      <w:r w:rsidR="00912CB3">
        <w:rPr>
          <w:rFonts w:ascii="Arial" w:hAnsi="Arial" w:cs="Arial"/>
          <w:sz w:val="24"/>
          <w:szCs w:val="24"/>
        </w:rPr>
        <w:t>publicidad (ANEXO II).</w:t>
      </w:r>
    </w:p>
    <w:p w:rsidR="00365442" w:rsidRDefault="008D2DFD" w:rsidP="00456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2DFD">
        <w:rPr>
          <w:rFonts w:ascii="Arial" w:hAnsi="Arial" w:cs="Arial"/>
          <w:sz w:val="24"/>
          <w:szCs w:val="24"/>
        </w:rPr>
        <w:t xml:space="preserve">7) </w:t>
      </w:r>
      <w:r w:rsidR="00365442" w:rsidRPr="008D2DFD">
        <w:rPr>
          <w:rFonts w:ascii="Arial" w:hAnsi="Arial" w:cs="Arial"/>
          <w:sz w:val="24"/>
          <w:szCs w:val="24"/>
        </w:rPr>
        <w:t xml:space="preserve">En </w:t>
      </w:r>
      <w:r w:rsidR="00777D3C">
        <w:rPr>
          <w:rFonts w:ascii="Arial" w:hAnsi="Arial" w:cs="Arial"/>
          <w:sz w:val="24"/>
          <w:szCs w:val="24"/>
        </w:rPr>
        <w:t>relación</w:t>
      </w:r>
      <w:r w:rsidR="00365442" w:rsidRPr="008D2DFD">
        <w:rPr>
          <w:rFonts w:ascii="Arial" w:hAnsi="Arial" w:cs="Arial"/>
          <w:sz w:val="24"/>
          <w:szCs w:val="24"/>
        </w:rPr>
        <w:t xml:space="preserve"> a lo solicitado en el Numeral 3</w:t>
      </w:r>
      <w:r w:rsidR="00B44204" w:rsidRPr="008D2DFD">
        <w:rPr>
          <w:rFonts w:ascii="Arial" w:hAnsi="Arial" w:cs="Arial"/>
          <w:sz w:val="24"/>
          <w:szCs w:val="24"/>
        </w:rPr>
        <w:t>, considerando lo mencionado anteriormente, no se han recibido rendiciones de cuentas de los organismos incluidos en el Poder Ejecutivo</w:t>
      </w:r>
      <w:r w:rsidR="00365442" w:rsidRPr="008D2DFD">
        <w:rPr>
          <w:rFonts w:ascii="Arial" w:hAnsi="Arial" w:cs="Arial"/>
          <w:sz w:val="24"/>
          <w:szCs w:val="24"/>
        </w:rPr>
        <w:t>.</w:t>
      </w:r>
      <w:r w:rsidR="00657CD9" w:rsidRPr="008D2DFD">
        <w:rPr>
          <w:rFonts w:ascii="Arial" w:hAnsi="Arial" w:cs="Arial"/>
          <w:sz w:val="24"/>
          <w:szCs w:val="24"/>
        </w:rPr>
        <w:t xml:space="preserve"> Este Tribunal no ha realizado acciones al respecto.</w:t>
      </w:r>
    </w:p>
    <w:p w:rsidR="000C3FC8" w:rsidRDefault="00777D3C" w:rsidP="00456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0C3FC8">
        <w:rPr>
          <w:rFonts w:ascii="Arial" w:hAnsi="Arial" w:cs="Arial"/>
          <w:sz w:val="24"/>
          <w:szCs w:val="24"/>
        </w:rPr>
        <w:t xml:space="preserve">Por último, con </w:t>
      </w:r>
      <w:r>
        <w:rPr>
          <w:rFonts w:ascii="Arial" w:hAnsi="Arial" w:cs="Arial"/>
          <w:sz w:val="24"/>
          <w:szCs w:val="24"/>
        </w:rPr>
        <w:t>respecto</w:t>
      </w:r>
      <w:r w:rsidR="000C3FC8">
        <w:rPr>
          <w:rFonts w:ascii="Arial" w:hAnsi="Arial" w:cs="Arial"/>
          <w:sz w:val="24"/>
          <w:szCs w:val="24"/>
        </w:rPr>
        <w:t xml:space="preserve"> al Numeral 4, se señala que no se tiene conocimiento que no se hayan intervenido gastos por incumplimiento del inciso tercero del artículo 26 de la Ley N° 18.172 de 31/08/2007.</w:t>
      </w:r>
    </w:p>
    <w:p w:rsidR="00CE2EB1" w:rsidRPr="00A37242" w:rsidRDefault="00FD47EE" w:rsidP="0045615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Saludamos </w:t>
      </w:r>
      <w:r w:rsidR="005B5B7D">
        <w:rPr>
          <w:rFonts w:ascii="Arial" w:hAnsi="Arial" w:cs="Arial"/>
          <w:sz w:val="24"/>
          <w:szCs w:val="24"/>
        </w:rPr>
        <w:t xml:space="preserve"> a Usted </w:t>
      </w:r>
      <w:r w:rsidR="00777D3C">
        <w:rPr>
          <w:rFonts w:ascii="Arial" w:hAnsi="Arial" w:cs="Arial"/>
          <w:sz w:val="24"/>
          <w:szCs w:val="24"/>
        </w:rPr>
        <w:t>atentamente</w:t>
      </w:r>
    </w:p>
    <w:p w:rsidR="0045615C" w:rsidRPr="00A37242" w:rsidRDefault="005B5B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45615C" w:rsidRPr="00A37242" w:rsidSect="005B5B7D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5C" w:rsidRDefault="0045615C" w:rsidP="00A37242">
      <w:pPr>
        <w:spacing w:after="0" w:line="240" w:lineRule="auto"/>
      </w:pPr>
      <w:r>
        <w:separator/>
      </w:r>
    </w:p>
  </w:endnote>
  <w:endnote w:type="continuationSeparator" w:id="0">
    <w:p w:rsidR="0045615C" w:rsidRDefault="0045615C" w:rsidP="00A3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364114"/>
      <w:docPartObj>
        <w:docPartGallery w:val="Page Numbers (Bottom of Page)"/>
        <w:docPartUnique/>
      </w:docPartObj>
    </w:sdtPr>
    <w:sdtEndPr/>
    <w:sdtContent>
      <w:p w:rsidR="0045615C" w:rsidRDefault="004561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0B4" w:rsidRPr="00E230B4">
          <w:rPr>
            <w:noProof/>
            <w:lang w:val="es-ES"/>
          </w:rPr>
          <w:t>1</w:t>
        </w:r>
        <w:r>
          <w:fldChar w:fldCharType="end"/>
        </w:r>
      </w:p>
    </w:sdtContent>
  </w:sdt>
  <w:p w:rsidR="0045615C" w:rsidRDefault="004561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5C" w:rsidRDefault="0045615C" w:rsidP="00A37242">
      <w:pPr>
        <w:spacing w:after="0" w:line="240" w:lineRule="auto"/>
      </w:pPr>
      <w:r>
        <w:separator/>
      </w:r>
    </w:p>
  </w:footnote>
  <w:footnote w:type="continuationSeparator" w:id="0">
    <w:p w:rsidR="0045615C" w:rsidRDefault="0045615C" w:rsidP="00A3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502F"/>
    <w:multiLevelType w:val="hybridMultilevel"/>
    <w:tmpl w:val="9EB058A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D0C84"/>
    <w:multiLevelType w:val="hybridMultilevel"/>
    <w:tmpl w:val="24845D5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51BF1"/>
    <w:multiLevelType w:val="hybridMultilevel"/>
    <w:tmpl w:val="FC2CF0E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B1"/>
    <w:rsid w:val="00003E26"/>
    <w:rsid w:val="000610E4"/>
    <w:rsid w:val="00086508"/>
    <w:rsid w:val="000C34C1"/>
    <w:rsid w:val="000C3FC8"/>
    <w:rsid w:val="000E33D2"/>
    <w:rsid w:val="001323D4"/>
    <w:rsid w:val="001A7650"/>
    <w:rsid w:val="002A3FF8"/>
    <w:rsid w:val="002D2ED1"/>
    <w:rsid w:val="00302D5B"/>
    <w:rsid w:val="00365442"/>
    <w:rsid w:val="003C56F9"/>
    <w:rsid w:val="00421311"/>
    <w:rsid w:val="0045615C"/>
    <w:rsid w:val="00507636"/>
    <w:rsid w:val="0051685B"/>
    <w:rsid w:val="00570CAE"/>
    <w:rsid w:val="00591C7A"/>
    <w:rsid w:val="005B5B7D"/>
    <w:rsid w:val="005D4B92"/>
    <w:rsid w:val="00620DCE"/>
    <w:rsid w:val="00650FF2"/>
    <w:rsid w:val="00657CD9"/>
    <w:rsid w:val="00777D3C"/>
    <w:rsid w:val="007A322C"/>
    <w:rsid w:val="007B34AD"/>
    <w:rsid w:val="007B50AB"/>
    <w:rsid w:val="00802AE8"/>
    <w:rsid w:val="00817190"/>
    <w:rsid w:val="0088284D"/>
    <w:rsid w:val="008D2DFD"/>
    <w:rsid w:val="00912CB3"/>
    <w:rsid w:val="00914FEC"/>
    <w:rsid w:val="009655C4"/>
    <w:rsid w:val="009F4069"/>
    <w:rsid w:val="00A37242"/>
    <w:rsid w:val="00A46C64"/>
    <w:rsid w:val="00A63381"/>
    <w:rsid w:val="00AD20B1"/>
    <w:rsid w:val="00B37CD4"/>
    <w:rsid w:val="00B44204"/>
    <w:rsid w:val="00B50280"/>
    <w:rsid w:val="00B82093"/>
    <w:rsid w:val="00BB452E"/>
    <w:rsid w:val="00BE5CCD"/>
    <w:rsid w:val="00BF4CA1"/>
    <w:rsid w:val="00C921AD"/>
    <w:rsid w:val="00CA0DE0"/>
    <w:rsid w:val="00CA24DC"/>
    <w:rsid w:val="00CD485D"/>
    <w:rsid w:val="00CE2EB1"/>
    <w:rsid w:val="00CE778F"/>
    <w:rsid w:val="00D05B36"/>
    <w:rsid w:val="00D222AE"/>
    <w:rsid w:val="00D36437"/>
    <w:rsid w:val="00D71CF3"/>
    <w:rsid w:val="00DA4806"/>
    <w:rsid w:val="00DB6CCF"/>
    <w:rsid w:val="00DD4C1B"/>
    <w:rsid w:val="00E230B4"/>
    <w:rsid w:val="00E95642"/>
    <w:rsid w:val="00EA2F37"/>
    <w:rsid w:val="00FB4DD4"/>
    <w:rsid w:val="00FD47EE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0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242"/>
  </w:style>
  <w:style w:type="paragraph" w:styleId="Piedepgina">
    <w:name w:val="footer"/>
    <w:basedOn w:val="Normal"/>
    <w:link w:val="Piedepgina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0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242"/>
  </w:style>
  <w:style w:type="paragraph" w:styleId="Piedepgina">
    <w:name w:val="footer"/>
    <w:basedOn w:val="Normal"/>
    <w:link w:val="Piedepgina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3</cp:revision>
  <cp:lastPrinted>2017-05-16T19:52:00Z</cp:lastPrinted>
  <dcterms:created xsi:type="dcterms:W3CDTF">2017-05-30T16:44:00Z</dcterms:created>
  <dcterms:modified xsi:type="dcterms:W3CDTF">2017-09-25T18:48:00Z</dcterms:modified>
</cp:coreProperties>
</file>