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2B5" w:rsidRPr="00161683" w:rsidRDefault="00C462B5" w:rsidP="00C462B5">
      <w:pPr>
        <w:tabs>
          <w:tab w:val="center" w:pos="4253"/>
        </w:tabs>
        <w:suppressAutoHyphens/>
        <w:jc w:val="right"/>
        <w:rPr>
          <w:rFonts w:cs="Arial"/>
          <w:b/>
          <w:lang w:val="es-ES_tradnl"/>
        </w:rPr>
      </w:pPr>
      <w:bookmarkStart w:id="0" w:name="_GoBack"/>
      <w:bookmarkEnd w:id="0"/>
      <w:r>
        <w:rPr>
          <w:rFonts w:cs="Arial"/>
          <w:b/>
          <w:lang w:val="es-ES_tradnl"/>
        </w:rPr>
        <w:t>RES.</w:t>
      </w:r>
      <w:r w:rsidR="00B25DC9">
        <w:rPr>
          <w:rFonts w:cs="Arial"/>
          <w:b/>
          <w:lang w:val="es-ES_tradnl"/>
        </w:rPr>
        <w:t xml:space="preserve"> </w:t>
      </w:r>
      <w:r>
        <w:rPr>
          <w:rFonts w:cs="Arial"/>
          <w:b/>
          <w:lang w:val="es-ES_tradnl"/>
        </w:rPr>
        <w:t>Nº 2421/17</w:t>
      </w:r>
    </w:p>
    <w:p w:rsidR="00C462B5" w:rsidRDefault="00C462B5" w:rsidP="00C462B5">
      <w:pPr>
        <w:tabs>
          <w:tab w:val="center" w:pos="4253"/>
        </w:tabs>
        <w:suppressAutoHyphens/>
        <w:jc w:val="center"/>
        <w:rPr>
          <w:rFonts w:cs="Arial"/>
          <w:b/>
          <w:lang w:val="es-ES_tradnl"/>
        </w:rPr>
      </w:pPr>
    </w:p>
    <w:p w:rsidR="00C462B5" w:rsidRPr="004746D1" w:rsidRDefault="00C462B5" w:rsidP="00C462B5">
      <w:pPr>
        <w:tabs>
          <w:tab w:val="center" w:pos="4253"/>
        </w:tabs>
        <w:suppressAutoHyphens/>
        <w:jc w:val="center"/>
        <w:rPr>
          <w:rFonts w:cs="Arial"/>
          <w:b/>
          <w:lang w:val="es-ES_tradnl"/>
        </w:rPr>
      </w:pPr>
      <w:r w:rsidRPr="004746D1">
        <w:rPr>
          <w:rFonts w:cs="Arial"/>
          <w:b/>
          <w:lang w:val="es-ES_tradnl"/>
        </w:rPr>
        <w:t>RESOLUCION ADOPTADA POR EL</w:t>
      </w:r>
    </w:p>
    <w:p w:rsidR="00C462B5" w:rsidRPr="004746D1" w:rsidRDefault="00C462B5" w:rsidP="00C462B5">
      <w:pPr>
        <w:tabs>
          <w:tab w:val="left" w:pos="-720"/>
        </w:tabs>
        <w:suppressAutoHyphens/>
        <w:jc w:val="center"/>
        <w:rPr>
          <w:rFonts w:cs="Arial"/>
          <w:b/>
          <w:lang w:val="es-ES_tradnl"/>
        </w:rPr>
      </w:pPr>
    </w:p>
    <w:p w:rsidR="00C462B5" w:rsidRPr="004746D1" w:rsidRDefault="00C462B5" w:rsidP="00C462B5">
      <w:pPr>
        <w:tabs>
          <w:tab w:val="center" w:pos="4253"/>
        </w:tabs>
        <w:suppressAutoHyphens/>
        <w:jc w:val="center"/>
        <w:rPr>
          <w:rFonts w:cs="Arial"/>
          <w:b/>
          <w:lang w:val="es-ES_tradnl"/>
        </w:rPr>
      </w:pPr>
      <w:r w:rsidRPr="004746D1">
        <w:rPr>
          <w:rFonts w:cs="Arial"/>
          <w:b/>
          <w:lang w:val="es-ES_tradnl"/>
        </w:rPr>
        <w:t>TRIBUNAL DE CUENTAS</w:t>
      </w:r>
    </w:p>
    <w:p w:rsidR="00C462B5" w:rsidRPr="004746D1" w:rsidRDefault="00C462B5" w:rsidP="00C462B5">
      <w:pPr>
        <w:tabs>
          <w:tab w:val="left" w:pos="-720"/>
        </w:tabs>
        <w:suppressAutoHyphens/>
        <w:jc w:val="center"/>
        <w:rPr>
          <w:rFonts w:cs="Arial"/>
          <w:b/>
          <w:lang w:val="es-ES_tradnl"/>
        </w:rPr>
      </w:pPr>
    </w:p>
    <w:p w:rsidR="00C462B5" w:rsidRPr="004746D1" w:rsidRDefault="00C462B5" w:rsidP="00C462B5">
      <w:pPr>
        <w:tabs>
          <w:tab w:val="center" w:pos="4253"/>
        </w:tabs>
        <w:suppressAutoHyphens/>
        <w:jc w:val="center"/>
        <w:rPr>
          <w:rFonts w:cs="Arial"/>
          <w:b/>
          <w:lang w:val="es-ES_tradnl"/>
        </w:rPr>
      </w:pPr>
      <w:r w:rsidRPr="004746D1">
        <w:rPr>
          <w:rFonts w:cs="Arial"/>
          <w:b/>
          <w:lang w:val="es-ES_tradnl"/>
        </w:rPr>
        <w:t xml:space="preserve">EN SESION DE FECHA </w:t>
      </w:r>
      <w:r>
        <w:rPr>
          <w:rFonts w:cs="Arial"/>
          <w:b/>
          <w:lang w:val="es-ES_tradnl"/>
        </w:rPr>
        <w:t>2 DE AGOSTO DE 2017</w:t>
      </w:r>
    </w:p>
    <w:p w:rsidR="00C462B5" w:rsidRPr="004746D1" w:rsidRDefault="00C462B5" w:rsidP="00C462B5">
      <w:pPr>
        <w:tabs>
          <w:tab w:val="center" w:pos="4253"/>
        </w:tabs>
        <w:suppressAutoHyphens/>
        <w:jc w:val="center"/>
        <w:rPr>
          <w:rFonts w:cs="Arial"/>
          <w:b/>
          <w:lang w:val="es-ES_tradnl"/>
        </w:rPr>
      </w:pPr>
    </w:p>
    <w:p w:rsidR="00C462B5" w:rsidRPr="004746D1" w:rsidRDefault="00C462B5" w:rsidP="00C462B5">
      <w:pPr>
        <w:tabs>
          <w:tab w:val="center" w:pos="4253"/>
        </w:tabs>
        <w:suppressAutoHyphens/>
        <w:jc w:val="center"/>
        <w:rPr>
          <w:rFonts w:cs="Arial"/>
          <w:b/>
          <w:lang w:val="es-ES_tradnl"/>
        </w:rPr>
      </w:pPr>
      <w:r>
        <w:rPr>
          <w:rFonts w:cs="Arial"/>
          <w:b/>
          <w:lang w:val="es-ES_tradnl"/>
        </w:rPr>
        <w:t>(E.</w:t>
      </w:r>
      <w:r w:rsidR="00B25DC9">
        <w:rPr>
          <w:rFonts w:cs="Arial"/>
          <w:b/>
          <w:lang w:val="es-ES_tradnl"/>
        </w:rPr>
        <w:t xml:space="preserve"> </w:t>
      </w:r>
      <w:r>
        <w:rPr>
          <w:rFonts w:cs="Arial"/>
          <w:b/>
          <w:lang w:val="es-ES_tradnl"/>
        </w:rPr>
        <w:t>E.</w:t>
      </w:r>
      <w:r w:rsidR="00B25DC9">
        <w:rPr>
          <w:rFonts w:cs="Arial"/>
          <w:b/>
          <w:lang w:val="es-ES_tradnl"/>
        </w:rPr>
        <w:t xml:space="preserve"> </w:t>
      </w:r>
      <w:r>
        <w:rPr>
          <w:rFonts w:cs="Arial"/>
          <w:b/>
          <w:lang w:val="es-ES_tradnl"/>
        </w:rPr>
        <w:t>Nº 2017-17-1-0004495</w:t>
      </w:r>
      <w:r w:rsidRPr="004746D1">
        <w:rPr>
          <w:rFonts w:cs="Arial"/>
          <w:b/>
          <w:lang w:val="es-ES_tradnl"/>
        </w:rPr>
        <w:t xml:space="preserve">, </w:t>
      </w:r>
      <w:proofErr w:type="spellStart"/>
      <w:r w:rsidRPr="004746D1">
        <w:rPr>
          <w:rFonts w:cs="Arial"/>
          <w:b/>
          <w:lang w:val="es-ES_tradnl"/>
        </w:rPr>
        <w:t>E</w:t>
      </w:r>
      <w:r>
        <w:rPr>
          <w:rFonts w:cs="Arial"/>
          <w:b/>
          <w:lang w:val="es-ES_tradnl"/>
        </w:rPr>
        <w:t>nt</w:t>
      </w:r>
      <w:proofErr w:type="spellEnd"/>
      <w:r w:rsidRPr="004746D1">
        <w:rPr>
          <w:rFonts w:cs="Arial"/>
          <w:b/>
          <w:lang w:val="es-ES_tradnl"/>
        </w:rPr>
        <w:t>.</w:t>
      </w:r>
      <w:r w:rsidR="00B25DC9">
        <w:rPr>
          <w:rFonts w:cs="Arial"/>
          <w:b/>
          <w:lang w:val="es-ES_tradnl"/>
        </w:rPr>
        <w:t xml:space="preserve"> </w:t>
      </w:r>
      <w:r>
        <w:rPr>
          <w:rFonts w:cs="Arial"/>
          <w:b/>
          <w:lang w:val="es-ES_tradnl"/>
        </w:rPr>
        <w:t>N° 3572</w:t>
      </w:r>
      <w:r w:rsidRPr="004746D1">
        <w:rPr>
          <w:rFonts w:cs="Arial"/>
          <w:b/>
          <w:lang w:val="es-ES_tradnl"/>
        </w:rPr>
        <w:t>/</w:t>
      </w:r>
      <w:r>
        <w:rPr>
          <w:rFonts w:cs="Arial"/>
          <w:b/>
          <w:lang w:val="es-ES_tradnl"/>
        </w:rPr>
        <w:t>17</w:t>
      </w:r>
      <w:r w:rsidRPr="004746D1">
        <w:rPr>
          <w:rFonts w:cs="Arial"/>
          <w:b/>
          <w:lang w:val="es-ES_tradnl"/>
        </w:rPr>
        <w:t>)</w:t>
      </w:r>
    </w:p>
    <w:p w:rsidR="00C462B5" w:rsidRPr="004746D1" w:rsidRDefault="00C462B5" w:rsidP="00C462B5">
      <w:pPr>
        <w:tabs>
          <w:tab w:val="center" w:pos="4253"/>
        </w:tabs>
        <w:suppressAutoHyphens/>
        <w:jc w:val="center"/>
        <w:rPr>
          <w:rFonts w:cs="Arial"/>
          <w:spacing w:val="-3"/>
          <w:lang w:val="es-ES_tradnl"/>
        </w:rPr>
      </w:pPr>
    </w:p>
    <w:p w:rsidR="00074C00" w:rsidRDefault="00074C00" w:rsidP="00C462B5">
      <w:pPr>
        <w:rPr>
          <w:b/>
          <w:bCs/>
          <w:lang w:val="pt-BR"/>
        </w:rPr>
      </w:pPr>
    </w:p>
    <w:p w:rsidR="0076246A" w:rsidRDefault="0076246A" w:rsidP="00B25DC9">
      <w:pPr>
        <w:pStyle w:val="Textoindependiente"/>
        <w:ind w:firstLine="851"/>
      </w:pPr>
      <w:r>
        <w:rPr>
          <w:b/>
        </w:rPr>
        <w:t>VISTO:</w:t>
      </w:r>
      <w:r>
        <w:t xml:space="preserve"> el Proyecto de </w:t>
      </w:r>
      <w:r w:rsidR="000225F3">
        <w:t xml:space="preserve">Modificación </w:t>
      </w:r>
      <w:r>
        <w:t>Presupuest</w:t>
      </w:r>
      <w:r w:rsidR="000225F3">
        <w:t>al</w:t>
      </w:r>
      <w:r>
        <w:t xml:space="preserve"> de la Intendencia de Rivera para los </w:t>
      </w:r>
      <w:r w:rsidR="00C462B5">
        <w:t>E</w:t>
      </w:r>
      <w:r>
        <w:t>jercicios 201</w:t>
      </w:r>
      <w:r w:rsidR="000225F3">
        <w:t>8</w:t>
      </w:r>
      <w:r>
        <w:t xml:space="preserve"> -</w:t>
      </w:r>
      <w:r w:rsidR="00C462B5">
        <w:t xml:space="preserve"> </w:t>
      </w:r>
      <w:r>
        <w:t>2020;</w:t>
      </w:r>
    </w:p>
    <w:p w:rsidR="0076246A" w:rsidRDefault="0076246A" w:rsidP="00B25DC9">
      <w:pPr>
        <w:pStyle w:val="Textoindependiente"/>
        <w:ind w:firstLine="851"/>
      </w:pPr>
      <w:r>
        <w:rPr>
          <w:b/>
        </w:rPr>
        <w:t>CONSIDERANDO:</w:t>
      </w:r>
      <w:r>
        <w:t xml:space="preserve"> </w:t>
      </w:r>
      <w:r>
        <w:rPr>
          <w:b/>
        </w:rPr>
        <w:t xml:space="preserve">1) </w:t>
      </w:r>
      <w:r>
        <w:rPr>
          <w:bCs/>
        </w:rPr>
        <w:t>que se ha dado cumplimiento a lo dispuesto por los Artículos</w:t>
      </w:r>
      <w:r>
        <w:t xml:space="preserve"> 223 al 225 de la Constitución de la República;</w:t>
      </w:r>
    </w:p>
    <w:p w:rsidR="0076246A" w:rsidRDefault="0076246A" w:rsidP="00B25DC9">
      <w:pPr>
        <w:pStyle w:val="Textoindependiente"/>
        <w:ind w:firstLine="2977"/>
      </w:pPr>
      <w:r>
        <w:rPr>
          <w:b/>
          <w:bCs/>
        </w:rPr>
        <w:t>2)</w:t>
      </w:r>
      <w:r>
        <w:t xml:space="preserve"> que las conclusiones y evidencias obtenidas son las que se expresan en el Dictamen que se adjunta;</w:t>
      </w:r>
    </w:p>
    <w:p w:rsidR="0076246A" w:rsidRDefault="0076246A" w:rsidP="00B25DC9">
      <w:pPr>
        <w:pStyle w:val="Textoindependiente"/>
        <w:ind w:firstLine="851"/>
      </w:pPr>
      <w:r>
        <w:rPr>
          <w:b/>
        </w:rPr>
        <w:t>ATENTO:</w:t>
      </w:r>
      <w:r>
        <w:t xml:space="preserve"> a lo d</w:t>
      </w:r>
      <w:r w:rsidR="00C462B5">
        <w:t>ispuesto por los Artículos 211 L</w:t>
      </w:r>
      <w:r>
        <w:t>iteral A) y 225 de la Constitución de la República;</w:t>
      </w:r>
    </w:p>
    <w:p w:rsidR="0076246A" w:rsidRDefault="0076246A" w:rsidP="0076246A">
      <w:pPr>
        <w:pStyle w:val="Textoindependiente"/>
        <w:jc w:val="center"/>
        <w:rPr>
          <w:b/>
          <w:highlight w:val="yellow"/>
        </w:rPr>
      </w:pPr>
      <w:r>
        <w:rPr>
          <w:b/>
        </w:rPr>
        <w:t>EL TRIBUNAL ACUERDA</w:t>
      </w:r>
    </w:p>
    <w:p w:rsidR="0076246A" w:rsidRDefault="00DD4E40" w:rsidP="00DD4E40">
      <w:pPr>
        <w:pStyle w:val="Textoindependiente"/>
        <w:ind w:left="426" w:hanging="426"/>
      </w:pPr>
      <w:r>
        <w:rPr>
          <w:b/>
        </w:rPr>
        <w:t xml:space="preserve">1) </w:t>
      </w:r>
      <w:r w:rsidR="0076246A">
        <w:t xml:space="preserve">Emitir su pronunciamiento respecto al Proyecto de </w:t>
      </w:r>
      <w:r w:rsidR="000225F3">
        <w:t>Modificación Presupuestal</w:t>
      </w:r>
      <w:r w:rsidR="0076246A">
        <w:t xml:space="preserve"> de la Intendencia de Rivera</w:t>
      </w:r>
      <w:r w:rsidR="00C462B5">
        <w:t>,</w:t>
      </w:r>
      <w:r w:rsidR="0076246A">
        <w:t xml:space="preserve"> correspondiente al período 201</w:t>
      </w:r>
      <w:r w:rsidR="000225F3">
        <w:t>8</w:t>
      </w:r>
      <w:r w:rsidR="0076246A">
        <w:t>-2020 en los térmi</w:t>
      </w:r>
      <w:r w:rsidR="00C462B5">
        <w:t>nos del Dictamen que se adjunta;</w:t>
      </w:r>
    </w:p>
    <w:p w:rsidR="0076246A" w:rsidRPr="00826FA4" w:rsidRDefault="00C462B5" w:rsidP="00DD4E40">
      <w:pPr>
        <w:pStyle w:val="Textoindependiente"/>
        <w:ind w:left="426" w:hanging="426"/>
      </w:pPr>
      <w:r>
        <w:rPr>
          <w:b/>
        </w:rPr>
        <w:t xml:space="preserve">2) </w:t>
      </w:r>
      <w:r w:rsidR="00DD4E40">
        <w:rPr>
          <w:b/>
        </w:rPr>
        <w:t xml:space="preserve"> </w:t>
      </w:r>
      <w:r w:rsidR="0076246A" w:rsidRPr="00826FA4">
        <w:t>Observar el referido documento por lo expresado en</w:t>
      </w:r>
      <w:r w:rsidR="000225F3" w:rsidRPr="00826FA4">
        <w:t xml:space="preserve"> </w:t>
      </w:r>
      <w:r w:rsidR="00826FA4" w:rsidRPr="00826FA4">
        <w:t>e</w:t>
      </w:r>
      <w:r w:rsidR="000225F3" w:rsidRPr="00826FA4">
        <w:t>l párrafo</w:t>
      </w:r>
      <w:r w:rsidR="00826FA4" w:rsidRPr="00826FA4">
        <w:t xml:space="preserve"> </w:t>
      </w:r>
      <w:r w:rsidR="000225F3" w:rsidRPr="00826FA4">
        <w:t>4.3)</w:t>
      </w:r>
      <w:r w:rsidR="00826FA4" w:rsidRPr="00826FA4">
        <w:t xml:space="preserve"> </w:t>
      </w:r>
      <w:r>
        <w:t>del Dictamen;</w:t>
      </w:r>
    </w:p>
    <w:p w:rsidR="0076246A" w:rsidRPr="00826FA4" w:rsidRDefault="00C462B5" w:rsidP="00C462B5">
      <w:pPr>
        <w:pStyle w:val="Textoindependiente"/>
      </w:pPr>
      <w:r>
        <w:rPr>
          <w:b/>
        </w:rPr>
        <w:t xml:space="preserve">3) </w:t>
      </w:r>
      <w:r w:rsidR="00DD4E40">
        <w:rPr>
          <w:b/>
        </w:rPr>
        <w:t xml:space="preserve">  </w:t>
      </w:r>
      <w:r w:rsidR="0076246A" w:rsidRPr="00826FA4">
        <w:t xml:space="preserve">Téngase presente lo establecido en </w:t>
      </w:r>
      <w:r w:rsidR="00826FA4">
        <w:t>e</w:t>
      </w:r>
      <w:r w:rsidR="0076246A" w:rsidRPr="00826FA4">
        <w:t>l</w:t>
      </w:r>
      <w:r w:rsidR="00826FA4">
        <w:t xml:space="preserve"> </w:t>
      </w:r>
      <w:r w:rsidR="0076246A" w:rsidRPr="00826FA4">
        <w:t>párrafo</w:t>
      </w:r>
      <w:r w:rsidR="00826FA4">
        <w:t xml:space="preserve"> 4.2) </w:t>
      </w:r>
      <w:r>
        <w:t>del Dictamen;</w:t>
      </w:r>
    </w:p>
    <w:p w:rsidR="0076246A" w:rsidRDefault="00C462B5" w:rsidP="00C462B5">
      <w:pPr>
        <w:pStyle w:val="Textoindependiente"/>
      </w:pPr>
      <w:r>
        <w:rPr>
          <w:b/>
        </w:rPr>
        <w:t>4)</w:t>
      </w:r>
      <w:r w:rsidR="0076246A">
        <w:t xml:space="preserve"> </w:t>
      </w:r>
      <w:r w:rsidR="00DD4E40">
        <w:t xml:space="preserve">  </w:t>
      </w:r>
      <w:r w:rsidR="0076246A">
        <w:t>Comunicar la presente Resolución a la Intendencia de Rivera</w:t>
      </w:r>
      <w:r>
        <w:t>; y</w:t>
      </w:r>
    </w:p>
    <w:p w:rsidR="0076246A" w:rsidRDefault="00C462B5" w:rsidP="00C462B5">
      <w:pPr>
        <w:pStyle w:val="Textoindependiente"/>
      </w:pPr>
      <w:r>
        <w:rPr>
          <w:b/>
        </w:rPr>
        <w:t xml:space="preserve">5) </w:t>
      </w:r>
      <w:r w:rsidR="00DD4E40">
        <w:rPr>
          <w:b/>
        </w:rPr>
        <w:t xml:space="preserve">  </w:t>
      </w:r>
      <w:r w:rsidR="0076246A">
        <w:t>Devolver los antecedentes a la Junta Departamental de Rivera.</w:t>
      </w:r>
    </w:p>
    <w:p w:rsidR="00C462B5" w:rsidRDefault="00C462B5" w:rsidP="00C462B5">
      <w:pPr>
        <w:pStyle w:val="Textoindependiente"/>
      </w:pPr>
    </w:p>
    <w:p w:rsidR="00C462B5" w:rsidRDefault="00C462B5" w:rsidP="00C462B5">
      <w:pPr>
        <w:pStyle w:val="Textoindependiente"/>
      </w:pPr>
      <w:proofErr w:type="spellStart"/>
      <w:proofErr w:type="gramStart"/>
      <w:r>
        <w:t>lc</w:t>
      </w:r>
      <w:proofErr w:type="spellEnd"/>
      <w:proofErr w:type="gramEnd"/>
    </w:p>
    <w:p w:rsidR="00B25DC9" w:rsidRDefault="00B25DC9" w:rsidP="00C462B5">
      <w:pPr>
        <w:pStyle w:val="Textoindependiente"/>
      </w:pPr>
    </w:p>
    <w:p w:rsidR="00B25DC9" w:rsidRDefault="00B25DC9" w:rsidP="00C462B5">
      <w:pPr>
        <w:pStyle w:val="Textoindependiente"/>
      </w:pPr>
    </w:p>
    <w:p w:rsidR="00B25DC9" w:rsidRDefault="00B25DC9" w:rsidP="00C462B5">
      <w:pPr>
        <w:pStyle w:val="Textoindependiente"/>
      </w:pPr>
    </w:p>
    <w:p w:rsidR="00B25DC9" w:rsidRDefault="00B25DC9">
      <w:pPr>
        <w:pStyle w:val="Ttulo1"/>
        <w:spacing w:line="360" w:lineRule="auto"/>
      </w:pPr>
      <w:r>
        <w:lastRenderedPageBreak/>
        <w:t>DICTAMEN</w:t>
      </w:r>
    </w:p>
    <w:p w:rsidR="00B25DC9" w:rsidRDefault="00B25DC9">
      <w:pPr>
        <w:pStyle w:val="Ttulo2"/>
        <w:tabs>
          <w:tab w:val="left" w:pos="7080"/>
        </w:tabs>
      </w:pPr>
    </w:p>
    <w:p w:rsidR="00B25DC9" w:rsidRDefault="00B25DC9">
      <w:pPr>
        <w:rPr>
          <w:b/>
        </w:rPr>
      </w:pPr>
    </w:p>
    <w:p w:rsidR="00B25DC9" w:rsidRDefault="00B25DC9" w:rsidP="00834895">
      <w:pPr>
        <w:tabs>
          <w:tab w:val="left" w:pos="709"/>
        </w:tabs>
        <w:spacing w:line="360" w:lineRule="auto"/>
        <w:ind w:firstLine="709"/>
        <w:jc w:val="both"/>
      </w:pPr>
      <w:r>
        <w:t>El Tribunal de Cuentas ha examinado el Proyecto de Modificación Presupuestal para el período 2018-2020 de la Intendencia de Rivera.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establecer, en caso que corresponda, los hallazgos realizados en relación con el cumplimiento de las normas constitucionales, legales y reglamen</w:t>
      </w:r>
      <w:r w:rsidR="00CD299A">
        <w:t>tarias que resulten aplicables.</w:t>
      </w:r>
    </w:p>
    <w:p w:rsidR="00B25DC9" w:rsidRDefault="00B25DC9">
      <w:pPr>
        <w:spacing w:line="360" w:lineRule="auto"/>
        <w:jc w:val="both"/>
        <w:rPr>
          <w:rFonts w:cs="Arial"/>
          <w:b/>
        </w:rPr>
      </w:pPr>
      <w:r>
        <w:rPr>
          <w:rFonts w:cs="Arial"/>
          <w:b/>
        </w:rPr>
        <w:t>1) Antecedentes</w:t>
      </w:r>
    </w:p>
    <w:p w:rsidR="00B25DC9" w:rsidRDefault="00B25DC9" w:rsidP="0038063B">
      <w:pPr>
        <w:spacing w:line="360" w:lineRule="auto"/>
        <w:jc w:val="both"/>
        <w:rPr>
          <w:rFonts w:cs="Arial"/>
          <w:bCs/>
          <w:snapToGrid w:val="0"/>
          <w:szCs w:val="20"/>
          <w:lang w:val="es-ES_tradnl"/>
        </w:rPr>
      </w:pPr>
      <w:r w:rsidRPr="00586435">
        <w:rPr>
          <w:rFonts w:cs="Arial"/>
          <w:b/>
        </w:rPr>
        <w:t>1.1)</w:t>
      </w:r>
      <w:r>
        <w:rPr>
          <w:rFonts w:cs="Arial"/>
        </w:rPr>
        <w:t xml:space="preserve"> La Intendencia de Rivera, por Oficio Nº 965 del 30/06/2017, </w:t>
      </w:r>
      <w:r w:rsidRPr="00672354">
        <w:rPr>
          <w:rFonts w:cs="Arial"/>
          <w:bCs/>
          <w:snapToGrid w:val="0"/>
          <w:szCs w:val="20"/>
          <w:lang w:val="es-ES_tradnl"/>
        </w:rPr>
        <w:t xml:space="preserve">remitió la Iniciativa a la Junta Departamental dentro de los seis meses de vencido el </w:t>
      </w:r>
      <w:r>
        <w:rPr>
          <w:rFonts w:cs="Arial"/>
          <w:bCs/>
          <w:snapToGrid w:val="0"/>
          <w:szCs w:val="20"/>
          <w:lang w:val="es-ES_tradnl"/>
        </w:rPr>
        <w:t>E</w:t>
      </w:r>
      <w:r w:rsidRPr="00672354">
        <w:rPr>
          <w:rFonts w:cs="Arial"/>
          <w:bCs/>
          <w:snapToGrid w:val="0"/>
          <w:szCs w:val="20"/>
          <w:lang w:val="es-ES_tradnl"/>
        </w:rPr>
        <w:t>jercicio 201</w:t>
      </w:r>
      <w:r>
        <w:rPr>
          <w:rFonts w:cs="Arial"/>
          <w:bCs/>
          <w:snapToGrid w:val="0"/>
          <w:szCs w:val="20"/>
          <w:lang w:val="es-ES_tradnl"/>
        </w:rPr>
        <w:t>6</w:t>
      </w:r>
      <w:r w:rsidRPr="00672354">
        <w:rPr>
          <w:rFonts w:cs="Arial"/>
          <w:bCs/>
          <w:snapToGrid w:val="0"/>
          <w:szCs w:val="20"/>
          <w:lang w:val="es-ES_tradnl"/>
        </w:rPr>
        <w:t>, con arreglo a lo dispuesto por el Artículo 214 de la Cons</w:t>
      </w:r>
      <w:r>
        <w:rPr>
          <w:rFonts w:cs="Arial"/>
          <w:bCs/>
          <w:snapToGrid w:val="0"/>
          <w:szCs w:val="20"/>
          <w:lang w:val="es-ES_tradnl"/>
        </w:rPr>
        <w:t>titución de la República, aplicabl</w:t>
      </w:r>
      <w:r w:rsidRPr="00672354">
        <w:rPr>
          <w:rFonts w:cs="Arial"/>
          <w:bCs/>
          <w:snapToGrid w:val="0"/>
          <w:szCs w:val="20"/>
          <w:lang w:val="es-ES_tradnl"/>
        </w:rPr>
        <w:t>e por reenvío del Artículo 222 de la Constitución de la República.</w:t>
      </w:r>
    </w:p>
    <w:p w:rsidR="00B25DC9" w:rsidRDefault="00B25DC9">
      <w:pPr>
        <w:pStyle w:val="Textoindependiente2"/>
        <w:rPr>
          <w:rFonts w:ascii="Arial" w:hAnsi="Arial" w:cs="Arial"/>
        </w:rPr>
      </w:pPr>
      <w:r w:rsidRPr="00586435">
        <w:rPr>
          <w:rFonts w:ascii="Arial" w:hAnsi="Arial" w:cs="Arial"/>
          <w:b/>
        </w:rPr>
        <w:t>1.2)</w:t>
      </w:r>
      <w:r>
        <w:rPr>
          <w:rFonts w:ascii="Arial" w:hAnsi="Arial" w:cs="Arial"/>
        </w:rPr>
        <w:t xml:space="preserve"> Por</w:t>
      </w:r>
      <w:r w:rsidRPr="00294321">
        <w:rPr>
          <w:rFonts w:ascii="Arial" w:hAnsi="Arial" w:cs="Arial"/>
        </w:rPr>
        <w:t xml:space="preserve"> Oficio Nº 969/17 de fecha 03</w:t>
      </w:r>
      <w:r>
        <w:rPr>
          <w:rFonts w:ascii="Arial" w:hAnsi="Arial" w:cs="Arial"/>
        </w:rPr>
        <w:t>/</w:t>
      </w:r>
      <w:r w:rsidRPr="00294321">
        <w:rPr>
          <w:rFonts w:ascii="Arial" w:hAnsi="Arial" w:cs="Arial"/>
        </w:rPr>
        <w:t>07</w:t>
      </w:r>
      <w:r>
        <w:rPr>
          <w:rFonts w:ascii="Arial" w:hAnsi="Arial" w:cs="Arial"/>
        </w:rPr>
        <w:t>/20</w:t>
      </w:r>
      <w:r w:rsidRPr="00294321">
        <w:rPr>
          <w:rFonts w:ascii="Arial" w:hAnsi="Arial" w:cs="Arial"/>
        </w:rPr>
        <w:t xml:space="preserve">17, el Intendente </w:t>
      </w:r>
      <w:r>
        <w:rPr>
          <w:rFonts w:ascii="Arial" w:hAnsi="Arial" w:cs="Arial"/>
        </w:rPr>
        <w:t>remitió una nueva redacción al A</w:t>
      </w:r>
      <w:r w:rsidRPr="00294321">
        <w:rPr>
          <w:rFonts w:ascii="Arial" w:hAnsi="Arial" w:cs="Arial"/>
        </w:rPr>
        <w:t xml:space="preserve">rtículo 4º del </w:t>
      </w:r>
      <w:r>
        <w:rPr>
          <w:rFonts w:ascii="Arial" w:hAnsi="Arial" w:cs="Arial"/>
        </w:rPr>
        <w:t>P</w:t>
      </w:r>
      <w:r w:rsidRPr="00294321">
        <w:rPr>
          <w:rFonts w:ascii="Arial" w:hAnsi="Arial" w:cs="Arial"/>
        </w:rPr>
        <w:t>royecto, relativo a las multas por moras y las escalas para su aplicación.</w:t>
      </w:r>
    </w:p>
    <w:p w:rsidR="00B25DC9" w:rsidRDefault="00B25DC9">
      <w:pPr>
        <w:pStyle w:val="Textoindependiente2"/>
        <w:rPr>
          <w:rFonts w:ascii="Arial" w:hAnsi="Arial" w:cs="Arial"/>
        </w:rPr>
      </w:pPr>
      <w:r w:rsidRPr="00586435">
        <w:rPr>
          <w:rFonts w:ascii="Arial" w:hAnsi="Arial" w:cs="Arial"/>
          <w:b/>
        </w:rPr>
        <w:t>1.3)</w:t>
      </w:r>
      <w:r>
        <w:rPr>
          <w:rFonts w:ascii="Arial" w:hAnsi="Arial" w:cs="Arial"/>
        </w:rPr>
        <w:t xml:space="preserve"> El Legislativo Departamental, en sesión de fecha 11/07/2017, aprobó en general por unanimidad de 30 votos y, en particular, por las mayorías requeridas, el Proyecto de Modificación Presupuestal de la Intendencia.</w:t>
      </w:r>
    </w:p>
    <w:p w:rsidR="00B25DC9" w:rsidRDefault="00B25DC9">
      <w:pPr>
        <w:pStyle w:val="Textoindependiente2"/>
        <w:rPr>
          <w:rFonts w:ascii="Arial" w:hAnsi="Arial" w:cs="Arial"/>
        </w:rPr>
      </w:pPr>
      <w:r w:rsidRPr="00586435">
        <w:rPr>
          <w:rFonts w:ascii="Arial" w:hAnsi="Arial" w:cs="Arial"/>
          <w:b/>
        </w:rPr>
        <w:t>1.4)</w:t>
      </w:r>
      <w:r>
        <w:rPr>
          <w:rFonts w:ascii="Arial" w:hAnsi="Arial" w:cs="Arial"/>
        </w:rPr>
        <w:t xml:space="preserve"> Por Oficio N° 624/17 de fecha 12/07/2016, la Junta Departamental de Rivera remitió las actuaciones a efectos de recabar el Dictamen de este Tribunal, ingresando las mismas oficialmente en sesión del 19/07/2017 (Ordenanzas     </w:t>
      </w:r>
      <w:proofErr w:type="spellStart"/>
      <w:r>
        <w:rPr>
          <w:rFonts w:ascii="Arial" w:hAnsi="Arial" w:cs="Arial"/>
        </w:rPr>
        <w:t>Nros</w:t>
      </w:r>
      <w:proofErr w:type="spellEnd"/>
      <w:r>
        <w:rPr>
          <w:rFonts w:ascii="Arial" w:hAnsi="Arial" w:cs="Arial"/>
        </w:rPr>
        <w:t>. 51 de fecha 22/11/1972 y 70 de 20/07/1994).</w:t>
      </w:r>
    </w:p>
    <w:p w:rsidR="00B25DC9" w:rsidRDefault="00B25DC9">
      <w:pPr>
        <w:pStyle w:val="Textoindependiente2"/>
        <w:rPr>
          <w:rFonts w:ascii="Arial" w:hAnsi="Arial" w:cs="Arial"/>
        </w:rPr>
      </w:pPr>
    </w:p>
    <w:p w:rsidR="00B25DC9" w:rsidRDefault="00B25DC9">
      <w:pPr>
        <w:pStyle w:val="Textoindependiente2"/>
        <w:rPr>
          <w:rFonts w:ascii="Arial" w:hAnsi="Arial" w:cs="Arial"/>
        </w:rPr>
      </w:pPr>
    </w:p>
    <w:p w:rsidR="00B25DC9" w:rsidRDefault="00B25DC9" w:rsidP="00834895">
      <w:pPr>
        <w:spacing w:line="360" w:lineRule="auto"/>
        <w:jc w:val="both"/>
        <w:rPr>
          <w:b/>
        </w:rPr>
      </w:pPr>
      <w:r>
        <w:rPr>
          <w:b/>
          <w:lang w:val="es-ES_tradnl"/>
        </w:rPr>
        <w:lastRenderedPageBreak/>
        <w:t>2)</w:t>
      </w:r>
      <w:r>
        <w:rPr>
          <w:b/>
        </w:rPr>
        <w:t xml:space="preserve"> Análisis de las estimaciones de recursos</w:t>
      </w:r>
    </w:p>
    <w:p w:rsidR="00B25DC9" w:rsidRDefault="00B25DC9" w:rsidP="00834895">
      <w:pPr>
        <w:pStyle w:val="Textoindependiente"/>
      </w:pPr>
      <w:r w:rsidRPr="00586435">
        <w:rPr>
          <w:b/>
        </w:rPr>
        <w:t>2.1)</w:t>
      </w:r>
      <w:r>
        <w:t xml:space="preserve"> Las estimaciones de recursos para los ejercicios 2018 - 2020 se resumen, en pesos uruguayos expresados a valores de 2017, de acuerdo al siguiente detalle:</w:t>
      </w:r>
    </w:p>
    <w:tbl>
      <w:tblPr>
        <w:tblW w:w="8280" w:type="dxa"/>
        <w:tblInd w:w="70" w:type="dxa"/>
        <w:tblCellMar>
          <w:left w:w="70" w:type="dxa"/>
          <w:right w:w="70" w:type="dxa"/>
        </w:tblCellMar>
        <w:tblLook w:val="04A0" w:firstRow="1" w:lastRow="0" w:firstColumn="1" w:lastColumn="0" w:noHBand="0" w:noVBand="1"/>
      </w:tblPr>
      <w:tblGrid>
        <w:gridCol w:w="3916"/>
        <w:gridCol w:w="1476"/>
        <w:gridCol w:w="1444"/>
        <w:gridCol w:w="1444"/>
      </w:tblGrid>
      <w:tr w:rsidR="00B25DC9" w:rsidRPr="00C17725" w:rsidTr="00C17725">
        <w:trPr>
          <w:trHeight w:val="255"/>
        </w:trPr>
        <w:tc>
          <w:tcPr>
            <w:tcW w:w="3916" w:type="dxa"/>
            <w:tcBorders>
              <w:top w:val="nil"/>
              <w:left w:val="nil"/>
              <w:bottom w:val="nil"/>
              <w:right w:val="nil"/>
            </w:tcBorders>
            <w:shd w:val="clear" w:color="auto" w:fill="auto"/>
            <w:noWrap/>
            <w:vAlign w:val="center"/>
            <w:hideMark/>
          </w:tcPr>
          <w:p w:rsidR="00B25DC9" w:rsidRPr="00BE2A78" w:rsidRDefault="00B25DC9" w:rsidP="00C17725">
            <w:pPr>
              <w:rPr>
                <w:rFonts w:cs="Arial"/>
                <w:b/>
                <w:bCs/>
                <w:color w:val="000000"/>
                <w:sz w:val="18"/>
                <w:szCs w:val="18"/>
                <w:lang w:eastAsia="pt-BR"/>
              </w:rPr>
            </w:pPr>
            <w:r>
              <w:t xml:space="preserve"> </w:t>
            </w:r>
          </w:p>
        </w:tc>
        <w:tc>
          <w:tcPr>
            <w:tcW w:w="1476" w:type="dxa"/>
            <w:tcBorders>
              <w:top w:val="nil"/>
              <w:left w:val="nil"/>
              <w:bottom w:val="nil"/>
              <w:right w:val="nil"/>
            </w:tcBorders>
            <w:shd w:val="clear" w:color="auto" w:fill="auto"/>
            <w:noWrap/>
            <w:vAlign w:val="center"/>
            <w:hideMark/>
          </w:tcPr>
          <w:p w:rsidR="00B25DC9" w:rsidRPr="00C17725" w:rsidRDefault="00B25DC9" w:rsidP="00C17725">
            <w:pPr>
              <w:jc w:val="center"/>
              <w:rPr>
                <w:rFonts w:cs="Arial"/>
                <w:b/>
                <w:bCs/>
                <w:color w:val="000000"/>
                <w:sz w:val="18"/>
                <w:szCs w:val="18"/>
                <w:lang w:val="pt-BR" w:eastAsia="pt-BR"/>
              </w:rPr>
            </w:pPr>
            <w:r w:rsidRPr="00C17725">
              <w:rPr>
                <w:rFonts w:cs="Arial"/>
                <w:b/>
                <w:bCs/>
                <w:color w:val="000000"/>
                <w:sz w:val="18"/>
                <w:szCs w:val="18"/>
                <w:lang w:val="pt-BR" w:eastAsia="pt-BR"/>
              </w:rPr>
              <w:t>2018</w:t>
            </w:r>
          </w:p>
        </w:tc>
        <w:tc>
          <w:tcPr>
            <w:tcW w:w="1444" w:type="dxa"/>
            <w:tcBorders>
              <w:top w:val="nil"/>
              <w:left w:val="nil"/>
              <w:bottom w:val="nil"/>
              <w:right w:val="nil"/>
            </w:tcBorders>
            <w:shd w:val="clear" w:color="auto" w:fill="auto"/>
            <w:vAlign w:val="center"/>
            <w:hideMark/>
          </w:tcPr>
          <w:p w:rsidR="00B25DC9" w:rsidRPr="00C17725" w:rsidRDefault="00B25DC9" w:rsidP="00C17725">
            <w:pPr>
              <w:jc w:val="center"/>
              <w:rPr>
                <w:rFonts w:cs="Arial"/>
                <w:b/>
                <w:bCs/>
                <w:color w:val="000000"/>
                <w:sz w:val="18"/>
                <w:szCs w:val="18"/>
                <w:lang w:val="pt-BR" w:eastAsia="pt-BR"/>
              </w:rPr>
            </w:pPr>
            <w:r w:rsidRPr="00C17725">
              <w:rPr>
                <w:rFonts w:cs="Arial"/>
                <w:b/>
                <w:bCs/>
                <w:color w:val="000000"/>
                <w:sz w:val="18"/>
                <w:szCs w:val="18"/>
                <w:lang w:val="pt-BR" w:eastAsia="pt-BR"/>
              </w:rPr>
              <w:t>2019</w:t>
            </w:r>
          </w:p>
        </w:tc>
        <w:tc>
          <w:tcPr>
            <w:tcW w:w="1444" w:type="dxa"/>
            <w:tcBorders>
              <w:top w:val="nil"/>
              <w:left w:val="nil"/>
              <w:bottom w:val="nil"/>
              <w:right w:val="nil"/>
            </w:tcBorders>
            <w:shd w:val="clear" w:color="auto" w:fill="auto"/>
            <w:vAlign w:val="center"/>
            <w:hideMark/>
          </w:tcPr>
          <w:p w:rsidR="00B25DC9" w:rsidRPr="00C17725" w:rsidRDefault="00B25DC9" w:rsidP="00C17725">
            <w:pPr>
              <w:jc w:val="center"/>
              <w:rPr>
                <w:rFonts w:cs="Arial"/>
                <w:b/>
                <w:bCs/>
                <w:color w:val="000000"/>
                <w:sz w:val="18"/>
                <w:szCs w:val="18"/>
                <w:lang w:val="pt-BR" w:eastAsia="pt-BR"/>
              </w:rPr>
            </w:pPr>
            <w:r w:rsidRPr="00C17725">
              <w:rPr>
                <w:rFonts w:cs="Arial"/>
                <w:b/>
                <w:bCs/>
                <w:color w:val="000000"/>
                <w:sz w:val="18"/>
                <w:szCs w:val="18"/>
                <w:lang w:val="pt-BR" w:eastAsia="pt-BR"/>
              </w:rPr>
              <w:t>2020</w:t>
            </w:r>
          </w:p>
        </w:tc>
      </w:tr>
      <w:tr w:rsidR="00B25DC9" w:rsidRPr="00C17725" w:rsidTr="00C17725">
        <w:trPr>
          <w:trHeight w:val="255"/>
        </w:trPr>
        <w:tc>
          <w:tcPr>
            <w:tcW w:w="3916" w:type="dxa"/>
            <w:tcBorders>
              <w:top w:val="nil"/>
              <w:left w:val="nil"/>
              <w:bottom w:val="nil"/>
              <w:right w:val="nil"/>
            </w:tcBorders>
            <w:shd w:val="clear" w:color="auto" w:fill="auto"/>
            <w:noWrap/>
            <w:vAlign w:val="center"/>
            <w:hideMark/>
          </w:tcPr>
          <w:p w:rsidR="00B25DC9" w:rsidRPr="00C17725" w:rsidRDefault="00B25DC9" w:rsidP="00C17725">
            <w:pPr>
              <w:rPr>
                <w:rFonts w:cs="Arial"/>
                <w:color w:val="000000"/>
                <w:sz w:val="20"/>
                <w:szCs w:val="20"/>
                <w:lang w:val="pt-BR" w:eastAsia="pt-BR"/>
              </w:rPr>
            </w:pPr>
            <w:r w:rsidRPr="00C17725">
              <w:rPr>
                <w:rFonts w:cs="Arial"/>
                <w:color w:val="000000"/>
                <w:sz w:val="20"/>
                <w:szCs w:val="20"/>
                <w:lang w:val="pt-BR" w:eastAsia="pt-BR"/>
              </w:rPr>
              <w:t>Departamental</w:t>
            </w:r>
          </w:p>
        </w:tc>
        <w:tc>
          <w:tcPr>
            <w:tcW w:w="1476" w:type="dxa"/>
            <w:tcBorders>
              <w:top w:val="nil"/>
              <w:left w:val="nil"/>
              <w:bottom w:val="nil"/>
              <w:right w:val="nil"/>
            </w:tcBorders>
            <w:shd w:val="clear" w:color="auto" w:fill="auto"/>
            <w:noWrap/>
            <w:vAlign w:val="center"/>
            <w:hideMark/>
          </w:tcPr>
          <w:p w:rsidR="00B25DC9" w:rsidRPr="00C17725" w:rsidRDefault="00B25DC9" w:rsidP="00982E91">
            <w:pPr>
              <w:jc w:val="center"/>
              <w:rPr>
                <w:rFonts w:cs="Arial"/>
                <w:color w:val="000000"/>
                <w:sz w:val="20"/>
                <w:szCs w:val="20"/>
                <w:lang w:val="pt-BR" w:eastAsia="pt-BR"/>
              </w:rPr>
            </w:pPr>
            <w:r w:rsidRPr="00C17725">
              <w:rPr>
                <w:rFonts w:cs="Arial"/>
                <w:color w:val="000000"/>
                <w:sz w:val="20"/>
                <w:szCs w:val="20"/>
                <w:lang w:val="pt-BR" w:eastAsia="pt-BR"/>
              </w:rPr>
              <w:t>855.688.44</w:t>
            </w:r>
            <w:r>
              <w:rPr>
                <w:rFonts w:cs="Arial"/>
                <w:color w:val="000000"/>
                <w:sz w:val="20"/>
                <w:szCs w:val="20"/>
                <w:lang w:val="pt-BR" w:eastAsia="pt-BR"/>
              </w:rPr>
              <w:t>3</w:t>
            </w:r>
          </w:p>
        </w:tc>
        <w:tc>
          <w:tcPr>
            <w:tcW w:w="1444" w:type="dxa"/>
            <w:tcBorders>
              <w:top w:val="nil"/>
              <w:left w:val="nil"/>
              <w:bottom w:val="nil"/>
              <w:right w:val="nil"/>
            </w:tcBorders>
            <w:shd w:val="clear" w:color="auto" w:fill="auto"/>
            <w:noWrap/>
            <w:vAlign w:val="center"/>
            <w:hideMark/>
          </w:tcPr>
          <w:p w:rsidR="00B25DC9" w:rsidRPr="00C17725" w:rsidRDefault="00B25DC9" w:rsidP="00C17725">
            <w:pPr>
              <w:jc w:val="center"/>
              <w:rPr>
                <w:rFonts w:cs="Arial"/>
                <w:color w:val="000000"/>
                <w:sz w:val="20"/>
                <w:szCs w:val="20"/>
                <w:lang w:val="pt-BR" w:eastAsia="pt-BR"/>
              </w:rPr>
            </w:pPr>
            <w:r w:rsidRPr="00C17725">
              <w:rPr>
                <w:rFonts w:cs="Arial"/>
                <w:color w:val="000000"/>
                <w:sz w:val="20"/>
                <w:szCs w:val="20"/>
                <w:lang w:val="pt-BR" w:eastAsia="pt-BR"/>
              </w:rPr>
              <w:t>853.996.671</w:t>
            </w:r>
          </w:p>
        </w:tc>
        <w:tc>
          <w:tcPr>
            <w:tcW w:w="1444" w:type="dxa"/>
            <w:tcBorders>
              <w:top w:val="nil"/>
              <w:left w:val="nil"/>
              <w:bottom w:val="nil"/>
              <w:right w:val="nil"/>
            </w:tcBorders>
            <w:shd w:val="clear" w:color="auto" w:fill="auto"/>
            <w:noWrap/>
            <w:vAlign w:val="center"/>
            <w:hideMark/>
          </w:tcPr>
          <w:p w:rsidR="00B25DC9" w:rsidRPr="00C17725" w:rsidRDefault="00B25DC9" w:rsidP="00C17725">
            <w:pPr>
              <w:jc w:val="center"/>
              <w:rPr>
                <w:rFonts w:cs="Arial"/>
                <w:color w:val="000000"/>
                <w:sz w:val="20"/>
                <w:szCs w:val="20"/>
                <w:lang w:val="pt-BR" w:eastAsia="pt-BR"/>
              </w:rPr>
            </w:pPr>
            <w:r w:rsidRPr="00C17725">
              <w:rPr>
                <w:rFonts w:cs="Arial"/>
                <w:color w:val="000000"/>
                <w:sz w:val="20"/>
                <w:szCs w:val="20"/>
                <w:lang w:val="pt-BR" w:eastAsia="pt-BR"/>
              </w:rPr>
              <w:t>854.214.893</w:t>
            </w:r>
          </w:p>
        </w:tc>
      </w:tr>
      <w:tr w:rsidR="00B25DC9" w:rsidRPr="00C17725" w:rsidTr="00C17725">
        <w:trPr>
          <w:trHeight w:val="255"/>
        </w:trPr>
        <w:tc>
          <w:tcPr>
            <w:tcW w:w="3916" w:type="dxa"/>
            <w:tcBorders>
              <w:top w:val="nil"/>
              <w:left w:val="nil"/>
              <w:bottom w:val="nil"/>
              <w:right w:val="nil"/>
            </w:tcBorders>
            <w:shd w:val="clear" w:color="auto" w:fill="auto"/>
            <w:noWrap/>
            <w:vAlign w:val="center"/>
            <w:hideMark/>
          </w:tcPr>
          <w:p w:rsidR="00B25DC9" w:rsidRPr="00C17725" w:rsidRDefault="00B25DC9" w:rsidP="00C17725">
            <w:pPr>
              <w:rPr>
                <w:rFonts w:cs="Arial"/>
                <w:color w:val="000000"/>
                <w:sz w:val="20"/>
                <w:szCs w:val="20"/>
                <w:lang w:val="pt-BR" w:eastAsia="pt-BR"/>
              </w:rPr>
            </w:pPr>
            <w:r w:rsidRPr="00C17725">
              <w:rPr>
                <w:rFonts w:cs="Arial"/>
                <w:color w:val="000000"/>
                <w:sz w:val="20"/>
                <w:szCs w:val="20"/>
                <w:lang w:val="pt-BR" w:eastAsia="pt-BR"/>
              </w:rPr>
              <w:t>Nacional</w:t>
            </w:r>
          </w:p>
        </w:tc>
        <w:tc>
          <w:tcPr>
            <w:tcW w:w="1476" w:type="dxa"/>
            <w:tcBorders>
              <w:top w:val="nil"/>
              <w:left w:val="nil"/>
              <w:bottom w:val="single" w:sz="4" w:space="0" w:color="auto"/>
              <w:right w:val="nil"/>
            </w:tcBorders>
            <w:shd w:val="clear" w:color="auto" w:fill="auto"/>
            <w:noWrap/>
            <w:vAlign w:val="center"/>
            <w:hideMark/>
          </w:tcPr>
          <w:p w:rsidR="00B25DC9" w:rsidRPr="00C17725" w:rsidRDefault="00B25DC9" w:rsidP="00C17725">
            <w:pPr>
              <w:jc w:val="center"/>
              <w:rPr>
                <w:rFonts w:cs="Arial"/>
                <w:color w:val="000000"/>
                <w:sz w:val="20"/>
                <w:szCs w:val="20"/>
                <w:lang w:val="pt-BR" w:eastAsia="pt-BR"/>
              </w:rPr>
            </w:pPr>
            <w:r w:rsidRPr="00C17725">
              <w:rPr>
                <w:rFonts w:cs="Arial"/>
                <w:color w:val="000000"/>
                <w:sz w:val="20"/>
                <w:szCs w:val="20"/>
                <w:lang w:val="pt-BR" w:eastAsia="pt-BR"/>
              </w:rPr>
              <w:t>898.029.444</w:t>
            </w:r>
          </w:p>
        </w:tc>
        <w:tc>
          <w:tcPr>
            <w:tcW w:w="1444" w:type="dxa"/>
            <w:tcBorders>
              <w:top w:val="nil"/>
              <w:left w:val="nil"/>
              <w:bottom w:val="single" w:sz="4" w:space="0" w:color="auto"/>
              <w:right w:val="nil"/>
            </w:tcBorders>
            <w:shd w:val="clear" w:color="auto" w:fill="auto"/>
            <w:noWrap/>
            <w:vAlign w:val="center"/>
            <w:hideMark/>
          </w:tcPr>
          <w:p w:rsidR="00B25DC9" w:rsidRPr="00C17725" w:rsidRDefault="00B25DC9" w:rsidP="00C17725">
            <w:pPr>
              <w:jc w:val="center"/>
              <w:rPr>
                <w:rFonts w:cs="Arial"/>
                <w:color w:val="000000"/>
                <w:sz w:val="20"/>
                <w:szCs w:val="20"/>
                <w:lang w:val="pt-BR" w:eastAsia="pt-BR"/>
              </w:rPr>
            </w:pPr>
            <w:r w:rsidRPr="00C17725">
              <w:rPr>
                <w:rFonts w:cs="Arial"/>
                <w:color w:val="000000"/>
                <w:sz w:val="20"/>
                <w:szCs w:val="20"/>
                <w:lang w:val="pt-BR" w:eastAsia="pt-BR"/>
              </w:rPr>
              <w:t>768.271.527</w:t>
            </w:r>
          </w:p>
        </w:tc>
        <w:tc>
          <w:tcPr>
            <w:tcW w:w="1444" w:type="dxa"/>
            <w:tcBorders>
              <w:top w:val="nil"/>
              <w:left w:val="nil"/>
              <w:bottom w:val="single" w:sz="4" w:space="0" w:color="auto"/>
              <w:right w:val="nil"/>
            </w:tcBorders>
            <w:shd w:val="clear" w:color="auto" w:fill="auto"/>
            <w:noWrap/>
            <w:vAlign w:val="center"/>
            <w:hideMark/>
          </w:tcPr>
          <w:p w:rsidR="00B25DC9" w:rsidRPr="00C17725" w:rsidRDefault="00B25DC9" w:rsidP="00C17725">
            <w:pPr>
              <w:jc w:val="center"/>
              <w:rPr>
                <w:rFonts w:cs="Arial"/>
                <w:color w:val="000000"/>
                <w:sz w:val="20"/>
                <w:szCs w:val="20"/>
                <w:lang w:val="pt-BR" w:eastAsia="pt-BR"/>
              </w:rPr>
            </w:pPr>
            <w:r w:rsidRPr="00C17725">
              <w:rPr>
                <w:rFonts w:cs="Arial"/>
                <w:color w:val="000000"/>
                <w:sz w:val="20"/>
                <w:szCs w:val="20"/>
                <w:lang w:val="pt-BR" w:eastAsia="pt-BR"/>
              </w:rPr>
              <w:t>689.261.527</w:t>
            </w:r>
          </w:p>
        </w:tc>
      </w:tr>
      <w:tr w:rsidR="00B25DC9" w:rsidRPr="00C17725" w:rsidTr="00C17725">
        <w:trPr>
          <w:trHeight w:val="255"/>
        </w:trPr>
        <w:tc>
          <w:tcPr>
            <w:tcW w:w="3916" w:type="dxa"/>
            <w:tcBorders>
              <w:top w:val="nil"/>
              <w:left w:val="nil"/>
              <w:bottom w:val="nil"/>
              <w:right w:val="nil"/>
            </w:tcBorders>
            <w:shd w:val="clear" w:color="auto" w:fill="auto"/>
            <w:noWrap/>
            <w:vAlign w:val="center"/>
            <w:hideMark/>
          </w:tcPr>
          <w:p w:rsidR="00B25DC9" w:rsidRPr="00C17725" w:rsidRDefault="00B25DC9" w:rsidP="00C17725">
            <w:pPr>
              <w:rPr>
                <w:rFonts w:cs="Arial"/>
                <w:b/>
                <w:bCs/>
                <w:color w:val="000000"/>
                <w:sz w:val="20"/>
                <w:szCs w:val="20"/>
                <w:lang w:val="pt-BR" w:eastAsia="pt-BR"/>
              </w:rPr>
            </w:pPr>
            <w:r w:rsidRPr="00C17725">
              <w:rPr>
                <w:rFonts w:cs="Arial"/>
                <w:b/>
                <w:bCs/>
                <w:color w:val="000000"/>
                <w:sz w:val="20"/>
                <w:szCs w:val="20"/>
                <w:lang w:val="pt-BR" w:eastAsia="pt-BR"/>
              </w:rPr>
              <w:t>Totales</w:t>
            </w:r>
          </w:p>
        </w:tc>
        <w:tc>
          <w:tcPr>
            <w:tcW w:w="1476" w:type="dxa"/>
            <w:tcBorders>
              <w:top w:val="nil"/>
              <w:left w:val="nil"/>
              <w:bottom w:val="nil"/>
              <w:right w:val="nil"/>
            </w:tcBorders>
            <w:shd w:val="clear" w:color="auto" w:fill="auto"/>
            <w:noWrap/>
            <w:vAlign w:val="center"/>
            <w:hideMark/>
          </w:tcPr>
          <w:p w:rsidR="00B25DC9" w:rsidRPr="00C17725" w:rsidRDefault="00B25DC9" w:rsidP="00C17725">
            <w:pPr>
              <w:jc w:val="center"/>
              <w:rPr>
                <w:rFonts w:cs="Arial"/>
                <w:b/>
                <w:bCs/>
                <w:color w:val="000000"/>
                <w:sz w:val="20"/>
                <w:szCs w:val="20"/>
                <w:lang w:val="pt-BR" w:eastAsia="pt-BR"/>
              </w:rPr>
            </w:pPr>
            <w:r w:rsidRPr="00C17725">
              <w:rPr>
                <w:rFonts w:cs="Arial"/>
                <w:b/>
                <w:bCs/>
                <w:color w:val="000000"/>
                <w:sz w:val="20"/>
                <w:szCs w:val="20"/>
                <w:lang w:val="pt-BR" w:eastAsia="pt-BR"/>
              </w:rPr>
              <w:t>1.753.717.887</w:t>
            </w:r>
          </w:p>
        </w:tc>
        <w:tc>
          <w:tcPr>
            <w:tcW w:w="1444" w:type="dxa"/>
            <w:tcBorders>
              <w:top w:val="nil"/>
              <w:left w:val="nil"/>
              <w:bottom w:val="nil"/>
              <w:right w:val="nil"/>
            </w:tcBorders>
            <w:shd w:val="clear" w:color="auto" w:fill="auto"/>
            <w:noWrap/>
            <w:vAlign w:val="center"/>
            <w:hideMark/>
          </w:tcPr>
          <w:p w:rsidR="00B25DC9" w:rsidRPr="00C17725" w:rsidRDefault="00B25DC9" w:rsidP="00C17725">
            <w:pPr>
              <w:jc w:val="center"/>
              <w:rPr>
                <w:rFonts w:cs="Arial"/>
                <w:b/>
                <w:bCs/>
                <w:color w:val="000000"/>
                <w:sz w:val="20"/>
                <w:szCs w:val="20"/>
                <w:lang w:val="pt-BR" w:eastAsia="pt-BR"/>
              </w:rPr>
            </w:pPr>
            <w:r w:rsidRPr="00C17725">
              <w:rPr>
                <w:rFonts w:cs="Arial"/>
                <w:b/>
                <w:bCs/>
                <w:color w:val="000000"/>
                <w:sz w:val="20"/>
                <w:szCs w:val="20"/>
                <w:lang w:val="pt-BR" w:eastAsia="pt-BR"/>
              </w:rPr>
              <w:t>1.622.268.198</w:t>
            </w:r>
          </w:p>
        </w:tc>
        <w:tc>
          <w:tcPr>
            <w:tcW w:w="1444" w:type="dxa"/>
            <w:tcBorders>
              <w:top w:val="nil"/>
              <w:left w:val="nil"/>
              <w:bottom w:val="nil"/>
              <w:right w:val="nil"/>
            </w:tcBorders>
            <w:shd w:val="clear" w:color="auto" w:fill="auto"/>
            <w:noWrap/>
            <w:vAlign w:val="center"/>
            <w:hideMark/>
          </w:tcPr>
          <w:p w:rsidR="00B25DC9" w:rsidRPr="00C17725" w:rsidRDefault="00B25DC9" w:rsidP="00C17725">
            <w:pPr>
              <w:jc w:val="center"/>
              <w:rPr>
                <w:rFonts w:cs="Arial"/>
                <w:b/>
                <w:bCs/>
                <w:color w:val="000000"/>
                <w:sz w:val="20"/>
                <w:szCs w:val="20"/>
                <w:lang w:val="pt-BR" w:eastAsia="pt-BR"/>
              </w:rPr>
            </w:pPr>
            <w:r w:rsidRPr="00C17725">
              <w:rPr>
                <w:rFonts w:cs="Arial"/>
                <w:b/>
                <w:bCs/>
                <w:color w:val="000000"/>
                <w:sz w:val="20"/>
                <w:szCs w:val="20"/>
                <w:lang w:val="pt-BR" w:eastAsia="pt-BR"/>
              </w:rPr>
              <w:t>1.543.476.420</w:t>
            </w:r>
          </w:p>
        </w:tc>
      </w:tr>
    </w:tbl>
    <w:p w:rsidR="00B25DC9" w:rsidRDefault="00B25DC9" w:rsidP="00C17725">
      <w:pPr>
        <w:pStyle w:val="Textoindependiente"/>
      </w:pPr>
    </w:p>
    <w:p w:rsidR="00B25DC9" w:rsidRDefault="00B25DC9">
      <w:pPr>
        <w:spacing w:line="360" w:lineRule="auto"/>
        <w:jc w:val="both"/>
        <w:rPr>
          <w:b/>
        </w:rPr>
      </w:pPr>
      <w:r>
        <w:rPr>
          <w:b/>
        </w:rPr>
        <w:t>3) Análisis de las asignaciones presupuestales proyectadas</w:t>
      </w:r>
    </w:p>
    <w:p w:rsidR="00B25DC9" w:rsidRDefault="00B25DC9" w:rsidP="0024549C">
      <w:pPr>
        <w:pStyle w:val="Textoindependiente"/>
        <w:rPr>
          <w:b/>
        </w:rPr>
      </w:pPr>
      <w:r w:rsidRPr="00586435">
        <w:rPr>
          <w:b/>
        </w:rPr>
        <w:t>3.1)</w:t>
      </w:r>
      <w:r>
        <w:t xml:space="preserve"> Las asignaciones proyectadas se exponen  a nivel de objeto. Su resumen, expresado en pesos uruguayos, se ajusta al siguiente detalle:</w:t>
      </w:r>
    </w:p>
    <w:tbl>
      <w:tblPr>
        <w:tblW w:w="5000" w:type="pct"/>
        <w:tblCellMar>
          <w:left w:w="70" w:type="dxa"/>
          <w:right w:w="70" w:type="dxa"/>
        </w:tblCellMar>
        <w:tblLook w:val="04A0" w:firstRow="1" w:lastRow="0" w:firstColumn="1" w:lastColumn="0" w:noHBand="0" w:noVBand="1"/>
      </w:tblPr>
      <w:tblGrid>
        <w:gridCol w:w="4071"/>
        <w:gridCol w:w="1525"/>
        <w:gridCol w:w="1525"/>
        <w:gridCol w:w="1523"/>
      </w:tblGrid>
      <w:tr w:rsidR="00B25DC9" w:rsidRPr="0024549C" w:rsidTr="0024549C">
        <w:trPr>
          <w:trHeight w:val="510"/>
        </w:trPr>
        <w:tc>
          <w:tcPr>
            <w:tcW w:w="2355" w:type="pct"/>
            <w:tcBorders>
              <w:top w:val="nil"/>
              <w:left w:val="nil"/>
              <w:bottom w:val="nil"/>
              <w:right w:val="nil"/>
            </w:tcBorders>
            <w:shd w:val="clear" w:color="auto" w:fill="auto"/>
            <w:vAlign w:val="center"/>
            <w:hideMark/>
          </w:tcPr>
          <w:p w:rsidR="00B25DC9" w:rsidRPr="0024549C" w:rsidRDefault="00B25DC9" w:rsidP="0024549C">
            <w:pPr>
              <w:jc w:val="center"/>
              <w:rPr>
                <w:rFonts w:cs="Arial"/>
                <w:b/>
                <w:bCs/>
                <w:color w:val="000000"/>
                <w:sz w:val="20"/>
                <w:szCs w:val="20"/>
                <w:lang w:val="pt-BR" w:eastAsia="pt-BR"/>
              </w:rPr>
            </w:pPr>
            <w:r w:rsidRPr="0024549C">
              <w:rPr>
                <w:rFonts w:cs="Arial"/>
                <w:b/>
                <w:bCs/>
                <w:color w:val="000000"/>
                <w:sz w:val="20"/>
                <w:szCs w:val="20"/>
                <w:lang w:val="pt-BR" w:eastAsia="pt-BR"/>
              </w:rPr>
              <w:t>Grupo</w:t>
            </w:r>
          </w:p>
        </w:tc>
        <w:tc>
          <w:tcPr>
            <w:tcW w:w="882" w:type="pct"/>
            <w:tcBorders>
              <w:top w:val="nil"/>
              <w:left w:val="nil"/>
              <w:bottom w:val="nil"/>
              <w:right w:val="nil"/>
            </w:tcBorders>
            <w:shd w:val="clear" w:color="auto" w:fill="auto"/>
            <w:vAlign w:val="center"/>
            <w:hideMark/>
          </w:tcPr>
          <w:p w:rsidR="00B25DC9" w:rsidRPr="0024549C" w:rsidRDefault="00B25DC9" w:rsidP="0024549C">
            <w:pPr>
              <w:jc w:val="center"/>
              <w:rPr>
                <w:rFonts w:cs="Arial"/>
                <w:b/>
                <w:bCs/>
                <w:color w:val="000000"/>
                <w:sz w:val="20"/>
                <w:szCs w:val="20"/>
                <w:lang w:val="pt-BR" w:eastAsia="pt-BR"/>
              </w:rPr>
            </w:pPr>
            <w:r w:rsidRPr="0024549C">
              <w:rPr>
                <w:rFonts w:cs="Arial"/>
                <w:b/>
                <w:bCs/>
                <w:color w:val="000000"/>
                <w:sz w:val="20"/>
                <w:szCs w:val="20"/>
                <w:lang w:val="pt-BR" w:eastAsia="pt-BR"/>
              </w:rPr>
              <w:t>Proyectado 2018</w:t>
            </w:r>
          </w:p>
        </w:tc>
        <w:tc>
          <w:tcPr>
            <w:tcW w:w="882" w:type="pct"/>
            <w:tcBorders>
              <w:top w:val="nil"/>
              <w:left w:val="nil"/>
              <w:bottom w:val="nil"/>
              <w:right w:val="nil"/>
            </w:tcBorders>
            <w:shd w:val="clear" w:color="auto" w:fill="auto"/>
            <w:vAlign w:val="center"/>
            <w:hideMark/>
          </w:tcPr>
          <w:p w:rsidR="00B25DC9" w:rsidRPr="0024549C" w:rsidRDefault="00B25DC9" w:rsidP="0024549C">
            <w:pPr>
              <w:jc w:val="center"/>
              <w:rPr>
                <w:rFonts w:cs="Arial"/>
                <w:b/>
                <w:bCs/>
                <w:color w:val="000000"/>
                <w:sz w:val="20"/>
                <w:szCs w:val="20"/>
                <w:lang w:val="pt-BR" w:eastAsia="pt-BR"/>
              </w:rPr>
            </w:pPr>
            <w:r w:rsidRPr="0024549C">
              <w:rPr>
                <w:rFonts w:cs="Arial"/>
                <w:b/>
                <w:bCs/>
                <w:color w:val="000000"/>
                <w:sz w:val="20"/>
                <w:szCs w:val="20"/>
                <w:lang w:val="pt-BR" w:eastAsia="pt-BR"/>
              </w:rPr>
              <w:t>Proyectado 2019</w:t>
            </w:r>
          </w:p>
        </w:tc>
        <w:tc>
          <w:tcPr>
            <w:tcW w:w="882" w:type="pct"/>
            <w:tcBorders>
              <w:top w:val="nil"/>
              <w:left w:val="nil"/>
              <w:bottom w:val="nil"/>
              <w:right w:val="nil"/>
            </w:tcBorders>
            <w:shd w:val="clear" w:color="auto" w:fill="auto"/>
            <w:vAlign w:val="center"/>
            <w:hideMark/>
          </w:tcPr>
          <w:p w:rsidR="00B25DC9" w:rsidRPr="0024549C" w:rsidRDefault="00B25DC9" w:rsidP="0024549C">
            <w:pPr>
              <w:jc w:val="center"/>
              <w:rPr>
                <w:rFonts w:cs="Arial"/>
                <w:b/>
                <w:bCs/>
                <w:color w:val="000000"/>
                <w:sz w:val="20"/>
                <w:szCs w:val="20"/>
                <w:lang w:val="pt-BR" w:eastAsia="pt-BR"/>
              </w:rPr>
            </w:pPr>
            <w:r w:rsidRPr="0024549C">
              <w:rPr>
                <w:rFonts w:cs="Arial"/>
                <w:b/>
                <w:bCs/>
                <w:color w:val="000000"/>
                <w:sz w:val="20"/>
                <w:szCs w:val="20"/>
                <w:lang w:val="pt-BR" w:eastAsia="pt-BR"/>
              </w:rPr>
              <w:t>Proyectado 2020</w:t>
            </w:r>
          </w:p>
        </w:tc>
      </w:tr>
      <w:tr w:rsidR="00B25DC9" w:rsidRPr="0024549C" w:rsidTr="0024549C">
        <w:trPr>
          <w:trHeight w:val="255"/>
        </w:trPr>
        <w:tc>
          <w:tcPr>
            <w:tcW w:w="2355" w:type="pct"/>
            <w:tcBorders>
              <w:top w:val="nil"/>
              <w:left w:val="nil"/>
              <w:bottom w:val="nil"/>
              <w:right w:val="nil"/>
            </w:tcBorders>
            <w:shd w:val="clear" w:color="auto" w:fill="auto"/>
            <w:noWrap/>
            <w:vAlign w:val="center"/>
            <w:hideMark/>
          </w:tcPr>
          <w:p w:rsidR="00B25DC9" w:rsidRPr="0024549C" w:rsidRDefault="00B25DC9" w:rsidP="0024549C">
            <w:pPr>
              <w:rPr>
                <w:rFonts w:cs="Arial"/>
                <w:sz w:val="20"/>
                <w:szCs w:val="20"/>
                <w:lang w:val="pt-BR" w:eastAsia="pt-BR"/>
              </w:rPr>
            </w:pPr>
            <w:r w:rsidRPr="0024549C">
              <w:rPr>
                <w:rFonts w:cs="Arial"/>
                <w:sz w:val="20"/>
                <w:szCs w:val="20"/>
                <w:lang w:val="pt-BR" w:eastAsia="pt-BR"/>
              </w:rPr>
              <w:t>0 - Servicios Personales</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754.694.913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761.199.005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772.554.841 </w:t>
            </w:r>
          </w:p>
        </w:tc>
      </w:tr>
      <w:tr w:rsidR="00B25DC9" w:rsidRPr="0024549C" w:rsidTr="0024549C">
        <w:trPr>
          <w:trHeight w:val="255"/>
        </w:trPr>
        <w:tc>
          <w:tcPr>
            <w:tcW w:w="2355" w:type="pct"/>
            <w:tcBorders>
              <w:top w:val="nil"/>
              <w:left w:val="nil"/>
              <w:bottom w:val="nil"/>
              <w:right w:val="nil"/>
            </w:tcBorders>
            <w:shd w:val="clear" w:color="auto" w:fill="auto"/>
            <w:noWrap/>
            <w:vAlign w:val="center"/>
            <w:hideMark/>
          </w:tcPr>
          <w:p w:rsidR="00B25DC9" w:rsidRPr="0024549C" w:rsidRDefault="00B25DC9" w:rsidP="0024549C">
            <w:pPr>
              <w:rPr>
                <w:rFonts w:cs="Arial"/>
                <w:sz w:val="20"/>
                <w:szCs w:val="20"/>
                <w:lang w:val="pt-BR" w:eastAsia="pt-BR"/>
              </w:rPr>
            </w:pPr>
            <w:r w:rsidRPr="0024549C">
              <w:rPr>
                <w:rFonts w:cs="Arial"/>
                <w:sz w:val="20"/>
                <w:szCs w:val="20"/>
                <w:lang w:val="pt-BR" w:eastAsia="pt-BR"/>
              </w:rPr>
              <w:t>1 - Bienes de Consumo</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133.663.291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137.627.493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136.886.657 </w:t>
            </w:r>
          </w:p>
        </w:tc>
      </w:tr>
      <w:tr w:rsidR="00B25DC9" w:rsidRPr="0024549C" w:rsidTr="0024549C">
        <w:trPr>
          <w:trHeight w:val="255"/>
        </w:trPr>
        <w:tc>
          <w:tcPr>
            <w:tcW w:w="2355" w:type="pct"/>
            <w:tcBorders>
              <w:top w:val="nil"/>
              <w:left w:val="nil"/>
              <w:bottom w:val="nil"/>
              <w:right w:val="nil"/>
            </w:tcBorders>
            <w:shd w:val="clear" w:color="auto" w:fill="auto"/>
            <w:noWrap/>
            <w:vAlign w:val="center"/>
            <w:hideMark/>
          </w:tcPr>
          <w:p w:rsidR="00B25DC9" w:rsidRPr="0024549C" w:rsidRDefault="00B25DC9" w:rsidP="0024549C">
            <w:pPr>
              <w:rPr>
                <w:rFonts w:cs="Arial"/>
                <w:sz w:val="20"/>
                <w:szCs w:val="20"/>
                <w:lang w:val="pt-BR" w:eastAsia="pt-BR"/>
              </w:rPr>
            </w:pPr>
            <w:r w:rsidRPr="0024549C">
              <w:rPr>
                <w:rFonts w:cs="Arial"/>
                <w:sz w:val="20"/>
                <w:szCs w:val="20"/>
                <w:lang w:val="pt-BR" w:eastAsia="pt-BR"/>
              </w:rPr>
              <w:t>2 - Servicios No Personales</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199.596.456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203.652.393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205.416.650 </w:t>
            </w:r>
          </w:p>
        </w:tc>
      </w:tr>
      <w:tr w:rsidR="00B25DC9" w:rsidRPr="0024549C" w:rsidTr="0024549C">
        <w:trPr>
          <w:trHeight w:val="255"/>
        </w:trPr>
        <w:tc>
          <w:tcPr>
            <w:tcW w:w="2355" w:type="pct"/>
            <w:tcBorders>
              <w:top w:val="nil"/>
              <w:left w:val="nil"/>
              <w:bottom w:val="nil"/>
              <w:right w:val="nil"/>
            </w:tcBorders>
            <w:shd w:val="clear" w:color="auto" w:fill="auto"/>
            <w:noWrap/>
            <w:vAlign w:val="center"/>
            <w:hideMark/>
          </w:tcPr>
          <w:p w:rsidR="00B25DC9" w:rsidRPr="0024549C" w:rsidRDefault="00B25DC9" w:rsidP="0024549C">
            <w:pPr>
              <w:rPr>
                <w:rFonts w:cs="Arial"/>
                <w:sz w:val="20"/>
                <w:szCs w:val="20"/>
                <w:lang w:val="pt-BR" w:eastAsia="pt-BR"/>
              </w:rPr>
            </w:pPr>
            <w:r w:rsidRPr="0024549C">
              <w:rPr>
                <w:rFonts w:cs="Arial"/>
                <w:sz w:val="20"/>
                <w:szCs w:val="20"/>
                <w:lang w:val="pt-BR" w:eastAsia="pt-BR"/>
              </w:rPr>
              <w:t>3 - Bienes de Uso</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376.168.007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290.800.889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242.284.269 </w:t>
            </w:r>
          </w:p>
        </w:tc>
      </w:tr>
      <w:tr w:rsidR="00B25DC9" w:rsidRPr="0024549C" w:rsidTr="0024549C">
        <w:trPr>
          <w:trHeight w:val="255"/>
        </w:trPr>
        <w:tc>
          <w:tcPr>
            <w:tcW w:w="2355" w:type="pct"/>
            <w:tcBorders>
              <w:top w:val="nil"/>
              <w:left w:val="nil"/>
              <w:bottom w:val="nil"/>
              <w:right w:val="nil"/>
            </w:tcBorders>
            <w:shd w:val="clear" w:color="auto" w:fill="auto"/>
            <w:noWrap/>
            <w:vAlign w:val="center"/>
            <w:hideMark/>
          </w:tcPr>
          <w:p w:rsidR="00B25DC9" w:rsidRPr="0024549C" w:rsidRDefault="00B25DC9" w:rsidP="0024549C">
            <w:pPr>
              <w:rPr>
                <w:rFonts w:cs="Arial"/>
                <w:sz w:val="20"/>
                <w:szCs w:val="20"/>
                <w:lang w:val="pt-BR" w:eastAsia="pt-BR"/>
              </w:rPr>
            </w:pPr>
            <w:r w:rsidRPr="0024549C">
              <w:rPr>
                <w:rFonts w:cs="Arial"/>
                <w:sz w:val="20"/>
                <w:szCs w:val="20"/>
                <w:lang w:val="pt-BR" w:eastAsia="pt-BR"/>
              </w:rPr>
              <w:t>5 - Transferencias</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100.750.898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106.322.003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116.486.437 </w:t>
            </w:r>
          </w:p>
        </w:tc>
      </w:tr>
      <w:tr w:rsidR="00B25DC9" w:rsidRPr="0024549C" w:rsidTr="0024549C">
        <w:trPr>
          <w:trHeight w:val="255"/>
        </w:trPr>
        <w:tc>
          <w:tcPr>
            <w:tcW w:w="2355"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eastAsia="pt-BR"/>
              </w:rPr>
            </w:pPr>
            <w:r w:rsidRPr="0024549C">
              <w:rPr>
                <w:rFonts w:cs="Arial"/>
                <w:color w:val="000000"/>
                <w:sz w:val="20"/>
                <w:szCs w:val="20"/>
                <w:lang w:eastAsia="pt-BR"/>
              </w:rPr>
              <w:t>6 - Intereses y Otros gastos de Deuda</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eastAsia="pt-BR"/>
              </w:rPr>
              <w:t xml:space="preserve">      </w:t>
            </w:r>
            <w:r w:rsidRPr="0024549C">
              <w:rPr>
                <w:rFonts w:cs="Arial"/>
                <w:color w:val="000000"/>
                <w:sz w:val="20"/>
                <w:szCs w:val="20"/>
                <w:lang w:val="pt-BR" w:eastAsia="pt-BR"/>
              </w:rPr>
              <w:t xml:space="preserve">34.796.107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33.255.083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31.649.802 </w:t>
            </w:r>
          </w:p>
        </w:tc>
      </w:tr>
      <w:tr w:rsidR="00B25DC9" w:rsidRPr="0024549C" w:rsidTr="0024549C">
        <w:trPr>
          <w:trHeight w:val="255"/>
        </w:trPr>
        <w:tc>
          <w:tcPr>
            <w:tcW w:w="2355" w:type="pct"/>
            <w:tcBorders>
              <w:top w:val="nil"/>
              <w:left w:val="nil"/>
              <w:bottom w:val="nil"/>
              <w:right w:val="nil"/>
            </w:tcBorders>
            <w:shd w:val="clear" w:color="auto" w:fill="auto"/>
            <w:noWrap/>
            <w:vAlign w:val="center"/>
            <w:hideMark/>
          </w:tcPr>
          <w:p w:rsidR="00B25DC9" w:rsidRPr="0024549C" w:rsidRDefault="00B25DC9" w:rsidP="0024549C">
            <w:pPr>
              <w:rPr>
                <w:rFonts w:cs="Arial"/>
                <w:sz w:val="20"/>
                <w:szCs w:val="20"/>
                <w:lang w:val="pt-BR" w:eastAsia="pt-BR"/>
              </w:rPr>
            </w:pPr>
            <w:r w:rsidRPr="0024549C">
              <w:rPr>
                <w:rFonts w:cs="Arial"/>
                <w:sz w:val="20"/>
                <w:szCs w:val="20"/>
                <w:lang w:val="pt-BR" w:eastAsia="pt-BR"/>
              </w:rPr>
              <w:t>7 – Asignaciones Globales</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10.436.302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10.562.082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1.700.940 </w:t>
            </w:r>
          </w:p>
        </w:tc>
      </w:tr>
      <w:tr w:rsidR="00B25DC9" w:rsidRPr="0024549C" w:rsidTr="0024549C">
        <w:trPr>
          <w:trHeight w:val="255"/>
        </w:trPr>
        <w:tc>
          <w:tcPr>
            <w:tcW w:w="2355" w:type="pct"/>
            <w:tcBorders>
              <w:top w:val="nil"/>
              <w:left w:val="nil"/>
              <w:bottom w:val="nil"/>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8 - Clasificador de Aplicaciones financieras</w:t>
            </w:r>
          </w:p>
        </w:tc>
        <w:tc>
          <w:tcPr>
            <w:tcW w:w="882" w:type="pct"/>
            <w:tcBorders>
              <w:top w:val="nil"/>
              <w:left w:val="nil"/>
              <w:bottom w:val="single" w:sz="4" w:space="0" w:color="auto"/>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143.611.913 </w:t>
            </w:r>
          </w:p>
        </w:tc>
        <w:tc>
          <w:tcPr>
            <w:tcW w:w="882" w:type="pct"/>
            <w:tcBorders>
              <w:top w:val="nil"/>
              <w:left w:val="nil"/>
              <w:bottom w:val="single" w:sz="4" w:space="0" w:color="auto"/>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78.849.250 </w:t>
            </w:r>
          </w:p>
        </w:tc>
        <w:tc>
          <w:tcPr>
            <w:tcW w:w="882" w:type="pct"/>
            <w:tcBorders>
              <w:top w:val="nil"/>
              <w:left w:val="nil"/>
              <w:bottom w:val="single" w:sz="4" w:space="0" w:color="auto"/>
              <w:right w:val="nil"/>
            </w:tcBorders>
            <w:shd w:val="clear" w:color="auto" w:fill="auto"/>
            <w:noWrap/>
            <w:vAlign w:val="bottom"/>
            <w:hideMark/>
          </w:tcPr>
          <w:p w:rsidR="00B25DC9" w:rsidRPr="0024549C" w:rsidRDefault="00B25DC9" w:rsidP="0024549C">
            <w:pPr>
              <w:rPr>
                <w:rFonts w:cs="Arial"/>
                <w:color w:val="000000"/>
                <w:sz w:val="20"/>
                <w:szCs w:val="20"/>
                <w:lang w:val="pt-BR" w:eastAsia="pt-BR"/>
              </w:rPr>
            </w:pPr>
            <w:r w:rsidRPr="0024549C">
              <w:rPr>
                <w:rFonts w:cs="Arial"/>
                <w:color w:val="000000"/>
                <w:sz w:val="20"/>
                <w:szCs w:val="20"/>
                <w:lang w:val="pt-BR" w:eastAsia="pt-BR"/>
              </w:rPr>
              <w:t xml:space="preserve">      36.496.824 </w:t>
            </w:r>
          </w:p>
        </w:tc>
      </w:tr>
      <w:tr w:rsidR="00B25DC9" w:rsidRPr="0024549C" w:rsidTr="0024549C">
        <w:trPr>
          <w:trHeight w:val="255"/>
        </w:trPr>
        <w:tc>
          <w:tcPr>
            <w:tcW w:w="2355" w:type="pct"/>
            <w:tcBorders>
              <w:top w:val="nil"/>
              <w:left w:val="nil"/>
              <w:bottom w:val="nil"/>
              <w:right w:val="nil"/>
            </w:tcBorders>
            <w:shd w:val="clear" w:color="auto" w:fill="auto"/>
            <w:noWrap/>
            <w:vAlign w:val="bottom"/>
            <w:hideMark/>
          </w:tcPr>
          <w:p w:rsidR="00B25DC9" w:rsidRPr="0024549C" w:rsidRDefault="00B25DC9" w:rsidP="0024549C">
            <w:pPr>
              <w:rPr>
                <w:rFonts w:cs="Arial"/>
                <w:b/>
                <w:bCs/>
                <w:color w:val="000000"/>
                <w:sz w:val="20"/>
                <w:szCs w:val="20"/>
                <w:lang w:val="pt-BR" w:eastAsia="pt-BR"/>
              </w:rPr>
            </w:pPr>
            <w:r w:rsidRPr="0024549C">
              <w:rPr>
                <w:rFonts w:cs="Arial"/>
                <w:b/>
                <w:bCs/>
                <w:color w:val="000000"/>
                <w:sz w:val="20"/>
                <w:szCs w:val="20"/>
                <w:lang w:val="pt-BR" w:eastAsia="pt-BR"/>
              </w:rPr>
              <w:t xml:space="preserve">Totales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b/>
                <w:bCs/>
                <w:color w:val="000000"/>
                <w:sz w:val="20"/>
                <w:szCs w:val="20"/>
                <w:lang w:val="pt-BR" w:eastAsia="pt-BR"/>
              </w:rPr>
            </w:pPr>
            <w:r w:rsidRPr="0024549C">
              <w:rPr>
                <w:rFonts w:cs="Arial"/>
                <w:b/>
                <w:bCs/>
                <w:color w:val="000000"/>
                <w:sz w:val="20"/>
                <w:szCs w:val="20"/>
                <w:lang w:val="pt-BR" w:eastAsia="pt-BR"/>
              </w:rPr>
              <w:t xml:space="preserve"> 1.753.717.887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b/>
                <w:bCs/>
                <w:color w:val="000000"/>
                <w:sz w:val="20"/>
                <w:szCs w:val="20"/>
                <w:lang w:val="pt-BR" w:eastAsia="pt-BR"/>
              </w:rPr>
            </w:pPr>
            <w:r w:rsidRPr="0024549C">
              <w:rPr>
                <w:rFonts w:cs="Arial"/>
                <w:b/>
                <w:bCs/>
                <w:color w:val="000000"/>
                <w:sz w:val="20"/>
                <w:szCs w:val="20"/>
                <w:lang w:val="pt-BR" w:eastAsia="pt-BR"/>
              </w:rPr>
              <w:t xml:space="preserve"> 1.622.268.198 </w:t>
            </w:r>
          </w:p>
        </w:tc>
        <w:tc>
          <w:tcPr>
            <w:tcW w:w="882" w:type="pct"/>
            <w:tcBorders>
              <w:top w:val="nil"/>
              <w:left w:val="nil"/>
              <w:bottom w:val="nil"/>
              <w:right w:val="nil"/>
            </w:tcBorders>
            <w:shd w:val="clear" w:color="auto" w:fill="auto"/>
            <w:noWrap/>
            <w:vAlign w:val="bottom"/>
            <w:hideMark/>
          </w:tcPr>
          <w:p w:rsidR="00B25DC9" w:rsidRPr="0024549C" w:rsidRDefault="00B25DC9" w:rsidP="0024549C">
            <w:pPr>
              <w:rPr>
                <w:rFonts w:cs="Arial"/>
                <w:b/>
                <w:bCs/>
                <w:color w:val="000000"/>
                <w:sz w:val="20"/>
                <w:szCs w:val="20"/>
                <w:lang w:val="pt-BR" w:eastAsia="pt-BR"/>
              </w:rPr>
            </w:pPr>
            <w:r w:rsidRPr="0024549C">
              <w:rPr>
                <w:rFonts w:cs="Arial"/>
                <w:b/>
                <w:bCs/>
                <w:color w:val="000000"/>
                <w:sz w:val="20"/>
                <w:szCs w:val="20"/>
                <w:lang w:val="pt-BR" w:eastAsia="pt-BR"/>
              </w:rPr>
              <w:t xml:space="preserve"> 1.543.476.420 </w:t>
            </w:r>
          </w:p>
        </w:tc>
      </w:tr>
    </w:tbl>
    <w:p w:rsidR="00B25DC9" w:rsidRDefault="00B25DC9" w:rsidP="00834895">
      <w:pPr>
        <w:pStyle w:val="Piedepgina"/>
        <w:widowControl w:val="0"/>
        <w:tabs>
          <w:tab w:val="clear" w:pos="4252"/>
          <w:tab w:val="clear" w:pos="8504"/>
        </w:tabs>
        <w:spacing w:line="360" w:lineRule="auto"/>
        <w:ind w:firstLine="709"/>
        <w:jc w:val="both"/>
      </w:pPr>
      <w:r>
        <w:t>Los créditos presupuestales establecidos para gastos de funcionamiento, inversiones, transferencias y amortización de deudas, están cuantificados a valores de 2017.</w:t>
      </w:r>
    </w:p>
    <w:p w:rsidR="00B25DC9" w:rsidRDefault="00B25DC9">
      <w:pPr>
        <w:tabs>
          <w:tab w:val="left" w:pos="360"/>
        </w:tabs>
        <w:spacing w:line="360" w:lineRule="auto"/>
        <w:jc w:val="both"/>
        <w:rPr>
          <w:rFonts w:cs="Arial"/>
          <w:b/>
          <w:bCs/>
        </w:rPr>
      </w:pPr>
      <w:r>
        <w:rPr>
          <w:b/>
          <w:bCs/>
        </w:rPr>
        <w:t>4) Cumplimiento de normas constitucionales, legales y reglamentarias</w:t>
      </w:r>
    </w:p>
    <w:p w:rsidR="00B25DC9" w:rsidRDefault="00B25DC9" w:rsidP="00920993">
      <w:pPr>
        <w:spacing w:line="360" w:lineRule="auto"/>
        <w:jc w:val="both"/>
        <w:rPr>
          <w:rFonts w:cs="Arial"/>
        </w:rPr>
      </w:pPr>
      <w:r>
        <w:rPr>
          <w:rFonts w:cs="Arial"/>
          <w:b/>
        </w:rPr>
        <w:t xml:space="preserve">4.1) </w:t>
      </w:r>
      <w:r>
        <w:rPr>
          <w:rFonts w:cs="Arial"/>
        </w:rPr>
        <w:t>Se ha dado cumplimiento al plazo constitucional de que dispone este Tribunal para emitir su Dictamen, Artículos 225 Inciso 2º y 275 Numeral 3º de la Constitución de la República.</w:t>
      </w:r>
    </w:p>
    <w:p w:rsidR="00B25DC9" w:rsidRDefault="00B25DC9" w:rsidP="00BD3A27">
      <w:pPr>
        <w:spacing w:line="360" w:lineRule="auto"/>
        <w:jc w:val="both"/>
      </w:pPr>
      <w:r>
        <w:rPr>
          <w:rFonts w:cs="Arial"/>
          <w:b/>
        </w:rPr>
        <w:t xml:space="preserve">4.2) </w:t>
      </w:r>
      <w:r>
        <w:t>Si bien no corresponde la remisión de mensaje complementario para el caso de las modificaciones presupuestales, la corrección de la redacción del Artículo 4º remitida por el Ejecutivo mediante Oficio Nº 969/17 de fecha 03/07/2017, subsana un error de transcripción, por lo cual no existe impedimento a su consideración por parte del Legislativo Departamental.</w:t>
      </w:r>
    </w:p>
    <w:p w:rsidR="00B25DC9" w:rsidRDefault="00B25DC9" w:rsidP="00920993">
      <w:pPr>
        <w:spacing w:line="360" w:lineRule="auto"/>
        <w:jc w:val="both"/>
        <w:rPr>
          <w:rFonts w:cs="Arial"/>
        </w:rPr>
      </w:pPr>
      <w:r>
        <w:rPr>
          <w:rFonts w:cs="Arial"/>
          <w:b/>
        </w:rPr>
        <w:lastRenderedPageBreak/>
        <w:t xml:space="preserve">4.3) </w:t>
      </w:r>
      <w:r>
        <w:t>El texto del Artículo 7 de la modificación deberá indicar expresamente que refiere a la Ordenanza sobre Convenios de Pago, Multas y Recargos y Pagos a Cuenta, y resulta observable en cuanto no excluye de la bonificación a casos de tributos fijados por leyes nacionales, con destino a la Intendencia;</w:t>
      </w:r>
    </w:p>
    <w:p w:rsidR="00B25DC9" w:rsidRDefault="00B25DC9">
      <w:pPr>
        <w:spacing w:line="360" w:lineRule="auto"/>
        <w:jc w:val="both"/>
        <w:rPr>
          <w:rFonts w:cs="Arial"/>
        </w:rPr>
      </w:pPr>
      <w:r>
        <w:rPr>
          <w:rFonts w:cs="Arial"/>
          <w:b/>
        </w:rPr>
        <w:t>5) Opinión</w:t>
      </w:r>
    </w:p>
    <w:p w:rsidR="00B25DC9" w:rsidRDefault="00B25DC9" w:rsidP="00834895">
      <w:pPr>
        <w:pStyle w:val="Textoindependiente2"/>
        <w:ind w:firstLine="709"/>
        <w:rPr>
          <w:rFonts w:ascii="Arial" w:hAnsi="Arial" w:cs="Arial"/>
        </w:rPr>
      </w:pPr>
      <w:r>
        <w:rPr>
          <w:rFonts w:ascii="Arial" w:hAnsi="Arial" w:cs="Arial"/>
        </w:rPr>
        <w:t>En opinión del Tribunal de Cuentas, el Proyecto de Presupuesto Quinquenal de la Intendencia de Rivera para el período 2018-2020 ha sido preparado en forma razonable, de acuerdo con los supuestos efectuados por el Organismo y se presenta de conformidad con las disposiciones constitucionales, legales y reglamentarias vigentes, excepto por lo establecido en el párrafo 4.3).</w:t>
      </w:r>
    </w:p>
    <w:p w:rsidR="00B25DC9" w:rsidRDefault="00B25DC9" w:rsidP="0024377C">
      <w:pPr>
        <w:jc w:val="right"/>
      </w:pPr>
      <w:r>
        <w:t>Montevideo, 26 de julio de 2017</w:t>
      </w:r>
    </w:p>
    <w:p w:rsidR="00B25DC9" w:rsidRDefault="00B25DC9" w:rsidP="0024377C">
      <w:pPr>
        <w:jc w:val="right"/>
      </w:pPr>
    </w:p>
    <w:p w:rsidR="00B25DC9" w:rsidRDefault="00B25DC9" w:rsidP="00834895"/>
    <w:p w:rsidR="00B25DC9" w:rsidRDefault="00B25DC9" w:rsidP="00B25DC9">
      <w:proofErr w:type="spellStart"/>
      <w:proofErr w:type="gramStart"/>
      <w:r>
        <w:t>lc</w:t>
      </w:r>
      <w:proofErr w:type="spellEnd"/>
      <w:proofErr w:type="gramEnd"/>
    </w:p>
    <w:sectPr w:rsidR="00B25DC9" w:rsidSect="00D80C41">
      <w:headerReference w:type="even" r:id="rId8"/>
      <w:headerReference w:type="default" r:id="rId9"/>
      <w:footerReference w:type="even" r:id="rId10"/>
      <w:footerReference w:type="default" r:id="rId11"/>
      <w:headerReference w:type="first" r:id="rId12"/>
      <w:footerReference w:type="first" r:id="rId13"/>
      <w:pgSz w:w="11906" w:h="16838" w:code="9"/>
      <w:pgMar w:top="3119" w:right="1701" w:bottom="1418"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013" w:rsidRDefault="00B16013" w:rsidP="00B16013">
      <w:r>
        <w:separator/>
      </w:r>
    </w:p>
  </w:endnote>
  <w:endnote w:type="continuationSeparator" w:id="0">
    <w:p w:rsidR="00B16013" w:rsidRDefault="00B16013" w:rsidP="00B16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013" w:rsidRDefault="00B16013" w:rsidP="00B16013">
      <w:r>
        <w:separator/>
      </w:r>
    </w:p>
  </w:footnote>
  <w:footnote w:type="continuationSeparator" w:id="0">
    <w:p w:rsidR="00B16013" w:rsidRDefault="00B16013" w:rsidP="00B160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6013" w:rsidRDefault="00B1601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36EC6BD4"/>
    <w:lvl w:ilvl="0" w:tplc="EAE01430">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46A"/>
    <w:rsid w:val="000225F3"/>
    <w:rsid w:val="00074C00"/>
    <w:rsid w:val="0076246A"/>
    <w:rsid w:val="00826FA4"/>
    <w:rsid w:val="00890B5B"/>
    <w:rsid w:val="00AD7664"/>
    <w:rsid w:val="00AF7D40"/>
    <w:rsid w:val="00B16013"/>
    <w:rsid w:val="00B25DC9"/>
    <w:rsid w:val="00C462B5"/>
    <w:rsid w:val="00C556D7"/>
    <w:rsid w:val="00CD299A"/>
    <w:rsid w:val="00D80C41"/>
    <w:rsid w:val="00DD4E4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25DC9"/>
    <w:pPr>
      <w:keepNext/>
      <w:jc w:val="center"/>
      <w:outlineLvl w:val="0"/>
    </w:pPr>
    <w:rPr>
      <w:b/>
    </w:rPr>
  </w:style>
  <w:style w:type="paragraph" w:styleId="Ttulo2">
    <w:name w:val="heading 2"/>
    <w:basedOn w:val="Normal"/>
    <w:next w:val="Normal"/>
    <w:link w:val="Ttulo2Car"/>
    <w:qFormat/>
    <w:rsid w:val="00B25DC9"/>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B16013"/>
    <w:pPr>
      <w:tabs>
        <w:tab w:val="center" w:pos="4252"/>
        <w:tab w:val="right" w:pos="8504"/>
      </w:tabs>
    </w:pPr>
  </w:style>
  <w:style w:type="character" w:customStyle="1" w:styleId="EncabezadoCar">
    <w:name w:val="Encabezado Car"/>
    <w:basedOn w:val="Fuentedeprrafopredeter"/>
    <w:link w:val="Encabezado"/>
    <w:uiPriority w:val="99"/>
    <w:rsid w:val="00B1601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B16013"/>
    <w:pPr>
      <w:tabs>
        <w:tab w:val="center" w:pos="4252"/>
        <w:tab w:val="right" w:pos="8504"/>
      </w:tabs>
    </w:pPr>
  </w:style>
  <w:style w:type="character" w:customStyle="1" w:styleId="PiedepginaCar">
    <w:name w:val="Pie de página Car"/>
    <w:basedOn w:val="Fuentedeprrafopredeter"/>
    <w:link w:val="Piedepgina"/>
    <w:uiPriority w:val="99"/>
    <w:rsid w:val="00B16013"/>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B25DC9"/>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B25DC9"/>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B25DC9"/>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B25DC9"/>
    <w:rPr>
      <w:rFonts w:ascii="Bookman Old Style" w:eastAsia="Times New Roman" w:hAnsi="Bookman Old Style" w:cs="Times New Roman"/>
      <w:snapToGrid w:val="0"/>
      <w:spacing w:val="-3"/>
      <w:sz w:val="24"/>
      <w:szCs w:val="20"/>
      <w:lang w:val="es-ES_tradnl"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246A"/>
    <w:pPr>
      <w:spacing w:after="0" w:line="240" w:lineRule="auto"/>
    </w:pPr>
    <w:rPr>
      <w:rFonts w:ascii="Arial" w:eastAsia="Times New Roman" w:hAnsi="Arial" w:cs="Times New Roman"/>
      <w:sz w:val="24"/>
      <w:szCs w:val="24"/>
      <w:lang w:val="es-ES" w:eastAsia="es-ES"/>
    </w:rPr>
  </w:style>
  <w:style w:type="paragraph" w:styleId="Ttulo1">
    <w:name w:val="heading 1"/>
    <w:basedOn w:val="Normal"/>
    <w:next w:val="Normal"/>
    <w:link w:val="Ttulo1Car"/>
    <w:qFormat/>
    <w:rsid w:val="00B25DC9"/>
    <w:pPr>
      <w:keepNext/>
      <w:jc w:val="center"/>
      <w:outlineLvl w:val="0"/>
    </w:pPr>
    <w:rPr>
      <w:b/>
    </w:rPr>
  </w:style>
  <w:style w:type="paragraph" w:styleId="Ttulo2">
    <w:name w:val="heading 2"/>
    <w:basedOn w:val="Normal"/>
    <w:next w:val="Normal"/>
    <w:link w:val="Ttulo2Car"/>
    <w:qFormat/>
    <w:rsid w:val="00B25DC9"/>
    <w:pPr>
      <w:keepNext/>
      <w:jc w:val="right"/>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76246A"/>
    <w:pPr>
      <w:spacing w:line="360" w:lineRule="auto"/>
      <w:jc w:val="both"/>
    </w:pPr>
  </w:style>
  <w:style w:type="character" w:customStyle="1" w:styleId="TextoindependienteCar">
    <w:name w:val="Texto independiente Car"/>
    <w:basedOn w:val="Fuentedeprrafopredeter"/>
    <w:link w:val="Textoindependiente"/>
    <w:semiHidden/>
    <w:rsid w:val="0076246A"/>
    <w:rPr>
      <w:rFonts w:ascii="Arial" w:eastAsia="Times New Roman" w:hAnsi="Arial" w:cs="Times New Roman"/>
      <w:sz w:val="24"/>
      <w:szCs w:val="24"/>
      <w:lang w:val="es-ES" w:eastAsia="es-ES"/>
    </w:rPr>
  </w:style>
  <w:style w:type="paragraph" w:styleId="Encabezado">
    <w:name w:val="header"/>
    <w:basedOn w:val="Normal"/>
    <w:link w:val="EncabezadoCar"/>
    <w:uiPriority w:val="99"/>
    <w:unhideWhenUsed/>
    <w:rsid w:val="00B16013"/>
    <w:pPr>
      <w:tabs>
        <w:tab w:val="center" w:pos="4252"/>
        <w:tab w:val="right" w:pos="8504"/>
      </w:tabs>
    </w:pPr>
  </w:style>
  <w:style w:type="character" w:customStyle="1" w:styleId="EncabezadoCar">
    <w:name w:val="Encabezado Car"/>
    <w:basedOn w:val="Fuentedeprrafopredeter"/>
    <w:link w:val="Encabezado"/>
    <w:uiPriority w:val="99"/>
    <w:rsid w:val="00B16013"/>
    <w:rPr>
      <w:rFonts w:ascii="Arial" w:eastAsia="Times New Roman" w:hAnsi="Arial" w:cs="Times New Roman"/>
      <w:sz w:val="24"/>
      <w:szCs w:val="24"/>
      <w:lang w:val="es-ES" w:eastAsia="es-ES"/>
    </w:rPr>
  </w:style>
  <w:style w:type="paragraph" w:styleId="Piedepgina">
    <w:name w:val="footer"/>
    <w:basedOn w:val="Normal"/>
    <w:link w:val="PiedepginaCar"/>
    <w:uiPriority w:val="99"/>
    <w:unhideWhenUsed/>
    <w:rsid w:val="00B16013"/>
    <w:pPr>
      <w:tabs>
        <w:tab w:val="center" w:pos="4252"/>
        <w:tab w:val="right" w:pos="8504"/>
      </w:tabs>
    </w:pPr>
  </w:style>
  <w:style w:type="character" w:customStyle="1" w:styleId="PiedepginaCar">
    <w:name w:val="Pie de página Car"/>
    <w:basedOn w:val="Fuentedeprrafopredeter"/>
    <w:link w:val="Piedepgina"/>
    <w:uiPriority w:val="99"/>
    <w:rsid w:val="00B16013"/>
    <w:rPr>
      <w:rFonts w:ascii="Arial" w:eastAsia="Times New Roman" w:hAnsi="Arial" w:cs="Times New Roman"/>
      <w:sz w:val="24"/>
      <w:szCs w:val="24"/>
      <w:lang w:val="es-ES" w:eastAsia="es-ES"/>
    </w:rPr>
  </w:style>
  <w:style w:type="character" w:customStyle="1" w:styleId="Ttulo1Car">
    <w:name w:val="Título 1 Car"/>
    <w:basedOn w:val="Fuentedeprrafopredeter"/>
    <w:link w:val="Ttulo1"/>
    <w:rsid w:val="00B25DC9"/>
    <w:rPr>
      <w:rFonts w:ascii="Arial" w:eastAsia="Times New Roman" w:hAnsi="Arial" w:cs="Times New Roman"/>
      <w:b/>
      <w:sz w:val="24"/>
      <w:szCs w:val="24"/>
      <w:lang w:val="es-ES" w:eastAsia="es-ES"/>
    </w:rPr>
  </w:style>
  <w:style w:type="character" w:customStyle="1" w:styleId="Ttulo2Car">
    <w:name w:val="Título 2 Car"/>
    <w:basedOn w:val="Fuentedeprrafopredeter"/>
    <w:link w:val="Ttulo2"/>
    <w:rsid w:val="00B25DC9"/>
    <w:rPr>
      <w:rFonts w:ascii="Arial" w:eastAsia="Times New Roman" w:hAnsi="Arial" w:cs="Times New Roman"/>
      <w:b/>
      <w:sz w:val="24"/>
      <w:szCs w:val="24"/>
      <w:lang w:val="es-ES" w:eastAsia="es-ES"/>
    </w:rPr>
  </w:style>
  <w:style w:type="paragraph" w:styleId="Textoindependiente2">
    <w:name w:val="Body Text 2"/>
    <w:basedOn w:val="Normal"/>
    <w:link w:val="Textoindependiente2Car"/>
    <w:semiHidden/>
    <w:rsid w:val="00B25DC9"/>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B25DC9"/>
    <w:rPr>
      <w:rFonts w:ascii="Bookman Old Style" w:eastAsia="Times New Roman" w:hAnsi="Bookman Old Style" w:cs="Times New Roman"/>
      <w:snapToGrid w:val="0"/>
      <w:spacing w:val="-3"/>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865</Words>
  <Characters>4760</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 Caredio</dc:creator>
  <cp:lastModifiedBy>Tribunal1</cp:lastModifiedBy>
  <cp:revision>7</cp:revision>
  <dcterms:created xsi:type="dcterms:W3CDTF">2017-08-05T18:49:00Z</dcterms:created>
  <dcterms:modified xsi:type="dcterms:W3CDTF">2017-09-07T15:58:00Z</dcterms:modified>
</cp:coreProperties>
</file>