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199" w:rsidRDefault="00495824" w:rsidP="00A03199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</w:p>
    <w:p w:rsidR="00A03199" w:rsidRDefault="00A03199" w:rsidP="00A03199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A03199" w:rsidRDefault="00A03199" w:rsidP="00A03199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A03199" w:rsidRDefault="00A03199" w:rsidP="00A03199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F20119" w:rsidRPr="008F61B9" w:rsidRDefault="00385EB7" w:rsidP="00A03199">
      <w:pPr>
        <w:spacing w:line="360" w:lineRule="auto"/>
        <w:jc w:val="right"/>
        <w:rPr>
          <w:rFonts w:ascii="Arial" w:hAnsi="Arial" w:cs="Arial"/>
          <w:b/>
          <w:sz w:val="28"/>
          <w:szCs w:val="28"/>
        </w:rPr>
      </w:pPr>
      <w:r w:rsidRPr="008F61B9">
        <w:rPr>
          <w:rFonts w:ascii="Arial" w:hAnsi="Arial" w:cs="Arial"/>
          <w:b/>
          <w:sz w:val="28"/>
          <w:szCs w:val="28"/>
        </w:rPr>
        <w:t>RES. 2461/17</w:t>
      </w:r>
    </w:p>
    <w:p w:rsidR="00A03199" w:rsidRDefault="00F20119" w:rsidP="00A0319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03199">
        <w:rPr>
          <w:rFonts w:ascii="Arial" w:hAnsi="Arial" w:cs="Arial"/>
          <w:b/>
          <w:sz w:val="24"/>
          <w:szCs w:val="24"/>
        </w:rPr>
        <w:t xml:space="preserve">RESOLUCIÓN ADOPTADA POR EL </w:t>
      </w:r>
    </w:p>
    <w:p w:rsidR="00A03199" w:rsidRDefault="00F20119" w:rsidP="00A0319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03199">
        <w:rPr>
          <w:rFonts w:ascii="Arial" w:hAnsi="Arial" w:cs="Arial"/>
          <w:b/>
          <w:sz w:val="24"/>
          <w:szCs w:val="24"/>
        </w:rPr>
        <w:t xml:space="preserve">TRIBUNAL DE CUENTAS </w:t>
      </w:r>
    </w:p>
    <w:p w:rsidR="00FA76CD" w:rsidRPr="00A03199" w:rsidRDefault="00F20119" w:rsidP="00A0319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03199">
        <w:rPr>
          <w:rFonts w:ascii="Arial" w:hAnsi="Arial" w:cs="Arial"/>
          <w:b/>
          <w:sz w:val="24"/>
          <w:szCs w:val="24"/>
        </w:rPr>
        <w:t>EN SESIÓN DE FECHA 2 DE AGOSTO DE 2017</w:t>
      </w:r>
    </w:p>
    <w:p w:rsidR="00A03199" w:rsidRPr="00F3040B" w:rsidRDefault="00F20119" w:rsidP="00F3040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03199">
        <w:rPr>
          <w:rFonts w:ascii="Arial" w:hAnsi="Arial" w:cs="Arial"/>
          <w:b/>
          <w:sz w:val="24"/>
          <w:szCs w:val="24"/>
        </w:rPr>
        <w:t xml:space="preserve">(E.E. N° 2017-17-1-0002406, </w:t>
      </w:r>
      <w:r w:rsidR="004A0FB1">
        <w:rPr>
          <w:rFonts w:ascii="Arial" w:hAnsi="Arial" w:cs="Arial"/>
          <w:b/>
          <w:sz w:val="24"/>
          <w:szCs w:val="24"/>
        </w:rPr>
        <w:t>Ent. 3452 y 1917</w:t>
      </w:r>
      <w:r w:rsidRPr="00A03199">
        <w:rPr>
          <w:rFonts w:ascii="Arial" w:hAnsi="Arial" w:cs="Arial"/>
          <w:b/>
          <w:sz w:val="24"/>
          <w:szCs w:val="24"/>
        </w:rPr>
        <w:t>)</w:t>
      </w:r>
      <w:r w:rsidR="00F3040B">
        <w:rPr>
          <w:rFonts w:ascii="Arial" w:hAnsi="Arial" w:cs="Arial"/>
          <w:b/>
          <w:sz w:val="24"/>
          <w:szCs w:val="24"/>
        </w:rPr>
        <w:t xml:space="preserve"> </w:t>
      </w:r>
    </w:p>
    <w:p w:rsidR="00F20119" w:rsidRPr="00A03199" w:rsidRDefault="008F61B9" w:rsidP="008F61B9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F20119" w:rsidRPr="00A03199">
        <w:rPr>
          <w:rFonts w:ascii="Arial" w:hAnsi="Arial" w:cs="Arial"/>
          <w:b/>
          <w:sz w:val="24"/>
          <w:szCs w:val="24"/>
        </w:rPr>
        <w:t>VISTO:</w:t>
      </w:r>
      <w:r w:rsidR="00F20119" w:rsidRPr="00A03199">
        <w:rPr>
          <w:rFonts w:ascii="Arial" w:hAnsi="Arial" w:cs="Arial"/>
          <w:sz w:val="24"/>
          <w:szCs w:val="24"/>
        </w:rPr>
        <w:t xml:space="preserve"> la Resolución N° 1519/17 de 17 de mayo </w:t>
      </w:r>
      <w:r w:rsidR="004A0FB1">
        <w:rPr>
          <w:rFonts w:ascii="Arial" w:hAnsi="Arial" w:cs="Arial"/>
          <w:sz w:val="24"/>
          <w:szCs w:val="24"/>
        </w:rPr>
        <w:t>de 2017 del Tribunal de Cuentas;</w:t>
      </w:r>
    </w:p>
    <w:p w:rsidR="00F20119" w:rsidRPr="00A03199" w:rsidRDefault="008F61B9" w:rsidP="008F61B9">
      <w:pPr>
        <w:tabs>
          <w:tab w:val="left" w:pos="851"/>
          <w:tab w:val="left" w:pos="269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RESULTANDO:</w:t>
      </w:r>
      <w:r>
        <w:rPr>
          <w:rFonts w:ascii="Arial" w:hAnsi="Arial" w:cs="Arial"/>
          <w:b/>
          <w:sz w:val="24"/>
          <w:szCs w:val="24"/>
        </w:rPr>
        <w:tab/>
      </w:r>
      <w:r w:rsidR="00F20119" w:rsidRPr="00A03199">
        <w:rPr>
          <w:rFonts w:ascii="Arial" w:hAnsi="Arial" w:cs="Arial"/>
          <w:b/>
          <w:sz w:val="24"/>
          <w:szCs w:val="24"/>
        </w:rPr>
        <w:t>1)</w:t>
      </w:r>
      <w:r w:rsidR="004A0FB1">
        <w:rPr>
          <w:rFonts w:ascii="Arial" w:hAnsi="Arial" w:cs="Arial"/>
          <w:sz w:val="24"/>
          <w:szCs w:val="24"/>
        </w:rPr>
        <w:t xml:space="preserve"> q</w:t>
      </w:r>
      <w:r w:rsidR="00F20119" w:rsidRPr="00A03199">
        <w:rPr>
          <w:rFonts w:ascii="Arial" w:hAnsi="Arial" w:cs="Arial"/>
          <w:sz w:val="24"/>
          <w:szCs w:val="24"/>
        </w:rPr>
        <w:t>ue la mencionada Resolución recayó sobre las actuaciones remitidas por la Intendencia de Maldonado relativas a la ampliación de la contratación resultante de la Licitación Pública N° 26/2008, convocada para la recolección automática y manual de residuos y su transporte hasta el sitio de disposición final;</w:t>
      </w:r>
    </w:p>
    <w:p w:rsidR="00A03199" w:rsidRPr="00A03199" w:rsidRDefault="008F61B9" w:rsidP="008F61B9">
      <w:pPr>
        <w:tabs>
          <w:tab w:val="left" w:pos="269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A03199" w:rsidRPr="00A03199">
        <w:rPr>
          <w:rFonts w:ascii="Arial" w:hAnsi="Arial" w:cs="Arial"/>
          <w:b/>
          <w:sz w:val="24"/>
          <w:szCs w:val="24"/>
        </w:rPr>
        <w:t>2)</w:t>
      </w:r>
      <w:r w:rsidR="00A03199" w:rsidRPr="00A03199">
        <w:rPr>
          <w:rFonts w:ascii="Arial" w:hAnsi="Arial" w:cs="Arial"/>
          <w:sz w:val="24"/>
          <w:szCs w:val="24"/>
        </w:rPr>
        <w:t xml:space="preserve"> que este Tribunal en Sesión del 17 de mayo de 2017 entendió que la ampliación se ajusta</w:t>
      </w:r>
      <w:r w:rsidR="004A0FB1">
        <w:rPr>
          <w:rFonts w:ascii="Arial" w:hAnsi="Arial" w:cs="Arial"/>
          <w:sz w:val="24"/>
          <w:szCs w:val="24"/>
        </w:rPr>
        <w:t>ba</w:t>
      </w:r>
      <w:r w:rsidR="00A03199" w:rsidRPr="00A03199">
        <w:rPr>
          <w:rFonts w:ascii="Arial" w:hAnsi="Arial" w:cs="Arial"/>
          <w:sz w:val="24"/>
          <w:szCs w:val="24"/>
        </w:rPr>
        <w:t xml:space="preserve"> a lo establecido en el Art. 74 del TOCAF;</w:t>
      </w:r>
    </w:p>
    <w:p w:rsidR="00A03199" w:rsidRPr="00A03199" w:rsidRDefault="008F61B9" w:rsidP="008F61B9">
      <w:pPr>
        <w:tabs>
          <w:tab w:val="left" w:pos="851"/>
          <w:tab w:val="left" w:pos="311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CONSIDERANDO: </w:t>
      </w:r>
      <w:r>
        <w:rPr>
          <w:rFonts w:ascii="Arial" w:hAnsi="Arial" w:cs="Arial"/>
          <w:b/>
          <w:sz w:val="24"/>
          <w:szCs w:val="24"/>
        </w:rPr>
        <w:tab/>
      </w:r>
      <w:r w:rsidR="00A03199" w:rsidRPr="00A03199">
        <w:rPr>
          <w:rFonts w:ascii="Arial" w:hAnsi="Arial" w:cs="Arial"/>
          <w:b/>
          <w:sz w:val="24"/>
          <w:szCs w:val="24"/>
        </w:rPr>
        <w:t>1)</w:t>
      </w:r>
      <w:r w:rsidR="004A0FB1">
        <w:rPr>
          <w:rFonts w:ascii="Arial" w:hAnsi="Arial" w:cs="Arial"/>
          <w:sz w:val="24"/>
          <w:szCs w:val="24"/>
        </w:rPr>
        <w:t xml:space="preserve"> q</w:t>
      </w:r>
      <w:r w:rsidR="00A03199" w:rsidRPr="00A03199">
        <w:rPr>
          <w:rFonts w:ascii="Arial" w:hAnsi="Arial" w:cs="Arial"/>
          <w:sz w:val="24"/>
          <w:szCs w:val="24"/>
        </w:rPr>
        <w:t>ue  en el Acuerda de la resolución de referencia se cometió error observando  la ampliación dispuesta</w:t>
      </w:r>
      <w:r w:rsidR="004A0FB1">
        <w:rPr>
          <w:rFonts w:ascii="Arial" w:hAnsi="Arial" w:cs="Arial"/>
          <w:sz w:val="24"/>
          <w:szCs w:val="24"/>
        </w:rPr>
        <w:t xml:space="preserve">; </w:t>
      </w:r>
      <w:r w:rsidR="00A03199" w:rsidRPr="00A03199">
        <w:rPr>
          <w:rFonts w:ascii="Arial" w:hAnsi="Arial" w:cs="Arial"/>
          <w:sz w:val="24"/>
          <w:szCs w:val="24"/>
        </w:rPr>
        <w:t xml:space="preserve"> </w:t>
      </w:r>
    </w:p>
    <w:p w:rsidR="00A03199" w:rsidRPr="00A03199" w:rsidRDefault="008F61B9" w:rsidP="008F61B9">
      <w:pPr>
        <w:tabs>
          <w:tab w:val="left" w:pos="311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A03199" w:rsidRPr="00A03199">
        <w:rPr>
          <w:rFonts w:ascii="Arial" w:hAnsi="Arial" w:cs="Arial"/>
          <w:b/>
          <w:sz w:val="24"/>
          <w:szCs w:val="24"/>
        </w:rPr>
        <w:t>2)</w:t>
      </w:r>
      <w:r w:rsidR="00A03199" w:rsidRPr="00A03199">
        <w:rPr>
          <w:rFonts w:ascii="Arial" w:hAnsi="Arial" w:cs="Arial"/>
          <w:sz w:val="24"/>
          <w:szCs w:val="24"/>
        </w:rPr>
        <w:t xml:space="preserve">  que  en la medida que la ampliación se ajusta a la normativa vigente se </w:t>
      </w:r>
      <w:r w:rsidR="004A0FB1">
        <w:rPr>
          <w:rFonts w:ascii="Arial" w:hAnsi="Arial" w:cs="Arial"/>
          <w:sz w:val="24"/>
          <w:szCs w:val="24"/>
        </w:rPr>
        <w:t>debe intervenir sin observación no correspondiendo la reiteración del gasto por el ordenador competente;</w:t>
      </w:r>
    </w:p>
    <w:p w:rsidR="00A03199" w:rsidRPr="00A03199" w:rsidRDefault="008F61B9" w:rsidP="008F61B9">
      <w:pPr>
        <w:tabs>
          <w:tab w:val="left" w:pos="851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A03199" w:rsidRPr="00A03199">
        <w:rPr>
          <w:rFonts w:ascii="Arial" w:hAnsi="Arial" w:cs="Arial"/>
          <w:b/>
          <w:sz w:val="24"/>
          <w:szCs w:val="24"/>
        </w:rPr>
        <w:t>ATENTO</w:t>
      </w:r>
      <w:r w:rsidR="00A03199" w:rsidRPr="00A03199">
        <w:rPr>
          <w:rFonts w:ascii="Arial" w:hAnsi="Arial" w:cs="Arial"/>
          <w:sz w:val="24"/>
          <w:szCs w:val="24"/>
        </w:rPr>
        <w:t xml:space="preserve">  a lo </w:t>
      </w:r>
      <w:r w:rsidR="004A0FB1">
        <w:rPr>
          <w:rFonts w:ascii="Arial" w:hAnsi="Arial" w:cs="Arial"/>
          <w:sz w:val="24"/>
          <w:szCs w:val="24"/>
        </w:rPr>
        <w:t>precedentemente expuesto;</w:t>
      </w:r>
    </w:p>
    <w:p w:rsidR="00A03199" w:rsidRDefault="00A03199" w:rsidP="00A0319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03199" w:rsidRDefault="00A03199" w:rsidP="00A0319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03199" w:rsidRPr="00A03199" w:rsidRDefault="00A03199" w:rsidP="00A0319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03199">
        <w:rPr>
          <w:rFonts w:ascii="Arial" w:hAnsi="Arial" w:cs="Arial"/>
          <w:b/>
          <w:sz w:val="24"/>
          <w:szCs w:val="24"/>
        </w:rPr>
        <w:t>EL TRIBUNAL ACUERDA</w:t>
      </w:r>
    </w:p>
    <w:p w:rsidR="004A0FB1" w:rsidRPr="008F61B9" w:rsidRDefault="00A03199" w:rsidP="008F61B9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A03199">
        <w:rPr>
          <w:rFonts w:ascii="Arial" w:hAnsi="Arial" w:cs="Arial"/>
          <w:sz w:val="24"/>
          <w:szCs w:val="24"/>
        </w:rPr>
        <w:t>Modificar el Numeral 1) del Acuerda</w:t>
      </w:r>
      <w:r w:rsidR="004A0FB1">
        <w:rPr>
          <w:rFonts w:ascii="Arial" w:hAnsi="Arial" w:cs="Arial"/>
          <w:sz w:val="24"/>
          <w:szCs w:val="24"/>
        </w:rPr>
        <w:t xml:space="preserve"> de la resolución 1519/17</w:t>
      </w:r>
      <w:r w:rsidRPr="00A03199">
        <w:rPr>
          <w:rFonts w:ascii="Arial" w:hAnsi="Arial" w:cs="Arial"/>
          <w:sz w:val="24"/>
          <w:szCs w:val="24"/>
        </w:rPr>
        <w:t>, el que quedará redactado de la siguiente manera; “1) Intervenir la ampliación dispuesta por el 14,17 %de la contratación original”.</w:t>
      </w:r>
    </w:p>
    <w:p w:rsidR="00A03199" w:rsidRDefault="004A0FB1" w:rsidP="008F61B9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Comunicar a la Intendencia de Maldonado. </w:t>
      </w:r>
    </w:p>
    <w:p w:rsidR="008F61B9" w:rsidRPr="00A03199" w:rsidRDefault="008F61B9" w:rsidP="008F61B9">
      <w:pPr>
        <w:pStyle w:val="Prrafodelista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sectPr w:rsidR="008F61B9" w:rsidRPr="00A031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84532"/>
    <w:multiLevelType w:val="hybridMultilevel"/>
    <w:tmpl w:val="27A42160"/>
    <w:lvl w:ilvl="0" w:tplc="D83C382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119"/>
    <w:rsid w:val="00385EB7"/>
    <w:rsid w:val="00495824"/>
    <w:rsid w:val="004A0FB1"/>
    <w:rsid w:val="004D0DF6"/>
    <w:rsid w:val="008F61B9"/>
    <w:rsid w:val="009F53CE"/>
    <w:rsid w:val="00A03199"/>
    <w:rsid w:val="00F20119"/>
    <w:rsid w:val="00F3040B"/>
    <w:rsid w:val="00FA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31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3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D95B6-EE33-4F9E-9636-73920564E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Matias Consonni</dc:creator>
  <cp:lastModifiedBy>Tribunal1</cp:lastModifiedBy>
  <cp:revision>3</cp:revision>
  <dcterms:created xsi:type="dcterms:W3CDTF">2017-08-09T16:26:00Z</dcterms:created>
  <dcterms:modified xsi:type="dcterms:W3CDTF">2017-09-05T16:26:00Z</dcterms:modified>
</cp:coreProperties>
</file>