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4A3" w:rsidRDefault="004A54A3" w:rsidP="004A54A3">
      <w:pPr>
        <w:autoSpaceDE w:val="0"/>
        <w:autoSpaceDN w:val="0"/>
        <w:adjustRightInd w:val="0"/>
        <w:spacing w:line="360" w:lineRule="auto"/>
        <w:jc w:val="right"/>
        <w:rPr>
          <w:rFonts w:cs="Arial"/>
          <w:lang w:val="es" w:eastAsia="es-AR"/>
        </w:rPr>
      </w:pPr>
      <w:bookmarkStart w:id="0" w:name="_GoBack"/>
      <w:bookmarkEnd w:id="0"/>
      <w:r>
        <w:rPr>
          <w:rFonts w:cs="Arial"/>
          <w:lang w:val="es" w:eastAsia="es-AR"/>
        </w:rPr>
        <w:t>Montevideo, 28 de julio de 2017.-</w:t>
      </w:r>
    </w:p>
    <w:p w:rsidR="004A54A3" w:rsidRDefault="00244664" w:rsidP="004A54A3">
      <w:pPr>
        <w:autoSpaceDE w:val="0"/>
        <w:autoSpaceDN w:val="0"/>
        <w:adjustRightInd w:val="0"/>
        <w:spacing w:line="360" w:lineRule="auto"/>
        <w:rPr>
          <w:rFonts w:cs="Arial"/>
          <w:lang w:val="es" w:eastAsia="es-AR"/>
        </w:rPr>
      </w:pPr>
      <w:r>
        <w:rPr>
          <w:rFonts w:cs="Arial"/>
          <w:lang w:val="es" w:eastAsia="es-AR"/>
        </w:rPr>
        <w:t>Señor Presidente de la</w:t>
      </w:r>
    </w:p>
    <w:p w:rsidR="004A54A3" w:rsidRDefault="004A54A3" w:rsidP="004A54A3">
      <w:pPr>
        <w:autoSpaceDE w:val="0"/>
        <w:autoSpaceDN w:val="0"/>
        <w:adjustRightInd w:val="0"/>
        <w:spacing w:line="360" w:lineRule="auto"/>
        <w:rPr>
          <w:rFonts w:cs="Arial"/>
          <w:lang w:val="es" w:eastAsia="es-AR"/>
        </w:rPr>
      </w:pPr>
      <w:r>
        <w:rPr>
          <w:rFonts w:cs="Arial"/>
          <w:lang w:val="es" w:eastAsia="es-AR"/>
        </w:rPr>
        <w:t>Cámara de Representantes</w:t>
      </w:r>
    </w:p>
    <w:p w:rsidR="004A54A3" w:rsidRDefault="004A54A3" w:rsidP="004A54A3">
      <w:pPr>
        <w:autoSpaceDE w:val="0"/>
        <w:autoSpaceDN w:val="0"/>
        <w:adjustRightInd w:val="0"/>
        <w:spacing w:line="360" w:lineRule="auto"/>
        <w:rPr>
          <w:rFonts w:cs="Arial"/>
          <w:lang w:val="es" w:eastAsia="es-AR"/>
        </w:rPr>
      </w:pPr>
      <w:r>
        <w:rPr>
          <w:rFonts w:cs="Arial"/>
          <w:lang w:val="es" w:eastAsia="es-AR"/>
        </w:rPr>
        <w:t xml:space="preserve">José Carlos </w:t>
      </w:r>
      <w:proofErr w:type="spellStart"/>
      <w:r>
        <w:rPr>
          <w:rFonts w:cs="Arial"/>
          <w:lang w:val="es" w:eastAsia="es-AR"/>
        </w:rPr>
        <w:t>Mahía</w:t>
      </w:r>
      <w:proofErr w:type="spellEnd"/>
    </w:p>
    <w:p w:rsidR="004A54A3" w:rsidRDefault="004A54A3" w:rsidP="004A54A3">
      <w:pPr>
        <w:autoSpaceDE w:val="0"/>
        <w:autoSpaceDN w:val="0"/>
        <w:adjustRightInd w:val="0"/>
        <w:spacing w:line="360" w:lineRule="auto"/>
        <w:jc w:val="right"/>
        <w:rPr>
          <w:rFonts w:cs="Arial"/>
          <w:lang w:val="es" w:eastAsia="es-AR"/>
        </w:rPr>
      </w:pPr>
      <w:r>
        <w:rPr>
          <w:rFonts w:cs="Arial"/>
          <w:lang w:val="es" w:eastAsia="es-AR"/>
        </w:rPr>
        <w:t>E.</w:t>
      </w:r>
      <w:r w:rsidR="00244664">
        <w:rPr>
          <w:rFonts w:cs="Arial"/>
          <w:lang w:val="es" w:eastAsia="es-AR"/>
        </w:rPr>
        <w:t xml:space="preserve"> </w:t>
      </w:r>
      <w:r>
        <w:rPr>
          <w:rFonts w:cs="Arial"/>
          <w:lang w:val="es" w:eastAsia="es-AR"/>
        </w:rPr>
        <w:t>E. 2017-17-1-0003681</w:t>
      </w:r>
    </w:p>
    <w:p w:rsidR="004A54A3" w:rsidRDefault="004A54A3" w:rsidP="004A54A3">
      <w:pPr>
        <w:autoSpaceDE w:val="0"/>
        <w:autoSpaceDN w:val="0"/>
        <w:adjustRightInd w:val="0"/>
        <w:spacing w:line="360" w:lineRule="auto"/>
        <w:jc w:val="right"/>
        <w:rPr>
          <w:rFonts w:cs="Arial"/>
          <w:lang w:val="es" w:eastAsia="es-AR"/>
        </w:rPr>
      </w:pPr>
      <w:r>
        <w:rPr>
          <w:rFonts w:cs="Arial"/>
          <w:lang w:val="es" w:eastAsia="es-AR"/>
        </w:rPr>
        <w:t>Entrada 2992/17</w:t>
      </w:r>
    </w:p>
    <w:p w:rsidR="004A54A3" w:rsidRDefault="004A54A3" w:rsidP="004A54A3">
      <w:pPr>
        <w:autoSpaceDE w:val="0"/>
        <w:autoSpaceDN w:val="0"/>
        <w:adjustRightInd w:val="0"/>
        <w:spacing w:line="360" w:lineRule="auto"/>
        <w:jc w:val="right"/>
        <w:rPr>
          <w:rFonts w:cs="Arial"/>
          <w:highlight w:val="yellow"/>
          <w:lang w:val="es" w:eastAsia="es-AR"/>
        </w:rPr>
      </w:pPr>
      <w:r>
        <w:rPr>
          <w:rFonts w:cs="Arial"/>
          <w:lang w:val="es" w:eastAsia="es-AR"/>
        </w:rPr>
        <w:t>Oficio 5636/17</w:t>
      </w:r>
    </w:p>
    <w:p w:rsidR="004A54A3" w:rsidRDefault="004A54A3" w:rsidP="004A54A3">
      <w:pPr>
        <w:autoSpaceDE w:val="0"/>
        <w:autoSpaceDN w:val="0"/>
        <w:adjustRightInd w:val="0"/>
        <w:spacing w:line="360" w:lineRule="auto"/>
        <w:ind w:firstLine="851"/>
        <w:jc w:val="both"/>
        <w:rPr>
          <w:rFonts w:cs="Arial"/>
          <w:lang w:val="es" w:eastAsia="es-AR"/>
        </w:rPr>
      </w:pPr>
      <w:r>
        <w:rPr>
          <w:rFonts w:cs="Arial"/>
          <w:lang w:val="es" w:eastAsia="es-AR"/>
        </w:rPr>
        <w:t>Por Oficio N° 13.946 de fecha 09/06/2017, esa Cámara transcribe la solicitud del Señor Representante Pablo Iturralde Viñas, en la que se efectuó un pedido de informes relacionado con las tarjetas de crédito institucionales de la Administración de las Obras</w:t>
      </w:r>
      <w:r w:rsidR="00244664">
        <w:rPr>
          <w:rFonts w:cs="Arial"/>
          <w:lang w:val="es" w:eastAsia="es-AR"/>
        </w:rPr>
        <w:t xml:space="preserve"> Sanitarias del Estado (OSE).</w:t>
      </w:r>
    </w:p>
    <w:p w:rsidR="004A54A3" w:rsidRDefault="004A54A3" w:rsidP="004A54A3">
      <w:pPr>
        <w:autoSpaceDE w:val="0"/>
        <w:autoSpaceDN w:val="0"/>
        <w:adjustRightInd w:val="0"/>
        <w:spacing w:line="360" w:lineRule="auto"/>
        <w:jc w:val="both"/>
        <w:rPr>
          <w:rFonts w:cs="Arial"/>
          <w:lang w:val="es" w:eastAsia="es-AR"/>
        </w:rPr>
      </w:pPr>
      <w:r>
        <w:rPr>
          <w:rFonts w:cs="Arial"/>
          <w:lang w:val="es" w:eastAsia="es-AR"/>
        </w:rPr>
        <w:t>Al respecto se solicitó:</w:t>
      </w:r>
    </w:p>
    <w:p w:rsidR="004A54A3" w:rsidRDefault="004A54A3" w:rsidP="004A54A3">
      <w:pPr>
        <w:autoSpaceDE w:val="0"/>
        <w:autoSpaceDN w:val="0"/>
        <w:adjustRightInd w:val="0"/>
        <w:spacing w:line="360" w:lineRule="auto"/>
        <w:jc w:val="both"/>
        <w:rPr>
          <w:rFonts w:cs="Arial"/>
          <w:lang w:val="es" w:eastAsia="es-AR"/>
        </w:rPr>
      </w:pPr>
      <w:r>
        <w:rPr>
          <w:rFonts w:cs="Arial"/>
          <w:lang w:val="es" w:eastAsia="es-AR"/>
        </w:rPr>
        <w:t>“1.  Detalle del procedimiento por el cual se intervienen los gastos afrontados por los funcionarios y jerarcas de la OSE, mediante las tarjetas de crédito institucionales.</w:t>
      </w:r>
    </w:p>
    <w:p w:rsidR="004A54A3" w:rsidRDefault="004A54A3" w:rsidP="004A54A3">
      <w:pPr>
        <w:autoSpaceDE w:val="0"/>
        <w:autoSpaceDN w:val="0"/>
        <w:adjustRightInd w:val="0"/>
        <w:spacing w:line="360" w:lineRule="auto"/>
        <w:jc w:val="both"/>
        <w:rPr>
          <w:rFonts w:cs="Arial"/>
          <w:lang w:val="es" w:eastAsia="es-AR"/>
        </w:rPr>
      </w:pPr>
      <w:r>
        <w:rPr>
          <w:rFonts w:cs="Arial"/>
          <w:lang w:val="es" w:eastAsia="es-AR"/>
        </w:rPr>
        <w:t>2. Protocolo de procedimiento, actuación y criterios impartidos por el Tribunal a su Oficina Delegada en OSE, en relación a la intervención de los gastos a que refiere el numeral anterior.</w:t>
      </w:r>
    </w:p>
    <w:p w:rsidR="004A54A3" w:rsidRPr="004A54A3" w:rsidRDefault="004A54A3" w:rsidP="004A54A3">
      <w:pPr>
        <w:pStyle w:val="Prrafodelista"/>
        <w:autoSpaceDE w:val="0"/>
        <w:autoSpaceDN w:val="0"/>
        <w:adjustRightInd w:val="0"/>
        <w:spacing w:line="360" w:lineRule="auto"/>
        <w:ind w:left="0"/>
        <w:jc w:val="both"/>
        <w:rPr>
          <w:rFonts w:cs="Arial"/>
          <w:lang w:val="es" w:eastAsia="es-AR"/>
        </w:rPr>
      </w:pPr>
      <w:r>
        <w:rPr>
          <w:rFonts w:cs="Arial"/>
          <w:lang w:val="es" w:eastAsia="es-AR"/>
        </w:rPr>
        <w:t xml:space="preserve">3. </w:t>
      </w:r>
      <w:r w:rsidRPr="004A54A3">
        <w:rPr>
          <w:rFonts w:cs="Arial"/>
          <w:lang w:val="es" w:eastAsia="es-AR"/>
        </w:rPr>
        <w:t>Intervenciones, observaciones y actuaciones de la Oficina Delegada o del mismo Tribunal, en relación a las rendiciones de cuentas y justificaciones de gastos afrontados con las tarjetas mencionadas, desde que fueron otorgadas por dicho Organismo.”</w:t>
      </w:r>
    </w:p>
    <w:p w:rsidR="004A54A3" w:rsidRDefault="004A54A3" w:rsidP="004A54A3">
      <w:pPr>
        <w:autoSpaceDE w:val="0"/>
        <w:autoSpaceDN w:val="0"/>
        <w:adjustRightInd w:val="0"/>
        <w:spacing w:line="360" w:lineRule="auto"/>
        <w:jc w:val="both"/>
        <w:rPr>
          <w:rFonts w:cs="Arial"/>
          <w:lang w:val="es" w:eastAsia="es-AR"/>
        </w:rPr>
      </w:pPr>
      <w:r>
        <w:rPr>
          <w:rFonts w:cs="Arial"/>
          <w:lang w:val="es" w:eastAsia="es-AR"/>
        </w:rPr>
        <w:t xml:space="preserve">Con relación al Numeral 1 de la solicitud corresponde señalar que, con fecha 25/01/2011 fue aprobado el “Manual de Procedimiento de registro y pago de tarjeta de crédito” por la Sub-Gerencia General Administrativa. El mismo describe las actividades para la registración del pago de la tarjeta de crédito que se realiza por débito automático, la registración de los comprobantes de </w:t>
      </w:r>
      <w:r>
        <w:rPr>
          <w:rFonts w:cs="Arial"/>
          <w:lang w:val="es" w:eastAsia="es-AR"/>
        </w:rPr>
        <w:lastRenderedPageBreak/>
        <w:t>gastos y la intervención del Contador Delegado del Tribunal de Cuentas. Dicho Manual de Procedimiento se adjunta en Anexo I.</w:t>
      </w:r>
    </w:p>
    <w:p w:rsidR="004A54A3" w:rsidRPr="004A54A3" w:rsidRDefault="004A54A3" w:rsidP="004A54A3">
      <w:pPr>
        <w:autoSpaceDE w:val="0"/>
        <w:autoSpaceDN w:val="0"/>
        <w:adjustRightInd w:val="0"/>
        <w:spacing w:line="360" w:lineRule="auto"/>
        <w:jc w:val="both"/>
        <w:rPr>
          <w:rFonts w:cs="Arial"/>
          <w:lang w:val="es" w:eastAsia="es-AR"/>
        </w:rPr>
      </w:pPr>
      <w:r w:rsidRPr="004A54A3">
        <w:rPr>
          <w:rFonts w:cs="Arial"/>
          <w:lang w:val="es" w:eastAsia="es-AR"/>
        </w:rPr>
        <w:t>Con respecto al Numeral 2 se señala que el Tribunal de Cuentas no ha dictado resoluciones u ordenanzas específicas para gastos abonados mediante la modalidad de tarjeta corporativas. Los mismos están sujetos al control del Tribunal, conforme a lo que establece el Artículo 211 de l</w:t>
      </w:r>
      <w:r w:rsidR="00244664">
        <w:rPr>
          <w:rFonts w:cs="Arial"/>
          <w:lang w:val="es" w:eastAsia="es-AR"/>
        </w:rPr>
        <w:t>a Constitución de la República.</w:t>
      </w:r>
    </w:p>
    <w:p w:rsidR="004A54A3" w:rsidRDefault="004A54A3" w:rsidP="004A54A3">
      <w:pPr>
        <w:autoSpaceDE w:val="0"/>
        <w:autoSpaceDN w:val="0"/>
        <w:adjustRightInd w:val="0"/>
        <w:spacing w:line="360" w:lineRule="auto"/>
        <w:jc w:val="both"/>
        <w:rPr>
          <w:rFonts w:cs="Arial"/>
          <w:lang w:val="es" w:eastAsia="es-AR"/>
        </w:rPr>
      </w:pPr>
      <w:r>
        <w:rPr>
          <w:rFonts w:cs="Arial"/>
          <w:lang w:val="es" w:eastAsia="es-AR"/>
        </w:rPr>
        <w:t>En cuanto al Numeral 3 se adjunta el listado de los gastos sometidos al control del Tribunal, con o sin observación (Anexo II</w:t>
      </w:r>
      <w:r>
        <w:rPr>
          <w:rFonts w:cs="Arial"/>
          <w:iCs/>
          <w:lang w:val="es" w:eastAsia="es-AR"/>
        </w:rPr>
        <w:t>)</w:t>
      </w:r>
      <w:r>
        <w:rPr>
          <w:rFonts w:cs="Arial"/>
          <w:i/>
          <w:iCs/>
          <w:lang w:val="es" w:eastAsia="es-AR"/>
        </w:rPr>
        <w:t xml:space="preserve">. </w:t>
      </w:r>
      <w:r>
        <w:rPr>
          <w:rFonts w:cs="Arial"/>
          <w:lang w:val="es" w:eastAsia="es-AR"/>
        </w:rPr>
        <w:t>El motivo de observación fue, en todos los casos, la falta de crédito presupuestal  en el rubro “2” Servicios no Personales en el que fueron imputados los gastos. Respecto de los casos en que se omite la fecha de actuación, se señala que ello obedece fundamentalmente a que en su mayoría son anteriores a la aprobación del “Manual de Procedimiento de registro y pago de tarjeta de crédito” de 25/01/2011 referido.</w:t>
      </w:r>
    </w:p>
    <w:p w:rsidR="004A54A3" w:rsidRDefault="004A54A3" w:rsidP="004A54A3">
      <w:pPr>
        <w:autoSpaceDE w:val="0"/>
        <w:autoSpaceDN w:val="0"/>
        <w:adjustRightInd w:val="0"/>
        <w:spacing w:after="200" w:line="360" w:lineRule="auto"/>
        <w:jc w:val="right"/>
        <w:rPr>
          <w:rFonts w:cs="Arial"/>
          <w:lang w:val="es" w:eastAsia="es-AR"/>
        </w:rPr>
      </w:pPr>
      <w:r>
        <w:rPr>
          <w:rFonts w:cs="Arial"/>
          <w:lang w:val="es" w:eastAsia="es-AR"/>
        </w:rPr>
        <w:t>Saludamos a usted</w:t>
      </w:r>
      <w:r w:rsidR="00244664">
        <w:rPr>
          <w:rFonts w:cs="Arial"/>
          <w:lang w:val="es" w:eastAsia="es-AR"/>
        </w:rPr>
        <w:t xml:space="preserve"> atentamente</w:t>
      </w:r>
    </w:p>
    <w:p w:rsidR="004A54A3" w:rsidRDefault="004A54A3" w:rsidP="004A54A3">
      <w:pPr>
        <w:autoSpaceDE w:val="0"/>
        <w:autoSpaceDN w:val="0"/>
        <w:adjustRightInd w:val="0"/>
        <w:spacing w:after="200" w:line="360" w:lineRule="auto"/>
        <w:jc w:val="right"/>
        <w:rPr>
          <w:rFonts w:cs="Arial"/>
          <w:lang w:val="es" w:eastAsia="es-AR"/>
        </w:rPr>
      </w:pPr>
    </w:p>
    <w:p w:rsidR="004A54A3" w:rsidRDefault="004A54A3" w:rsidP="004A54A3">
      <w:pPr>
        <w:autoSpaceDE w:val="0"/>
        <w:autoSpaceDN w:val="0"/>
        <w:adjustRightInd w:val="0"/>
        <w:spacing w:after="200" w:line="360" w:lineRule="auto"/>
        <w:jc w:val="right"/>
        <w:rPr>
          <w:rFonts w:cs="Arial"/>
          <w:lang w:val="es" w:eastAsia="es-AR"/>
        </w:rPr>
      </w:pPr>
    </w:p>
    <w:p w:rsidR="004A54A3" w:rsidRDefault="004A54A3" w:rsidP="004A54A3">
      <w:pPr>
        <w:autoSpaceDE w:val="0"/>
        <w:autoSpaceDN w:val="0"/>
        <w:adjustRightInd w:val="0"/>
        <w:spacing w:after="200" w:line="360" w:lineRule="auto"/>
        <w:jc w:val="right"/>
        <w:rPr>
          <w:rFonts w:cs="Arial"/>
          <w:lang w:val="es" w:eastAsia="es-AR"/>
        </w:rPr>
      </w:pPr>
    </w:p>
    <w:p w:rsidR="00F86359" w:rsidRDefault="004A54A3" w:rsidP="004A54A3">
      <w:pPr>
        <w:autoSpaceDE w:val="0"/>
        <w:autoSpaceDN w:val="0"/>
        <w:adjustRightInd w:val="0"/>
        <w:spacing w:after="200" w:line="360" w:lineRule="auto"/>
        <w:ind w:hanging="426"/>
      </w:pPr>
      <w:proofErr w:type="gramStart"/>
      <w:r>
        <w:rPr>
          <w:rFonts w:cs="Arial"/>
          <w:lang w:val="es" w:eastAsia="es-AR"/>
        </w:rPr>
        <w:t>dc</w:t>
      </w:r>
      <w:proofErr w:type="gramEnd"/>
    </w:p>
    <w:sectPr w:rsidR="00F86359" w:rsidSect="003E37AA">
      <w:pgSz w:w="11906" w:h="16838" w:code="9"/>
      <w:pgMar w:top="328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588E6A2"/>
    <w:lvl w:ilvl="0">
      <w:numFmt w:val="bullet"/>
      <w:lvlText w:val="*"/>
      <w:lvlJc w:val="left"/>
    </w:lvl>
  </w:abstractNum>
  <w:abstractNum w:abstractNumId="1">
    <w:nsid w:val="399B1C98"/>
    <w:multiLevelType w:val="hybridMultilevel"/>
    <w:tmpl w:val="6AACCB48"/>
    <w:lvl w:ilvl="0" w:tplc="2C0A000F">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4A3"/>
    <w:rsid w:val="00244664"/>
    <w:rsid w:val="00330727"/>
    <w:rsid w:val="003E37AA"/>
    <w:rsid w:val="004A54A3"/>
    <w:rsid w:val="009D365A"/>
    <w:rsid w:val="00F863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4A3"/>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54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4A3"/>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5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BE5D-237B-4A3E-A54A-A68B860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393</Words>
  <Characters>2083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2017-07-28T18:38:00Z</cp:lastPrinted>
  <dcterms:created xsi:type="dcterms:W3CDTF">2017-07-28T18:22:00Z</dcterms:created>
  <dcterms:modified xsi:type="dcterms:W3CDTF">2017-08-31T16:01:00Z</dcterms:modified>
</cp:coreProperties>
</file>