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41F" w:rsidRPr="00786EEB" w:rsidRDefault="0004241F" w:rsidP="00786EEB">
      <w:pPr>
        <w:tabs>
          <w:tab w:val="center" w:pos="4253"/>
        </w:tabs>
        <w:suppressAutoHyphens/>
        <w:jc w:val="right"/>
        <w:rPr>
          <w:b/>
          <w:sz w:val="28"/>
          <w:szCs w:val="28"/>
          <w:lang w:val="es-ES_tradnl"/>
        </w:rPr>
      </w:pPr>
      <w:bookmarkStart w:id="0" w:name="_GoBack"/>
      <w:bookmarkEnd w:id="0"/>
      <w:r>
        <w:rPr>
          <w:b/>
          <w:sz w:val="28"/>
          <w:szCs w:val="28"/>
          <w:lang w:val="es-ES_tradnl"/>
        </w:rPr>
        <w:t>RES. 1470/17</w:t>
      </w:r>
    </w:p>
    <w:p w:rsidR="0004241F" w:rsidRDefault="0004241F" w:rsidP="00786EEB">
      <w:pPr>
        <w:tabs>
          <w:tab w:val="center" w:pos="4253"/>
        </w:tabs>
        <w:suppressAutoHyphens/>
        <w:jc w:val="right"/>
        <w:rPr>
          <w:b/>
          <w:lang w:val="es-ES_tradnl"/>
        </w:rPr>
      </w:pPr>
    </w:p>
    <w:p w:rsidR="0004241F" w:rsidRPr="00762B34" w:rsidRDefault="0004241F" w:rsidP="0004241F">
      <w:pPr>
        <w:tabs>
          <w:tab w:val="center" w:pos="4253"/>
        </w:tabs>
        <w:suppressAutoHyphens/>
        <w:spacing w:after="0" w:line="240" w:lineRule="auto"/>
        <w:jc w:val="center"/>
        <w:rPr>
          <w:b/>
          <w:lang w:val="es-ES_tradnl"/>
        </w:rPr>
      </w:pPr>
      <w:r w:rsidRPr="00762B34">
        <w:rPr>
          <w:b/>
          <w:lang w:val="es-ES_tradnl"/>
        </w:rPr>
        <w:t>RESOLUCION ADOPTADA POR EL</w:t>
      </w:r>
    </w:p>
    <w:p w:rsidR="0004241F" w:rsidRPr="00762B34" w:rsidRDefault="0004241F" w:rsidP="0004241F">
      <w:pPr>
        <w:tabs>
          <w:tab w:val="left" w:pos="-720"/>
        </w:tabs>
        <w:suppressAutoHyphens/>
        <w:spacing w:after="0" w:line="240" w:lineRule="auto"/>
        <w:jc w:val="center"/>
        <w:rPr>
          <w:b/>
          <w:lang w:val="es-ES_tradnl"/>
        </w:rPr>
      </w:pPr>
    </w:p>
    <w:p w:rsidR="0004241F" w:rsidRPr="00762B34" w:rsidRDefault="0004241F" w:rsidP="0004241F">
      <w:pPr>
        <w:tabs>
          <w:tab w:val="center" w:pos="4253"/>
        </w:tabs>
        <w:suppressAutoHyphens/>
        <w:spacing w:after="0" w:line="240" w:lineRule="auto"/>
        <w:jc w:val="center"/>
        <w:rPr>
          <w:b/>
          <w:lang w:val="es-ES_tradnl"/>
        </w:rPr>
      </w:pPr>
      <w:r w:rsidRPr="00762B34">
        <w:rPr>
          <w:b/>
          <w:lang w:val="es-ES_tradnl"/>
        </w:rPr>
        <w:t>TRIBUNAL DE CUENTAS</w:t>
      </w:r>
    </w:p>
    <w:p w:rsidR="0004241F" w:rsidRPr="00762B34" w:rsidRDefault="0004241F" w:rsidP="0004241F">
      <w:pPr>
        <w:tabs>
          <w:tab w:val="left" w:pos="-720"/>
        </w:tabs>
        <w:suppressAutoHyphens/>
        <w:spacing w:after="0" w:line="240" w:lineRule="auto"/>
        <w:jc w:val="center"/>
        <w:rPr>
          <w:b/>
          <w:lang w:val="es-ES_tradnl"/>
        </w:rPr>
      </w:pPr>
    </w:p>
    <w:p w:rsidR="0004241F" w:rsidRPr="00762B34" w:rsidRDefault="0004241F" w:rsidP="0004241F">
      <w:pPr>
        <w:tabs>
          <w:tab w:val="center" w:pos="4253"/>
        </w:tabs>
        <w:suppressAutoHyphens/>
        <w:spacing w:after="0" w:line="240" w:lineRule="auto"/>
        <w:jc w:val="center"/>
        <w:rPr>
          <w:b/>
          <w:lang w:val="es-ES_tradnl"/>
        </w:rPr>
      </w:pPr>
      <w:r w:rsidRPr="00762B34">
        <w:rPr>
          <w:b/>
          <w:lang w:val="es-ES_tradnl"/>
        </w:rPr>
        <w:t xml:space="preserve">EN SESION DE FECHA </w:t>
      </w:r>
      <w:r>
        <w:rPr>
          <w:b/>
          <w:lang w:val="es-ES_tradnl"/>
        </w:rPr>
        <w:t xml:space="preserve">10 DE MAYO </w:t>
      </w:r>
      <w:r>
        <w:rPr>
          <w:rFonts w:ascii="Helvetica" w:hAnsi="Helvetica"/>
          <w:b/>
          <w:lang w:val="es-ES_tradnl"/>
        </w:rPr>
        <w:t>DE 2017</w:t>
      </w:r>
    </w:p>
    <w:p w:rsidR="0004241F" w:rsidRPr="00762B34" w:rsidRDefault="0004241F" w:rsidP="0004241F">
      <w:pPr>
        <w:tabs>
          <w:tab w:val="center" w:pos="4253"/>
        </w:tabs>
        <w:suppressAutoHyphens/>
        <w:spacing w:after="0" w:line="240" w:lineRule="auto"/>
        <w:jc w:val="center"/>
        <w:rPr>
          <w:b/>
          <w:lang w:val="es-ES_tradnl"/>
        </w:rPr>
      </w:pPr>
    </w:p>
    <w:p w:rsidR="0004241F" w:rsidRPr="0004241F" w:rsidRDefault="0004241F" w:rsidP="0004241F">
      <w:pPr>
        <w:tabs>
          <w:tab w:val="center" w:pos="4253"/>
        </w:tabs>
        <w:suppressAutoHyphens/>
        <w:spacing w:after="0" w:line="240" w:lineRule="auto"/>
        <w:jc w:val="center"/>
        <w:rPr>
          <w:b/>
          <w:lang w:val="es-AR"/>
        </w:rPr>
      </w:pPr>
      <w:r w:rsidRPr="0004241F">
        <w:rPr>
          <w:b/>
          <w:lang w:val="es-AR"/>
        </w:rPr>
        <w:t xml:space="preserve">(E. E. Nº 2017-17-1-0002801, </w:t>
      </w:r>
      <w:proofErr w:type="spellStart"/>
      <w:r w:rsidRPr="0004241F">
        <w:rPr>
          <w:b/>
          <w:lang w:val="es-AR"/>
        </w:rPr>
        <w:t>Ent</w:t>
      </w:r>
      <w:proofErr w:type="spellEnd"/>
      <w:r w:rsidRPr="0004241F">
        <w:rPr>
          <w:b/>
          <w:lang w:val="es-AR"/>
        </w:rPr>
        <w:t>. Iniciada)</w:t>
      </w:r>
    </w:p>
    <w:p w:rsidR="0004241F" w:rsidRDefault="0004241F">
      <w:pPr>
        <w:rPr>
          <w:b/>
        </w:rPr>
      </w:pPr>
    </w:p>
    <w:p w:rsidR="0004241F" w:rsidRDefault="00A80DD7" w:rsidP="0004241F">
      <w:pPr>
        <w:spacing w:after="0"/>
        <w:ind w:firstLine="851"/>
      </w:pPr>
      <w:r>
        <w:rPr>
          <w:b/>
        </w:rPr>
        <w:t>VISTO</w:t>
      </w:r>
      <w:r w:rsidR="0004241F" w:rsidRPr="008A3634">
        <w:rPr>
          <w:b/>
        </w:rPr>
        <w:t>:</w:t>
      </w:r>
      <w:r w:rsidR="0004241F">
        <w:t xml:space="preserve"> lo dispuesto por el A</w:t>
      </w:r>
      <w:r w:rsidR="00ED6CB7">
        <w:t>rtículo 67</w:t>
      </w:r>
      <w:r w:rsidR="00D3212F">
        <w:t>6</w:t>
      </w:r>
      <w:r w:rsidR="00ED6CB7">
        <w:t xml:space="preserve"> de la Ley N° 19.355 de </w:t>
      </w:r>
      <w:r w:rsidR="00E65925">
        <w:t>19 de diciembre de 2015</w:t>
      </w:r>
      <w:r w:rsidR="00006EDE">
        <w:t xml:space="preserve"> </w:t>
      </w:r>
      <w:r w:rsidR="00006EDE">
        <w:rPr>
          <w:color w:val="000000"/>
          <w:lang w:val="es-ES"/>
        </w:rPr>
        <w:t>que crea el Fondo de Incentivo para la Gestión de los Municipios</w:t>
      </w:r>
      <w:r>
        <w:t>;</w:t>
      </w:r>
    </w:p>
    <w:p w:rsidR="0004241F" w:rsidRDefault="00A80DD7" w:rsidP="0004241F">
      <w:pPr>
        <w:spacing w:after="0"/>
        <w:ind w:firstLine="851"/>
      </w:pPr>
      <w:r>
        <w:rPr>
          <w:b/>
        </w:rPr>
        <w:t xml:space="preserve">RESULTANDO: </w:t>
      </w:r>
      <w:r w:rsidR="000F49F0">
        <w:rPr>
          <w:b/>
        </w:rPr>
        <w:t xml:space="preserve">1) </w:t>
      </w:r>
      <w:r w:rsidR="0004241F">
        <w:t>que el A</w:t>
      </w:r>
      <w:r w:rsidR="00D3212F">
        <w:t>rtículo 676 referido dispone las partidas anuales con destino a los programas presupuestales municipales para el cumplimiento de lo</w:t>
      </w:r>
      <w:r w:rsidR="0004241F">
        <w:t>s cometidos establecidos en el Artículo 13 de la Ley N°</w:t>
      </w:r>
      <w:r w:rsidR="00D3212F">
        <w:t>19.272</w:t>
      </w:r>
      <w:r w:rsidR="009132DC">
        <w:t xml:space="preserve"> de 18 de setiembre de 2014;</w:t>
      </w:r>
    </w:p>
    <w:p w:rsidR="00956029" w:rsidRDefault="009132DC" w:rsidP="0004241F">
      <w:pPr>
        <w:spacing w:after="0"/>
        <w:ind w:firstLine="2835"/>
      </w:pPr>
      <w:r>
        <w:rPr>
          <w:b/>
        </w:rPr>
        <w:t xml:space="preserve">2) </w:t>
      </w:r>
      <w:proofErr w:type="gramStart"/>
      <w:r w:rsidR="0004241F">
        <w:t>que</w:t>
      </w:r>
      <w:proofErr w:type="gramEnd"/>
      <w:r w:rsidR="0004241F">
        <w:t xml:space="preserve"> en los L</w:t>
      </w:r>
      <w:r>
        <w:t xml:space="preserve">iterales A), B) y </w:t>
      </w:r>
      <w:r w:rsidR="0004241F">
        <w:t>C) de dicho A</w:t>
      </w:r>
      <w:r w:rsidR="00DC280F">
        <w:t>rtículo se detalla</w:t>
      </w:r>
      <w:r>
        <w:t xml:space="preserve"> la forma de distribución de los montos que all</w:t>
      </w:r>
      <w:r w:rsidR="0004241F">
        <w:t>í se establecen, conforme con</w:t>
      </w:r>
      <w:r w:rsidR="00633DCC">
        <w:t xml:space="preserve"> lo siguiente:</w:t>
      </w:r>
    </w:p>
    <w:p w:rsidR="00633DCC" w:rsidRDefault="0004241F" w:rsidP="0004241F">
      <w:pPr>
        <w:spacing w:after="0"/>
      </w:pPr>
      <w:r>
        <w:t>Literal</w:t>
      </w:r>
      <w:r w:rsidR="00DC280F">
        <w:t xml:space="preserve"> </w:t>
      </w:r>
      <w:r w:rsidR="00633DCC">
        <w:t>A) Monto</w:t>
      </w:r>
      <w:r w:rsidR="00F35B9E">
        <w:t>s</w:t>
      </w:r>
      <w:r w:rsidR="00633DCC">
        <w:t xml:space="preserve"> anual</w:t>
      </w:r>
      <w:r w:rsidR="00F35B9E">
        <w:t>es</w:t>
      </w:r>
      <w:r w:rsidR="00633DCC">
        <w:t xml:space="preserve"> </w:t>
      </w:r>
      <w:r w:rsidR="00C544BF">
        <w:t xml:space="preserve">a partir del año 2016 </w:t>
      </w:r>
      <w:r w:rsidR="00633DCC">
        <w:t>que se distribuirá</w:t>
      </w:r>
      <w:r w:rsidR="00F35B9E">
        <w:t>n</w:t>
      </w:r>
      <w:r w:rsidR="00633DCC">
        <w:t xml:space="preserve"> en partidas iguales entre todos los municipios del país, sin establecerse condiciones para su utilización;</w:t>
      </w:r>
    </w:p>
    <w:p w:rsidR="00633DCC" w:rsidRDefault="0004241F" w:rsidP="0004241F">
      <w:pPr>
        <w:spacing w:after="0"/>
      </w:pPr>
      <w:r>
        <w:t>Literal</w:t>
      </w:r>
      <w:r w:rsidR="00DC280F">
        <w:t xml:space="preserve"> </w:t>
      </w:r>
      <w:r w:rsidR="00633DCC">
        <w:t xml:space="preserve">B) </w:t>
      </w:r>
      <w:r w:rsidR="00F35B9E">
        <w:t xml:space="preserve">Montos anuales </w:t>
      </w:r>
      <w:r w:rsidR="00C544BF">
        <w:t xml:space="preserve">a partir del año 2016 </w:t>
      </w:r>
      <w:r>
        <w:t>que se distribuirán conforme con</w:t>
      </w:r>
      <w:r w:rsidR="00F35B9E">
        <w:t xml:space="preserve"> criterios establecidos por la Com</w:t>
      </w:r>
      <w:r>
        <w:t>isión Sectorial prevista en el Literal B) del Inciso quinto del A</w:t>
      </w:r>
      <w:r w:rsidR="00F35B9E">
        <w:t>rtículo 230 de la Constitución de la República y que se desti</w:t>
      </w:r>
      <w:r>
        <w:softHyphen/>
      </w:r>
      <w:r w:rsidR="00F35B9E">
        <w:t>narán a proyectos y programas aprobados por dicha Comisi</w:t>
      </w:r>
      <w:r w:rsidR="00C544BF">
        <w:t>ón, estable</w:t>
      </w:r>
      <w:r>
        <w:softHyphen/>
      </w:r>
      <w:r w:rsidR="00C544BF">
        <w:t>cién</w:t>
      </w:r>
      <w:r>
        <w:softHyphen/>
      </w:r>
      <w:r w:rsidR="00C544BF">
        <w:t>dose que no podr</w:t>
      </w:r>
      <w:r w:rsidR="001E661F">
        <w:t>á afectarse a gasto</w:t>
      </w:r>
      <w:r w:rsidR="00C544BF">
        <w:t>s emergentes de recursos humanos</w:t>
      </w:r>
      <w:r w:rsidR="00DC280F">
        <w:t>,</w:t>
      </w:r>
      <w:r w:rsidR="00C544BF">
        <w:t xml:space="preserve"> ni </w:t>
      </w:r>
      <w:r w:rsidR="00C544BF">
        <w:lastRenderedPageBreak/>
        <w:t>podrá asignarse más del 40% a la financiación de otros gastos de funciona</w:t>
      </w:r>
      <w:r>
        <w:softHyphen/>
      </w:r>
      <w:r w:rsidR="00C544BF">
        <w:t>miento;</w:t>
      </w:r>
    </w:p>
    <w:p w:rsidR="00C544BF" w:rsidRDefault="0004241F" w:rsidP="0004241F">
      <w:pPr>
        <w:spacing w:after="0"/>
      </w:pPr>
      <w:r>
        <w:t>Literal</w:t>
      </w:r>
      <w:r w:rsidR="00DC280F">
        <w:t xml:space="preserve"> </w:t>
      </w:r>
      <w:r w:rsidR="00C544BF">
        <w:t>C) Mont</w:t>
      </w:r>
      <w:r w:rsidR="00BE13A7">
        <w:t>os anuales a partir del año 2017 que se destinarán a proyectos y programas financiados por el Fondo y que estarán sujet</w:t>
      </w:r>
      <w:r w:rsidR="00733B6D">
        <w:t>os al cumplimiento de metas que emerjan de los compromisos de gestión celebrados entre los municipios y los gobiernos departamentales;</w:t>
      </w:r>
    </w:p>
    <w:p w:rsidR="00733B6D" w:rsidRDefault="007929ED" w:rsidP="0004241F">
      <w:pPr>
        <w:spacing w:after="0"/>
        <w:ind w:firstLine="851"/>
      </w:pPr>
      <w:r>
        <w:rPr>
          <w:b/>
        </w:rPr>
        <w:t>CONSIDERANDO:</w:t>
      </w:r>
      <w:r w:rsidR="00733B6D">
        <w:rPr>
          <w:b/>
        </w:rPr>
        <w:t xml:space="preserve"> </w:t>
      </w:r>
      <w:r w:rsidR="00733B6D">
        <w:t xml:space="preserve">que </w:t>
      </w:r>
      <w:r w:rsidR="00965DEF">
        <w:t>resulta necesario que las Rendiciones de C</w:t>
      </w:r>
      <w:r w:rsidR="00733B6D">
        <w:t xml:space="preserve">uentas de las Intendencias incluyan información respecto de la utilización </w:t>
      </w:r>
      <w:r w:rsidR="00A031DE">
        <w:t xml:space="preserve">de los montos recibidos por </w:t>
      </w:r>
      <w:r w:rsidR="00F52CB9">
        <w:t>el</w:t>
      </w:r>
      <w:r w:rsidR="0004241F">
        <w:t xml:space="preserve"> Literal B) del A</w:t>
      </w:r>
      <w:r w:rsidR="00A031DE">
        <w:t>rtículo 676 mencionado</w:t>
      </w:r>
      <w:r w:rsidR="001E661F">
        <w:t xml:space="preserve">, </w:t>
      </w:r>
      <w:r w:rsidR="00A031DE">
        <w:t xml:space="preserve"> </w:t>
      </w:r>
      <w:r w:rsidR="001E661F">
        <w:t xml:space="preserve">que permita controlar el cumplimiento de los extremos previstos en </w:t>
      </w:r>
      <w:r w:rsidR="00F52CB9">
        <w:t>dicho literal</w:t>
      </w:r>
      <w:r>
        <w:t>;</w:t>
      </w:r>
    </w:p>
    <w:p w:rsidR="007929ED" w:rsidRDefault="007929ED" w:rsidP="0004241F">
      <w:pPr>
        <w:spacing w:after="0"/>
        <w:jc w:val="center"/>
        <w:rPr>
          <w:b/>
        </w:rPr>
      </w:pPr>
      <w:r>
        <w:rPr>
          <w:b/>
        </w:rPr>
        <w:t>EL TRIBUNAL ACUERDA</w:t>
      </w:r>
    </w:p>
    <w:p w:rsidR="00A80DD7" w:rsidRDefault="00A46DD0" w:rsidP="0004241F">
      <w:pPr>
        <w:pStyle w:val="Prrafodelista"/>
        <w:numPr>
          <w:ilvl w:val="0"/>
          <w:numId w:val="1"/>
        </w:numPr>
        <w:spacing w:after="0"/>
        <w:ind w:left="284" w:hanging="284"/>
      </w:pPr>
      <w:r>
        <w:t>Las Rendiciones de Cuentas de las Intendencias</w:t>
      </w:r>
      <w:r w:rsidR="004A166E">
        <w:t>, correspondientes al</w:t>
      </w:r>
      <w:r w:rsidR="0004241F">
        <w:t xml:space="preserve"> E</w:t>
      </w:r>
      <w:r>
        <w:t>jercicio 2016</w:t>
      </w:r>
      <w:r w:rsidR="006F6103">
        <w:t xml:space="preserve"> y siguientes</w:t>
      </w:r>
      <w:r w:rsidR="004A166E">
        <w:t>,</w:t>
      </w:r>
      <w:r>
        <w:t xml:space="preserve"> deberán incluir </w:t>
      </w:r>
      <w:r w:rsidR="00965DEF">
        <w:t>un E</w:t>
      </w:r>
      <w:r>
        <w:t>stado que contenga informa</w:t>
      </w:r>
      <w:r w:rsidR="0004241F">
        <w:softHyphen/>
      </w:r>
      <w:r>
        <w:t xml:space="preserve">ción detallada </w:t>
      </w:r>
      <w:r w:rsidR="00E24E50">
        <w:t xml:space="preserve">de las partidas efectivamente recibidas </w:t>
      </w:r>
      <w:r w:rsidR="004A166E">
        <w:t>por el</w:t>
      </w:r>
      <w:r w:rsidR="0004241F">
        <w:t xml:space="preserve"> L</w:t>
      </w:r>
      <w:r w:rsidR="00E24E50">
        <w:t xml:space="preserve">iteral B) </w:t>
      </w:r>
      <w:r w:rsidR="0004241F">
        <w:rPr>
          <w:color w:val="000000"/>
          <w:lang w:val="es-ES"/>
        </w:rPr>
        <w:t>del A</w:t>
      </w:r>
      <w:r w:rsidR="00006EDE">
        <w:rPr>
          <w:color w:val="000000"/>
          <w:lang w:val="es-ES"/>
        </w:rPr>
        <w:t xml:space="preserve">rtículo 676 de la Ley Nº 19.355 de </w:t>
      </w:r>
      <w:r w:rsidR="00006EDE">
        <w:rPr>
          <w:rStyle w:val="object"/>
          <w:color w:val="000000"/>
          <w:lang w:val="es-ES"/>
        </w:rPr>
        <w:t>19 de diciembre</w:t>
      </w:r>
      <w:r w:rsidR="00006EDE">
        <w:rPr>
          <w:color w:val="000000"/>
          <w:lang w:val="es-ES"/>
        </w:rPr>
        <w:t xml:space="preserve"> de 2015 </w:t>
      </w:r>
      <w:r w:rsidR="00E24E50">
        <w:t xml:space="preserve">y relación de los gastos de inversión </w:t>
      </w:r>
      <w:r w:rsidR="004A166E">
        <w:t>a los que se hayan aplicado las mismas</w:t>
      </w:r>
      <w:r w:rsidR="00816857">
        <w:t>,</w:t>
      </w:r>
      <w:r w:rsidR="004A166E">
        <w:t xml:space="preserve"> cuantifi</w:t>
      </w:r>
      <w:r w:rsidR="0004241F">
        <w:softHyphen/>
      </w:r>
      <w:r w:rsidR="004A166E">
        <w:t>cados en unidades monetarias</w:t>
      </w:r>
      <w:r w:rsidR="00816857">
        <w:t xml:space="preserve"> y con detall</w:t>
      </w:r>
      <w:r w:rsidR="0004241F">
        <w:t>e de su imputación presupuestal;</w:t>
      </w:r>
    </w:p>
    <w:p w:rsidR="006F6103" w:rsidRDefault="00E8511D" w:rsidP="0004241F">
      <w:pPr>
        <w:pStyle w:val="Prrafodelista"/>
        <w:numPr>
          <w:ilvl w:val="0"/>
          <w:numId w:val="1"/>
        </w:numPr>
        <w:spacing w:after="0"/>
        <w:ind w:left="284" w:hanging="284"/>
      </w:pPr>
      <w:r>
        <w:t>Comunicar a las Intendencias</w:t>
      </w:r>
      <w:r w:rsidR="0004241F">
        <w:t>.</w:t>
      </w:r>
    </w:p>
    <w:p w:rsidR="0004241F" w:rsidRDefault="0004241F" w:rsidP="0004241F">
      <w:pPr>
        <w:spacing w:after="0"/>
      </w:pPr>
    </w:p>
    <w:p w:rsidR="0004241F" w:rsidRDefault="0004241F" w:rsidP="0004241F">
      <w:pPr>
        <w:spacing w:after="0"/>
      </w:pPr>
    </w:p>
    <w:p w:rsidR="0004241F" w:rsidRDefault="0004241F" w:rsidP="0004241F">
      <w:pPr>
        <w:spacing w:after="0"/>
      </w:pPr>
    </w:p>
    <w:p w:rsidR="0004241F" w:rsidRDefault="0004241F" w:rsidP="0004241F">
      <w:pPr>
        <w:spacing w:after="0"/>
        <w:ind w:hanging="284"/>
      </w:pPr>
      <w:proofErr w:type="gramStart"/>
      <w:r>
        <w:t>dc</w:t>
      </w:r>
      <w:proofErr w:type="gramEnd"/>
    </w:p>
    <w:sectPr w:rsidR="0004241F" w:rsidSect="0004241F">
      <w:footerReference w:type="default" r:id="rId9"/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9FA" w:rsidRDefault="002879FA" w:rsidP="0017241B">
      <w:pPr>
        <w:spacing w:after="0" w:line="240" w:lineRule="auto"/>
      </w:pPr>
      <w:r>
        <w:separator/>
      </w:r>
    </w:p>
  </w:endnote>
  <w:endnote w:type="continuationSeparator" w:id="0">
    <w:p w:rsidR="002879FA" w:rsidRDefault="002879FA" w:rsidP="00172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5014166"/>
      <w:docPartObj>
        <w:docPartGallery w:val="Page Numbers (Bottom of Page)"/>
        <w:docPartUnique/>
      </w:docPartObj>
    </w:sdtPr>
    <w:sdtEndPr/>
    <w:sdtContent>
      <w:p w:rsidR="0017241B" w:rsidRDefault="0017241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634" w:rsidRPr="008A3634">
          <w:rPr>
            <w:noProof/>
            <w:lang w:val="es-ES"/>
          </w:rPr>
          <w:t>1</w:t>
        </w:r>
        <w:r>
          <w:fldChar w:fldCharType="end"/>
        </w:r>
      </w:p>
    </w:sdtContent>
  </w:sdt>
  <w:p w:rsidR="0017241B" w:rsidRDefault="001724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9FA" w:rsidRDefault="002879FA" w:rsidP="0017241B">
      <w:pPr>
        <w:spacing w:after="0" w:line="240" w:lineRule="auto"/>
      </w:pPr>
      <w:r>
        <w:separator/>
      </w:r>
    </w:p>
  </w:footnote>
  <w:footnote w:type="continuationSeparator" w:id="0">
    <w:p w:rsidR="002879FA" w:rsidRDefault="002879FA" w:rsidP="00172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A6611"/>
    <w:multiLevelType w:val="hybridMultilevel"/>
    <w:tmpl w:val="A53A33F2"/>
    <w:lvl w:ilvl="0" w:tplc="5666042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CB7"/>
    <w:rsid w:val="00006EDE"/>
    <w:rsid w:val="00012F07"/>
    <w:rsid w:val="0004241F"/>
    <w:rsid w:val="000F49F0"/>
    <w:rsid w:val="00117591"/>
    <w:rsid w:val="0017241B"/>
    <w:rsid w:val="001839A2"/>
    <w:rsid w:val="001E661F"/>
    <w:rsid w:val="002879FA"/>
    <w:rsid w:val="002C1DF4"/>
    <w:rsid w:val="00303324"/>
    <w:rsid w:val="00336561"/>
    <w:rsid w:val="004A166E"/>
    <w:rsid w:val="00633DCC"/>
    <w:rsid w:val="006F6103"/>
    <w:rsid w:val="00711B90"/>
    <w:rsid w:val="00733B6D"/>
    <w:rsid w:val="007929ED"/>
    <w:rsid w:val="00816857"/>
    <w:rsid w:val="00895B27"/>
    <w:rsid w:val="008A3634"/>
    <w:rsid w:val="009132DC"/>
    <w:rsid w:val="00956029"/>
    <w:rsid w:val="00965DEF"/>
    <w:rsid w:val="00A031DE"/>
    <w:rsid w:val="00A46DD0"/>
    <w:rsid w:val="00A80DD7"/>
    <w:rsid w:val="00B44BCD"/>
    <w:rsid w:val="00B85298"/>
    <w:rsid w:val="00BE13A7"/>
    <w:rsid w:val="00C03769"/>
    <w:rsid w:val="00C544BF"/>
    <w:rsid w:val="00D117DE"/>
    <w:rsid w:val="00D3212F"/>
    <w:rsid w:val="00DC280F"/>
    <w:rsid w:val="00E24E50"/>
    <w:rsid w:val="00E65925"/>
    <w:rsid w:val="00E8511D"/>
    <w:rsid w:val="00ED6CB7"/>
    <w:rsid w:val="00F35B9E"/>
    <w:rsid w:val="00F5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s-UY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2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241B"/>
  </w:style>
  <w:style w:type="paragraph" w:styleId="Piedepgina">
    <w:name w:val="footer"/>
    <w:basedOn w:val="Normal"/>
    <w:link w:val="PiedepginaCar"/>
    <w:uiPriority w:val="99"/>
    <w:unhideWhenUsed/>
    <w:rsid w:val="00172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241B"/>
  </w:style>
  <w:style w:type="paragraph" w:styleId="Prrafodelista">
    <w:name w:val="List Paragraph"/>
    <w:basedOn w:val="Normal"/>
    <w:uiPriority w:val="34"/>
    <w:qFormat/>
    <w:rsid w:val="00A46DD0"/>
    <w:pPr>
      <w:ind w:left="720"/>
      <w:contextualSpacing/>
    </w:pPr>
  </w:style>
  <w:style w:type="character" w:customStyle="1" w:styleId="object">
    <w:name w:val="object"/>
    <w:basedOn w:val="Fuentedeprrafopredeter"/>
    <w:rsid w:val="00006EDE"/>
  </w:style>
  <w:style w:type="paragraph" w:styleId="Textodeglobo">
    <w:name w:val="Balloon Text"/>
    <w:basedOn w:val="Normal"/>
    <w:link w:val="TextodegloboCar"/>
    <w:uiPriority w:val="99"/>
    <w:semiHidden/>
    <w:unhideWhenUsed/>
    <w:rsid w:val="00303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33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s-UY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2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241B"/>
  </w:style>
  <w:style w:type="paragraph" w:styleId="Piedepgina">
    <w:name w:val="footer"/>
    <w:basedOn w:val="Normal"/>
    <w:link w:val="PiedepginaCar"/>
    <w:uiPriority w:val="99"/>
    <w:unhideWhenUsed/>
    <w:rsid w:val="00172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241B"/>
  </w:style>
  <w:style w:type="paragraph" w:styleId="Prrafodelista">
    <w:name w:val="List Paragraph"/>
    <w:basedOn w:val="Normal"/>
    <w:uiPriority w:val="34"/>
    <w:qFormat/>
    <w:rsid w:val="00A46DD0"/>
    <w:pPr>
      <w:ind w:left="720"/>
      <w:contextualSpacing/>
    </w:pPr>
  </w:style>
  <w:style w:type="character" w:customStyle="1" w:styleId="object">
    <w:name w:val="object"/>
    <w:basedOn w:val="Fuentedeprrafopredeter"/>
    <w:rsid w:val="00006EDE"/>
  </w:style>
  <w:style w:type="paragraph" w:styleId="Textodeglobo">
    <w:name w:val="Balloon Text"/>
    <w:basedOn w:val="Normal"/>
    <w:link w:val="TextodegloboCar"/>
    <w:uiPriority w:val="99"/>
    <w:semiHidden/>
    <w:unhideWhenUsed/>
    <w:rsid w:val="00303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3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5D0F1-3B9B-4073-AF29-DD29AEBF2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Cr. Omar Zooby</dc:creator>
  <cp:lastModifiedBy>Tribunal1</cp:lastModifiedBy>
  <cp:revision>3</cp:revision>
  <cp:lastPrinted>2017-05-12T18:28:00Z</cp:lastPrinted>
  <dcterms:created xsi:type="dcterms:W3CDTF">2017-05-12T18:29:00Z</dcterms:created>
  <dcterms:modified xsi:type="dcterms:W3CDTF">2017-08-23T19:08:00Z</dcterms:modified>
</cp:coreProperties>
</file>