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0B5" w:rsidRDefault="00C030B5" w:rsidP="003E7BA4">
      <w:pPr>
        <w:tabs>
          <w:tab w:val="center" w:pos="4253"/>
        </w:tabs>
        <w:suppressAutoHyphens/>
        <w:jc w:val="right"/>
        <w:rPr>
          <w:rFonts w:cs="Arial"/>
          <w:b/>
          <w:sz w:val="28"/>
          <w:szCs w:val="28"/>
          <w:lang w:val="es-ES_tradnl"/>
        </w:rPr>
      </w:pPr>
      <w:r>
        <w:rPr>
          <w:rFonts w:cs="Arial"/>
          <w:b/>
          <w:sz w:val="28"/>
          <w:szCs w:val="28"/>
          <w:lang w:val="es-ES_tradnl"/>
        </w:rPr>
        <w:t xml:space="preserve">RES. </w:t>
      </w:r>
      <w:r w:rsidRPr="00C030B5">
        <w:rPr>
          <w:rFonts w:cs="Arial"/>
          <w:b/>
          <w:sz w:val="28"/>
          <w:szCs w:val="28"/>
          <w:lang w:val="es-ES_tradnl"/>
        </w:rPr>
        <w:t>2186/17</w:t>
      </w:r>
    </w:p>
    <w:p w:rsidR="00211A6A" w:rsidRPr="00C030B5" w:rsidRDefault="00211A6A" w:rsidP="003E7BA4">
      <w:pPr>
        <w:tabs>
          <w:tab w:val="center" w:pos="4253"/>
        </w:tabs>
        <w:suppressAutoHyphens/>
        <w:jc w:val="right"/>
        <w:rPr>
          <w:rFonts w:cs="Arial"/>
          <w:b/>
          <w:sz w:val="28"/>
          <w:szCs w:val="28"/>
          <w:lang w:val="es-ES_tradnl"/>
        </w:rPr>
      </w:pPr>
    </w:p>
    <w:p w:rsidR="00C030B5" w:rsidRPr="00762B34" w:rsidRDefault="00C030B5">
      <w:pPr>
        <w:tabs>
          <w:tab w:val="center" w:pos="4253"/>
        </w:tabs>
        <w:suppressAutoHyphens/>
        <w:jc w:val="center"/>
        <w:rPr>
          <w:rFonts w:cs="Arial"/>
          <w:b/>
          <w:lang w:val="es-ES_tradnl"/>
        </w:rPr>
      </w:pPr>
      <w:r w:rsidRPr="00762B34">
        <w:rPr>
          <w:rFonts w:cs="Arial"/>
          <w:b/>
          <w:lang w:val="es-ES_tradnl"/>
        </w:rPr>
        <w:t>RESOLUCION ADOPTADA POR EL</w:t>
      </w:r>
    </w:p>
    <w:p w:rsidR="00C030B5" w:rsidRPr="00762B34" w:rsidRDefault="00C030B5">
      <w:pPr>
        <w:tabs>
          <w:tab w:val="left" w:pos="-720"/>
        </w:tabs>
        <w:suppressAutoHyphens/>
        <w:jc w:val="center"/>
        <w:rPr>
          <w:rFonts w:cs="Arial"/>
          <w:b/>
          <w:lang w:val="es-ES_tradnl"/>
        </w:rPr>
      </w:pPr>
    </w:p>
    <w:p w:rsidR="00C030B5" w:rsidRPr="00762B34" w:rsidRDefault="00C030B5">
      <w:pPr>
        <w:tabs>
          <w:tab w:val="center" w:pos="4253"/>
        </w:tabs>
        <w:suppressAutoHyphens/>
        <w:jc w:val="center"/>
        <w:rPr>
          <w:rFonts w:cs="Arial"/>
          <w:b/>
          <w:lang w:val="es-ES_tradnl"/>
        </w:rPr>
      </w:pPr>
      <w:r w:rsidRPr="00762B34">
        <w:rPr>
          <w:rFonts w:cs="Arial"/>
          <w:b/>
          <w:lang w:val="es-ES_tradnl"/>
        </w:rPr>
        <w:t>TRIBUNAL DE CUENTAS</w:t>
      </w:r>
    </w:p>
    <w:p w:rsidR="00C030B5" w:rsidRPr="00762B34" w:rsidRDefault="00C030B5">
      <w:pPr>
        <w:tabs>
          <w:tab w:val="left" w:pos="-720"/>
        </w:tabs>
        <w:suppressAutoHyphens/>
        <w:jc w:val="center"/>
        <w:rPr>
          <w:rFonts w:cs="Arial"/>
          <w:b/>
          <w:lang w:val="es-ES_tradnl"/>
        </w:rPr>
      </w:pPr>
    </w:p>
    <w:p w:rsidR="00C030B5" w:rsidRPr="00762B34" w:rsidRDefault="00C030B5">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12 DE JULIO </w:t>
      </w:r>
      <w:r>
        <w:rPr>
          <w:rFonts w:ascii="Helvetica" w:hAnsi="Helvetica"/>
          <w:b/>
          <w:lang w:val="es-ES_tradnl"/>
        </w:rPr>
        <w:t>DE 2017</w:t>
      </w:r>
    </w:p>
    <w:p w:rsidR="00C030B5" w:rsidRPr="00762B34" w:rsidRDefault="00C030B5">
      <w:pPr>
        <w:tabs>
          <w:tab w:val="center" w:pos="4253"/>
        </w:tabs>
        <w:suppressAutoHyphens/>
        <w:jc w:val="center"/>
        <w:rPr>
          <w:rFonts w:cs="Arial"/>
          <w:b/>
          <w:lang w:val="es-ES_tradnl"/>
        </w:rPr>
      </w:pPr>
    </w:p>
    <w:p w:rsidR="00C030B5" w:rsidRPr="00762B34" w:rsidRDefault="00C030B5">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2014-17-1-0008904</w:t>
      </w:r>
      <w:r w:rsidRPr="00762B34">
        <w:rPr>
          <w:rFonts w:cs="Arial"/>
          <w:b/>
          <w:lang w:val="en-US"/>
        </w:rPr>
        <w:t xml:space="preserve">, </w:t>
      </w:r>
      <w:proofErr w:type="spellStart"/>
      <w:proofErr w:type="gramStart"/>
      <w:r w:rsidRPr="00762B34">
        <w:rPr>
          <w:rFonts w:cs="Arial"/>
          <w:b/>
          <w:lang w:val="en-US"/>
        </w:rPr>
        <w:t>Ent</w:t>
      </w:r>
      <w:proofErr w:type="spellEnd"/>
      <w:proofErr w:type="gramEnd"/>
      <w:r w:rsidRPr="00762B34">
        <w:rPr>
          <w:rFonts w:cs="Arial"/>
          <w:b/>
          <w:lang w:val="en-US"/>
        </w:rPr>
        <w:t>. N°</w:t>
      </w:r>
      <w:r>
        <w:rPr>
          <w:rFonts w:cs="Arial"/>
          <w:b/>
          <w:lang w:val="en-US"/>
        </w:rPr>
        <w:t xml:space="preserve"> 3104/17</w:t>
      </w:r>
      <w:r w:rsidRPr="00762B34">
        <w:rPr>
          <w:rFonts w:cs="Arial"/>
          <w:b/>
          <w:lang w:val="en-US"/>
        </w:rPr>
        <w:t>)</w:t>
      </w:r>
    </w:p>
    <w:p w:rsidR="00C030B5" w:rsidRDefault="00C030B5">
      <w:pPr>
        <w:tabs>
          <w:tab w:val="center" w:pos="4253"/>
        </w:tabs>
        <w:suppressAutoHyphens/>
        <w:jc w:val="center"/>
        <w:rPr>
          <w:rFonts w:ascii="Helvetica" w:hAnsi="Helvetica"/>
          <w:b/>
          <w:lang w:val="en-US"/>
        </w:rPr>
      </w:pPr>
    </w:p>
    <w:p w:rsidR="00D81247" w:rsidRDefault="00D81247" w:rsidP="00D81247"/>
    <w:p w:rsidR="00D81247" w:rsidRDefault="00D81247" w:rsidP="00C030B5">
      <w:pPr>
        <w:spacing w:line="360" w:lineRule="auto"/>
        <w:ind w:firstLine="851"/>
        <w:jc w:val="both"/>
      </w:pPr>
      <w:r>
        <w:rPr>
          <w:b/>
          <w:bCs/>
        </w:rPr>
        <w:t>VISTO</w:t>
      </w:r>
      <w:r>
        <w:t xml:space="preserve">, estas actuaciones remitidas por el </w:t>
      </w:r>
      <w:r>
        <w:rPr>
          <w:rFonts w:cs="Arial"/>
          <w:lang w:val="es-MX"/>
        </w:rPr>
        <w:t>Ministerio de Vivienda, Ordenamiento Territorial y Medio Ambiente (MVOTMA)</w:t>
      </w:r>
      <w:r>
        <w:t xml:space="preserve">, relacionadas con la modificación del convenio celebrado con la Intendencia de Montevideo (IM) el 27 de diciembre de 2011; </w:t>
      </w:r>
    </w:p>
    <w:p w:rsidR="00D81247" w:rsidRDefault="00D81247" w:rsidP="00C030B5">
      <w:pPr>
        <w:spacing w:line="360" w:lineRule="auto"/>
        <w:ind w:firstLine="851"/>
        <w:jc w:val="both"/>
        <w:rPr>
          <w:rFonts w:cs="Arial"/>
          <w:bCs/>
        </w:rPr>
      </w:pPr>
      <w:r>
        <w:rPr>
          <w:b/>
          <w:bCs/>
        </w:rPr>
        <w:t xml:space="preserve">RESULTANDO: 1) </w:t>
      </w:r>
      <w:r>
        <w:t>que</w:t>
      </w:r>
      <w:r w:rsidR="00810825">
        <w:t>,</w:t>
      </w:r>
      <w:r>
        <w:t xml:space="preserve"> con fecha </w:t>
      </w:r>
      <w:r>
        <w:rPr>
          <w:rFonts w:cs="Arial"/>
          <w:bCs/>
        </w:rPr>
        <w:t>1 de julio de 2011</w:t>
      </w:r>
      <w:r w:rsidR="00810825">
        <w:rPr>
          <w:rFonts w:cs="Arial"/>
          <w:bCs/>
        </w:rPr>
        <w:t>,</w:t>
      </w:r>
      <w:r>
        <w:rPr>
          <w:rFonts w:cs="Arial"/>
          <w:bCs/>
        </w:rPr>
        <w:t xml:space="preserve"> se celebró un convenio marco entre el MVOTMA y la IM con el objeto de acordar acciones conjuntas que serían desarrolladas a través de convenios específicos para la ejecución de programas y proyectos enmarcados en las seis líneas estratégicas </w:t>
      </w:r>
      <w:r w:rsidR="00A57927">
        <w:rPr>
          <w:rFonts w:cs="Arial"/>
          <w:bCs/>
        </w:rPr>
        <w:t xml:space="preserve"> </w:t>
      </w:r>
      <w:r>
        <w:rPr>
          <w:rFonts w:cs="Arial"/>
          <w:bCs/>
        </w:rPr>
        <w:t xml:space="preserve">del </w:t>
      </w:r>
      <w:r w:rsidR="00A57927">
        <w:rPr>
          <w:rFonts w:cs="Arial"/>
          <w:bCs/>
        </w:rPr>
        <w:t xml:space="preserve"> </w:t>
      </w:r>
      <w:r>
        <w:rPr>
          <w:rFonts w:cs="Arial"/>
          <w:bCs/>
        </w:rPr>
        <w:t xml:space="preserve">Plan </w:t>
      </w:r>
      <w:r w:rsidR="00A57927">
        <w:rPr>
          <w:rFonts w:cs="Arial"/>
          <w:bCs/>
        </w:rPr>
        <w:t xml:space="preserve"> </w:t>
      </w:r>
      <w:r>
        <w:rPr>
          <w:rFonts w:cs="Arial"/>
          <w:bCs/>
        </w:rPr>
        <w:t xml:space="preserve">Quinquenal </w:t>
      </w:r>
      <w:r w:rsidR="00A57927">
        <w:rPr>
          <w:rFonts w:cs="Arial"/>
          <w:bCs/>
        </w:rPr>
        <w:t xml:space="preserve"> </w:t>
      </w:r>
      <w:r>
        <w:rPr>
          <w:rFonts w:cs="Arial"/>
          <w:bCs/>
        </w:rPr>
        <w:t xml:space="preserve">de </w:t>
      </w:r>
      <w:r w:rsidR="00A57927">
        <w:rPr>
          <w:rFonts w:cs="Arial"/>
          <w:bCs/>
        </w:rPr>
        <w:t xml:space="preserve"> </w:t>
      </w:r>
      <w:r>
        <w:rPr>
          <w:rFonts w:cs="Arial"/>
          <w:bCs/>
        </w:rPr>
        <w:t xml:space="preserve">Vivienda </w:t>
      </w:r>
      <w:r w:rsidR="00A57927">
        <w:rPr>
          <w:rFonts w:cs="Arial"/>
          <w:bCs/>
        </w:rPr>
        <w:t xml:space="preserve"> </w:t>
      </w:r>
      <w:r>
        <w:rPr>
          <w:rFonts w:cs="Arial"/>
          <w:bCs/>
        </w:rPr>
        <w:t xml:space="preserve">vigente: </w:t>
      </w:r>
      <w:r>
        <w:rPr>
          <w:rFonts w:cs="Arial"/>
          <w:b/>
        </w:rPr>
        <w:t>1)</w:t>
      </w:r>
      <w:r>
        <w:rPr>
          <w:rFonts w:cs="Arial"/>
          <w:bCs/>
        </w:rPr>
        <w:t xml:space="preserve"> Plan </w:t>
      </w:r>
      <w:r w:rsidR="00A57927">
        <w:rPr>
          <w:rFonts w:cs="Arial"/>
          <w:bCs/>
        </w:rPr>
        <w:t xml:space="preserve"> </w:t>
      </w:r>
      <w:r>
        <w:rPr>
          <w:rFonts w:cs="Arial"/>
          <w:bCs/>
        </w:rPr>
        <w:t xml:space="preserve">Nacional </w:t>
      </w:r>
      <w:r w:rsidR="00A57927">
        <w:rPr>
          <w:rFonts w:cs="Arial"/>
          <w:bCs/>
        </w:rPr>
        <w:t xml:space="preserve"> </w:t>
      </w:r>
      <w:r>
        <w:rPr>
          <w:rFonts w:cs="Arial"/>
          <w:bCs/>
        </w:rPr>
        <w:t xml:space="preserve">de Relocalización </w:t>
      </w:r>
      <w:r w:rsidR="00A57927">
        <w:rPr>
          <w:rFonts w:cs="Arial"/>
          <w:bCs/>
        </w:rPr>
        <w:t xml:space="preserve">  </w:t>
      </w:r>
      <w:r>
        <w:rPr>
          <w:rFonts w:cs="Arial"/>
          <w:bCs/>
        </w:rPr>
        <w:t xml:space="preserve">de </w:t>
      </w:r>
      <w:r w:rsidR="00A57927">
        <w:rPr>
          <w:rFonts w:cs="Arial"/>
          <w:bCs/>
        </w:rPr>
        <w:t xml:space="preserve">  </w:t>
      </w:r>
      <w:r>
        <w:rPr>
          <w:rFonts w:cs="Arial"/>
          <w:bCs/>
        </w:rPr>
        <w:t xml:space="preserve">asentados </w:t>
      </w:r>
      <w:r w:rsidR="00A57927">
        <w:rPr>
          <w:rFonts w:cs="Arial"/>
          <w:bCs/>
        </w:rPr>
        <w:t xml:space="preserve">  </w:t>
      </w:r>
      <w:r>
        <w:rPr>
          <w:rFonts w:cs="Arial"/>
          <w:bCs/>
        </w:rPr>
        <w:t xml:space="preserve">en </w:t>
      </w:r>
      <w:r w:rsidR="00A57927">
        <w:rPr>
          <w:rFonts w:cs="Arial"/>
          <w:bCs/>
        </w:rPr>
        <w:t xml:space="preserve">  </w:t>
      </w:r>
      <w:r>
        <w:rPr>
          <w:rFonts w:cs="Arial"/>
          <w:bCs/>
        </w:rPr>
        <w:t xml:space="preserve">terrenos </w:t>
      </w:r>
      <w:r w:rsidR="00A57927">
        <w:rPr>
          <w:rFonts w:cs="Arial"/>
          <w:bCs/>
        </w:rPr>
        <w:t xml:space="preserve">  </w:t>
      </w:r>
      <w:r>
        <w:rPr>
          <w:rFonts w:cs="Arial"/>
          <w:bCs/>
        </w:rPr>
        <w:t xml:space="preserve">inundables </w:t>
      </w:r>
      <w:r w:rsidR="00A57927">
        <w:rPr>
          <w:rFonts w:cs="Arial"/>
          <w:bCs/>
        </w:rPr>
        <w:t xml:space="preserve"> </w:t>
      </w:r>
      <w:r>
        <w:rPr>
          <w:rFonts w:cs="Arial"/>
          <w:bCs/>
        </w:rPr>
        <w:t xml:space="preserve">o </w:t>
      </w:r>
      <w:r w:rsidR="00A57927">
        <w:rPr>
          <w:rFonts w:cs="Arial"/>
          <w:bCs/>
        </w:rPr>
        <w:t xml:space="preserve"> </w:t>
      </w:r>
      <w:r>
        <w:rPr>
          <w:rFonts w:cs="Arial"/>
          <w:bCs/>
        </w:rPr>
        <w:t xml:space="preserve">contaminados; </w:t>
      </w:r>
      <w:r w:rsidR="00A57927">
        <w:rPr>
          <w:rFonts w:cs="Arial"/>
          <w:bCs/>
        </w:rPr>
        <w:t xml:space="preserve"> </w:t>
      </w:r>
      <w:r>
        <w:rPr>
          <w:rFonts w:cs="Arial"/>
          <w:b/>
        </w:rPr>
        <w:t>2)</w:t>
      </w:r>
      <w:r>
        <w:rPr>
          <w:rFonts w:cs="Arial"/>
          <w:bCs/>
        </w:rPr>
        <w:t xml:space="preserve"> Rehabilitación y consolidación urbano-habitacional; </w:t>
      </w:r>
      <w:r>
        <w:rPr>
          <w:rFonts w:cs="Arial"/>
          <w:b/>
        </w:rPr>
        <w:t>3)</w:t>
      </w:r>
      <w:r>
        <w:rPr>
          <w:rFonts w:cs="Arial"/>
          <w:bCs/>
        </w:rPr>
        <w:t xml:space="preserve"> Plan de Acción Integrada: nuevas urbanizaciones; </w:t>
      </w:r>
      <w:r>
        <w:rPr>
          <w:rFonts w:cs="Arial"/>
          <w:b/>
        </w:rPr>
        <w:t>4)</w:t>
      </w:r>
      <w:r>
        <w:rPr>
          <w:rFonts w:cs="Arial"/>
          <w:bCs/>
        </w:rPr>
        <w:t xml:space="preserve"> Plan Nacional de Alquileres para Vivienda de Inter</w:t>
      </w:r>
      <w:r w:rsidR="00810825">
        <w:rPr>
          <w:rFonts w:cs="Arial"/>
          <w:bCs/>
        </w:rPr>
        <w:t xml:space="preserve">és </w:t>
      </w:r>
      <w:r>
        <w:rPr>
          <w:rFonts w:cs="Arial"/>
          <w:bCs/>
        </w:rPr>
        <w:t xml:space="preserve">Social; </w:t>
      </w:r>
      <w:r>
        <w:rPr>
          <w:rFonts w:cs="Arial"/>
          <w:b/>
        </w:rPr>
        <w:t>5)</w:t>
      </w:r>
      <w:r>
        <w:rPr>
          <w:rFonts w:cs="Arial"/>
          <w:bCs/>
        </w:rPr>
        <w:t xml:space="preserve"> Vivienda rural y pequeñas localidades; </w:t>
      </w:r>
      <w:r>
        <w:rPr>
          <w:rFonts w:cs="Arial"/>
          <w:b/>
        </w:rPr>
        <w:t>6)</w:t>
      </w:r>
      <w:r>
        <w:rPr>
          <w:rFonts w:cs="Arial"/>
          <w:bCs/>
        </w:rPr>
        <w:t xml:space="preserve"> Política de Incentivo a la Inversión privada en Vivienda de Interés Social;</w:t>
      </w:r>
    </w:p>
    <w:p w:rsidR="00D81247" w:rsidRDefault="00D81247" w:rsidP="00A57927">
      <w:pPr>
        <w:spacing w:line="360" w:lineRule="auto"/>
        <w:ind w:firstLine="2694"/>
        <w:jc w:val="both"/>
        <w:rPr>
          <w:rFonts w:cs="Arial"/>
          <w:bCs/>
        </w:rPr>
      </w:pPr>
      <w:r>
        <w:rPr>
          <w:rFonts w:cs="Arial"/>
          <w:b/>
        </w:rPr>
        <w:t>2)</w:t>
      </w:r>
      <w:r>
        <w:rPr>
          <w:rFonts w:cs="Arial"/>
          <w:bCs/>
        </w:rPr>
        <w:t xml:space="preserve"> que en su oportunidad</w:t>
      </w:r>
      <w:r w:rsidR="00D66035">
        <w:rPr>
          <w:rFonts w:cs="Arial"/>
          <w:bCs/>
        </w:rPr>
        <w:t>,</w:t>
      </w:r>
      <w:r>
        <w:rPr>
          <w:rFonts w:cs="Arial"/>
          <w:bCs/>
        </w:rPr>
        <w:t xml:space="preserve"> se remitió </w:t>
      </w:r>
      <w:r w:rsidR="00D66035">
        <w:rPr>
          <w:rFonts w:cs="Arial"/>
          <w:bCs/>
        </w:rPr>
        <w:t xml:space="preserve">un </w:t>
      </w:r>
      <w:r>
        <w:rPr>
          <w:rFonts w:cs="Arial"/>
          <w:bCs/>
        </w:rPr>
        <w:t>proyecto de convenio específico a suscribir con la I</w:t>
      </w:r>
      <w:r w:rsidR="00D66035">
        <w:rPr>
          <w:rFonts w:cs="Arial"/>
          <w:bCs/>
        </w:rPr>
        <w:t>M, cuyo objeto consistió</w:t>
      </w:r>
      <w:r>
        <w:rPr>
          <w:rFonts w:cs="Arial"/>
          <w:bCs/>
        </w:rPr>
        <w:t xml:space="preserve"> en  la relocalización total de familias asentadas en el asentamiento “la Manchega”, en virtud de encontrarse ubicado en terrenos contaminados y la relocalización de las familias asentadas en las áreas inundables de los asentamientos “Las </w:t>
      </w:r>
      <w:proofErr w:type="spellStart"/>
      <w:r>
        <w:rPr>
          <w:rFonts w:cs="Arial"/>
          <w:bCs/>
        </w:rPr>
        <w:t>Duranas</w:t>
      </w:r>
      <w:proofErr w:type="spellEnd"/>
      <w:r>
        <w:rPr>
          <w:rFonts w:cs="Arial"/>
          <w:bCs/>
        </w:rPr>
        <w:t>” y “</w:t>
      </w:r>
      <w:proofErr w:type="spellStart"/>
      <w:r>
        <w:rPr>
          <w:rFonts w:cs="Arial"/>
          <w:bCs/>
        </w:rPr>
        <w:t>Joanicó</w:t>
      </w:r>
      <w:proofErr w:type="spellEnd"/>
      <w:r>
        <w:rPr>
          <w:rFonts w:cs="Arial"/>
          <w:bCs/>
        </w:rPr>
        <w:t>”;</w:t>
      </w:r>
    </w:p>
    <w:p w:rsidR="00D81247" w:rsidRDefault="00D81247" w:rsidP="00A57927">
      <w:pPr>
        <w:pStyle w:val="Textoindependiente"/>
        <w:ind w:firstLine="2694"/>
      </w:pPr>
      <w:r w:rsidRPr="00BF1BA1">
        <w:rPr>
          <w:b/>
        </w:rPr>
        <w:t>3)</w:t>
      </w:r>
      <w:r>
        <w:t xml:space="preserve"> que este Tribunal</w:t>
      </w:r>
      <w:r w:rsidR="00D66035">
        <w:t>,</w:t>
      </w:r>
      <w:r>
        <w:t xml:space="preserve"> por Resolución adoptada el 30 de noviembre de 2011, no formuló observaciones al proyecto mencionado y </w:t>
      </w:r>
      <w:r>
        <w:lastRenderedPageBreak/>
        <w:t>dispuso que dictada l</w:t>
      </w:r>
      <w:r w:rsidR="00A57927">
        <w:t>a Resolución definitiva por el O</w:t>
      </w:r>
      <w:r>
        <w:t>rdenador competente y suscrito el convenio re</w:t>
      </w:r>
      <w:r w:rsidR="00D66035">
        <w:t>ferido</w:t>
      </w:r>
      <w:r w:rsidR="006B71AD">
        <w:t>, se cometía</w:t>
      </w:r>
      <w:r>
        <w:t xml:space="preserve"> a la Contadora Delegada la intervención de las erogaciones emergentes del mismo;</w:t>
      </w:r>
    </w:p>
    <w:p w:rsidR="00D81247" w:rsidRDefault="00D81247" w:rsidP="00A57927">
      <w:pPr>
        <w:pStyle w:val="Textoindependiente"/>
        <w:ind w:firstLine="2694"/>
      </w:pPr>
      <w:r w:rsidRPr="00BF1BA1">
        <w:rPr>
          <w:b/>
        </w:rPr>
        <w:t>4)</w:t>
      </w:r>
      <w:r>
        <w:t xml:space="preserve"> que con fecha 27 de diciembre de 2011, se celebró el convenio mencionado luego de que por Resolución del Poder Ejecutivo del 21 de diciembre de 2011, se autorizara la suscripción del mismo;</w:t>
      </w:r>
    </w:p>
    <w:p w:rsidR="00174B48" w:rsidRDefault="00D81247" w:rsidP="00A57927">
      <w:pPr>
        <w:pStyle w:val="Textoindependiente"/>
        <w:ind w:firstLine="2694"/>
      </w:pPr>
      <w:r w:rsidRPr="00BF1BA1">
        <w:rPr>
          <w:b/>
        </w:rPr>
        <w:t>5)</w:t>
      </w:r>
      <w:r>
        <w:t xml:space="preserve"> que teniendo en cuenta que, du</w:t>
      </w:r>
      <w:r w:rsidR="00BA7F9E">
        <w:t>rante la ejecución del convenio</w:t>
      </w:r>
      <w:r>
        <w:t xml:space="preserve"> se constató que los montos totales previstos para financiar las </w:t>
      </w:r>
      <w:r w:rsidR="00596007">
        <w:t>soluciones habitacion</w:t>
      </w:r>
      <w:r w:rsidR="00A57927">
        <w:t>al</w:t>
      </w:r>
      <w:r w:rsidR="00596007">
        <w:t>es resultaban</w:t>
      </w:r>
      <w:r>
        <w:t xml:space="preserve"> insuficientes y que se ha</w:t>
      </w:r>
      <w:r w:rsidR="00596007">
        <w:t>bía</w:t>
      </w:r>
      <w:r>
        <w:t xml:space="preserve"> disminuido levemente el número total de soluciones habitacionales a entregar, </w:t>
      </w:r>
      <w:r w:rsidR="00174B48">
        <w:t>se</w:t>
      </w:r>
      <w:r>
        <w:t xml:space="preserve"> </w:t>
      </w:r>
      <w:r w:rsidR="00174B48">
        <w:t xml:space="preserve">remitió en su momento a este Tribunal  una </w:t>
      </w:r>
      <w:r>
        <w:t xml:space="preserve"> modifica</w:t>
      </w:r>
      <w:r w:rsidR="00174B48">
        <w:t>ción al Numeral I de la Cláusula Tercera y el Numeral VI de la Cláusula Cuarta</w:t>
      </w:r>
      <w:r>
        <w:t xml:space="preserve"> </w:t>
      </w:r>
      <w:r w:rsidR="00174B48">
        <w:t>de</w:t>
      </w:r>
      <w:r>
        <w:t>l convenio celebrado el 27 de diciembre de 2011</w:t>
      </w:r>
      <w:r w:rsidR="00174B48">
        <w:t>,</w:t>
      </w:r>
      <w:r>
        <w:t xml:space="preserve"> de forma tal que pueda cumplirse cabalmente con el objetivo plateado al momento de su otorgamiento</w:t>
      </w:r>
      <w:r w:rsidR="00596007">
        <w:t>;</w:t>
      </w:r>
      <w:r w:rsidR="00174B48">
        <w:t xml:space="preserve"> </w:t>
      </w:r>
    </w:p>
    <w:p w:rsidR="009230BF" w:rsidRDefault="009230BF" w:rsidP="00BF3B15">
      <w:pPr>
        <w:pStyle w:val="Textoindependiente"/>
        <w:ind w:firstLine="2694"/>
      </w:pPr>
      <w:r w:rsidRPr="009230BF">
        <w:rPr>
          <w:b/>
        </w:rPr>
        <w:t xml:space="preserve">6) </w:t>
      </w:r>
      <w:r>
        <w:t>que por Resolución de fecha 10 de diciembre d</w:t>
      </w:r>
      <w:r w:rsidR="00D66035">
        <w:t>e 2014, este Tribunal no formuló</w:t>
      </w:r>
      <w:r>
        <w:t xml:space="preserve"> observaciones al nuevo convenio remitido, cometiendo a la Contadora Delegada la intervención de los gastos emergentes del mismo;</w:t>
      </w:r>
    </w:p>
    <w:p w:rsidR="00687B60" w:rsidRPr="009230BF" w:rsidRDefault="009230BF" w:rsidP="00BF3B15">
      <w:pPr>
        <w:spacing w:line="360" w:lineRule="auto"/>
        <w:ind w:firstLine="2694"/>
        <w:jc w:val="both"/>
        <w:rPr>
          <w:rFonts w:cs="Arial"/>
        </w:rPr>
      </w:pPr>
      <w:r w:rsidRPr="0006402B">
        <w:rPr>
          <w:rFonts w:cs="Arial"/>
          <w:b/>
          <w:bCs/>
        </w:rPr>
        <w:t>7</w:t>
      </w:r>
      <w:r w:rsidR="00D81247" w:rsidRPr="0006402B">
        <w:rPr>
          <w:rFonts w:cs="Arial"/>
          <w:b/>
        </w:rPr>
        <w:t>)</w:t>
      </w:r>
      <w:r w:rsidR="00687B60">
        <w:rPr>
          <w:rFonts w:cs="Arial"/>
          <w:b/>
        </w:rPr>
        <w:t xml:space="preserve"> </w:t>
      </w:r>
      <w:r w:rsidR="00687B60" w:rsidRPr="009230BF">
        <w:rPr>
          <w:rFonts w:cs="Arial"/>
        </w:rPr>
        <w:t>que según se señala en esta oportunidad, en la ejecu</w:t>
      </w:r>
      <w:r w:rsidR="00596007" w:rsidRPr="009230BF">
        <w:rPr>
          <w:rFonts w:cs="Arial"/>
        </w:rPr>
        <w:t>ción</w:t>
      </w:r>
      <w:r w:rsidR="00687B60" w:rsidRPr="009230BF">
        <w:rPr>
          <w:rFonts w:cs="Arial"/>
        </w:rPr>
        <w:t xml:space="preserve"> del convenio </w:t>
      </w:r>
      <w:r w:rsidR="00D66035">
        <w:rPr>
          <w:rFonts w:cs="Arial"/>
        </w:rPr>
        <w:t>multicitado</w:t>
      </w:r>
      <w:r w:rsidR="00687B60" w:rsidRPr="009230BF">
        <w:rPr>
          <w:rFonts w:cs="Arial"/>
        </w:rPr>
        <w:t xml:space="preserve">, luego de realizarse las </w:t>
      </w:r>
      <w:r w:rsidR="00596007" w:rsidRPr="009230BF">
        <w:rPr>
          <w:rFonts w:cs="Arial"/>
        </w:rPr>
        <w:t>respectivas</w:t>
      </w:r>
      <w:r w:rsidR="00687B60" w:rsidRPr="009230BF">
        <w:rPr>
          <w:rFonts w:cs="Arial"/>
        </w:rPr>
        <w:t xml:space="preserve"> lic</w:t>
      </w:r>
      <w:r w:rsidR="00596007" w:rsidRPr="009230BF">
        <w:rPr>
          <w:rFonts w:cs="Arial"/>
        </w:rPr>
        <w:t>i</w:t>
      </w:r>
      <w:r w:rsidR="00687B60" w:rsidRPr="009230BF">
        <w:rPr>
          <w:rFonts w:cs="Arial"/>
        </w:rPr>
        <w:t xml:space="preserve">taciones, se pudo constatar que el monto total aportado por el MVOTMA resulta </w:t>
      </w:r>
      <w:r w:rsidR="00596007" w:rsidRPr="009230BF">
        <w:rPr>
          <w:rFonts w:cs="Arial"/>
        </w:rPr>
        <w:t>suficiente</w:t>
      </w:r>
      <w:r w:rsidR="00687B60" w:rsidRPr="009230BF">
        <w:rPr>
          <w:rFonts w:cs="Arial"/>
        </w:rPr>
        <w:t xml:space="preserve"> para </w:t>
      </w:r>
      <w:r w:rsidR="00596007" w:rsidRPr="009230BF">
        <w:rPr>
          <w:rFonts w:cs="Arial"/>
        </w:rPr>
        <w:t>financiar</w:t>
      </w:r>
      <w:r w:rsidR="00687B60" w:rsidRPr="009230BF">
        <w:rPr>
          <w:rFonts w:cs="Arial"/>
        </w:rPr>
        <w:t xml:space="preserve"> 183 vi</w:t>
      </w:r>
      <w:r w:rsidR="00596007" w:rsidRPr="009230BF">
        <w:rPr>
          <w:rFonts w:cs="Arial"/>
        </w:rPr>
        <w:t>vi</w:t>
      </w:r>
      <w:r w:rsidR="00687B60" w:rsidRPr="009230BF">
        <w:rPr>
          <w:rFonts w:cs="Arial"/>
        </w:rPr>
        <w:t>endas en l</w:t>
      </w:r>
      <w:r w:rsidR="00596007" w:rsidRPr="009230BF">
        <w:rPr>
          <w:rFonts w:cs="Arial"/>
        </w:rPr>
        <w:t>u</w:t>
      </w:r>
      <w:r w:rsidR="00687B60" w:rsidRPr="009230BF">
        <w:rPr>
          <w:rFonts w:cs="Arial"/>
        </w:rPr>
        <w:t xml:space="preserve">gar de las 137 </w:t>
      </w:r>
      <w:r w:rsidR="00596007" w:rsidRPr="009230BF">
        <w:rPr>
          <w:rFonts w:cs="Arial"/>
        </w:rPr>
        <w:t>previstas</w:t>
      </w:r>
      <w:r w:rsidR="00687B60" w:rsidRPr="009230BF">
        <w:rPr>
          <w:rFonts w:cs="Arial"/>
        </w:rPr>
        <w:t xml:space="preserve"> en la </w:t>
      </w:r>
      <w:r w:rsidR="00596007" w:rsidRPr="009230BF">
        <w:rPr>
          <w:rFonts w:cs="Arial"/>
        </w:rPr>
        <w:t>última</w:t>
      </w:r>
      <w:r w:rsidR="00687B60" w:rsidRPr="009230BF">
        <w:rPr>
          <w:rFonts w:cs="Arial"/>
        </w:rPr>
        <w:t xml:space="preserve"> modi</w:t>
      </w:r>
      <w:r w:rsidR="00596007" w:rsidRPr="009230BF">
        <w:rPr>
          <w:rFonts w:cs="Arial"/>
        </w:rPr>
        <w:t>ficació</w:t>
      </w:r>
      <w:r w:rsidR="00687B60" w:rsidRPr="009230BF">
        <w:rPr>
          <w:rFonts w:cs="Arial"/>
        </w:rPr>
        <w:t>n;</w:t>
      </w:r>
    </w:p>
    <w:p w:rsidR="00A346E7" w:rsidRPr="009230BF" w:rsidRDefault="009230BF" w:rsidP="00BF3B15">
      <w:pPr>
        <w:spacing w:line="360" w:lineRule="auto"/>
        <w:ind w:firstLine="2694"/>
        <w:jc w:val="both"/>
        <w:rPr>
          <w:rFonts w:cs="Arial"/>
        </w:rPr>
      </w:pPr>
      <w:r>
        <w:rPr>
          <w:rFonts w:cs="Arial"/>
          <w:b/>
        </w:rPr>
        <w:t>8</w:t>
      </w:r>
      <w:r w:rsidR="00687B60">
        <w:rPr>
          <w:rFonts w:cs="Arial"/>
          <w:b/>
        </w:rPr>
        <w:t xml:space="preserve">) </w:t>
      </w:r>
      <w:r w:rsidR="00687B60" w:rsidRPr="009230BF">
        <w:rPr>
          <w:rFonts w:cs="Arial"/>
        </w:rPr>
        <w:t xml:space="preserve">que en función de ello, se remite un </w:t>
      </w:r>
      <w:r w:rsidR="00596007" w:rsidRPr="009230BF">
        <w:rPr>
          <w:rFonts w:cs="Arial"/>
        </w:rPr>
        <w:t>proyecto</w:t>
      </w:r>
      <w:r w:rsidR="00687B60" w:rsidRPr="009230BF">
        <w:rPr>
          <w:rFonts w:cs="Arial"/>
        </w:rPr>
        <w:t xml:space="preserve"> de  </w:t>
      </w:r>
      <w:r w:rsidR="006B71AD">
        <w:rPr>
          <w:rFonts w:cs="Arial"/>
        </w:rPr>
        <w:t>acuerdo a efectos de modificar</w:t>
      </w:r>
      <w:r w:rsidR="00687B60" w:rsidRPr="009230BF">
        <w:rPr>
          <w:rFonts w:cs="Arial"/>
        </w:rPr>
        <w:t xml:space="preserve"> </w:t>
      </w:r>
      <w:r w:rsidR="00857BCB">
        <w:rPr>
          <w:rFonts w:cs="Arial"/>
        </w:rPr>
        <w:t>e</w:t>
      </w:r>
      <w:r w:rsidR="00687B60" w:rsidRPr="009230BF">
        <w:rPr>
          <w:rFonts w:cs="Arial"/>
        </w:rPr>
        <w:t xml:space="preserve">l convenio suscrito el 27 de diciembre de 2011 y su modificativo </w:t>
      </w:r>
      <w:r w:rsidR="00596007" w:rsidRPr="009230BF">
        <w:rPr>
          <w:rFonts w:cs="Arial"/>
        </w:rPr>
        <w:t>suscripto</w:t>
      </w:r>
      <w:r w:rsidR="00687B60" w:rsidRPr="009230BF">
        <w:rPr>
          <w:rFonts w:cs="Arial"/>
        </w:rPr>
        <w:t xml:space="preserve"> el 19 de noviembre de 2014, ajustando la</w:t>
      </w:r>
      <w:r w:rsidR="006B71AD">
        <w:rPr>
          <w:rFonts w:cs="Arial"/>
        </w:rPr>
        <w:t>s</w:t>
      </w:r>
      <w:r w:rsidR="00687B60" w:rsidRPr="009230BF">
        <w:rPr>
          <w:rFonts w:cs="Arial"/>
        </w:rPr>
        <w:t xml:space="preserve"> condiciones  del mismo, de tal manera de </w:t>
      </w:r>
      <w:r w:rsidR="006B71AD">
        <w:rPr>
          <w:rFonts w:cs="Arial"/>
        </w:rPr>
        <w:t xml:space="preserve">que </w:t>
      </w:r>
      <w:r w:rsidR="00A346E7" w:rsidRPr="009230BF">
        <w:rPr>
          <w:rFonts w:cs="Arial"/>
        </w:rPr>
        <w:t xml:space="preserve">prevea </w:t>
      </w:r>
      <w:r w:rsidR="00687B60" w:rsidRPr="009230BF">
        <w:rPr>
          <w:rFonts w:cs="Arial"/>
        </w:rPr>
        <w:t xml:space="preserve"> la</w:t>
      </w:r>
      <w:r w:rsidR="00A346E7" w:rsidRPr="009230BF">
        <w:rPr>
          <w:rFonts w:cs="Arial"/>
        </w:rPr>
        <w:t xml:space="preserve"> </w:t>
      </w:r>
      <w:r w:rsidR="00687B60" w:rsidRPr="009230BF">
        <w:rPr>
          <w:rFonts w:cs="Arial"/>
        </w:rPr>
        <w:t xml:space="preserve"> constr</w:t>
      </w:r>
      <w:r w:rsidR="00596007" w:rsidRPr="009230BF">
        <w:rPr>
          <w:rFonts w:cs="Arial"/>
        </w:rPr>
        <w:t>u</w:t>
      </w:r>
      <w:r w:rsidR="00687B60" w:rsidRPr="009230BF">
        <w:rPr>
          <w:rFonts w:cs="Arial"/>
        </w:rPr>
        <w:t>c</w:t>
      </w:r>
      <w:r w:rsidR="00596007" w:rsidRPr="009230BF">
        <w:rPr>
          <w:rFonts w:cs="Arial"/>
        </w:rPr>
        <w:t>ció</w:t>
      </w:r>
      <w:r w:rsidR="00687B60" w:rsidRPr="009230BF">
        <w:rPr>
          <w:rFonts w:cs="Arial"/>
        </w:rPr>
        <w:t xml:space="preserve">n de 183 soluciones </w:t>
      </w:r>
      <w:r w:rsidR="00596007" w:rsidRPr="009230BF">
        <w:rPr>
          <w:rFonts w:cs="Arial"/>
        </w:rPr>
        <w:t>habitacional</w:t>
      </w:r>
      <w:r w:rsidR="00D66035">
        <w:rPr>
          <w:rFonts w:cs="Arial"/>
        </w:rPr>
        <w:t>es</w:t>
      </w:r>
      <w:r w:rsidR="00687B60" w:rsidRPr="009230BF">
        <w:rPr>
          <w:rFonts w:cs="Arial"/>
        </w:rPr>
        <w:t xml:space="preserve"> </w:t>
      </w:r>
      <w:r w:rsidR="00A346E7" w:rsidRPr="009230BF">
        <w:rPr>
          <w:rFonts w:cs="Arial"/>
        </w:rPr>
        <w:t xml:space="preserve"> con los recursos ya previstos, e</w:t>
      </w:r>
      <w:r w:rsidR="006B71AD">
        <w:rPr>
          <w:rFonts w:cs="Arial"/>
        </w:rPr>
        <w:t>sto es, sin aumentar los montos</w:t>
      </w:r>
      <w:r w:rsidR="00A346E7" w:rsidRPr="009230BF">
        <w:rPr>
          <w:rFonts w:cs="Arial"/>
        </w:rPr>
        <w:t xml:space="preserve"> tr</w:t>
      </w:r>
      <w:r w:rsidR="00596007" w:rsidRPr="009230BF">
        <w:rPr>
          <w:rFonts w:cs="Arial"/>
        </w:rPr>
        <w:t>a</w:t>
      </w:r>
      <w:r w:rsidR="00A346E7" w:rsidRPr="009230BF">
        <w:rPr>
          <w:rFonts w:cs="Arial"/>
        </w:rPr>
        <w:t>n</w:t>
      </w:r>
      <w:r w:rsidR="00596007" w:rsidRPr="009230BF">
        <w:rPr>
          <w:rFonts w:cs="Arial"/>
        </w:rPr>
        <w:t>s</w:t>
      </w:r>
      <w:r w:rsidR="00A346E7" w:rsidRPr="009230BF">
        <w:rPr>
          <w:rFonts w:cs="Arial"/>
        </w:rPr>
        <w:t>ferido</w:t>
      </w:r>
      <w:r w:rsidR="00596007" w:rsidRPr="009230BF">
        <w:rPr>
          <w:rFonts w:cs="Arial"/>
        </w:rPr>
        <w:t>s</w:t>
      </w:r>
      <w:r w:rsidR="00A346E7" w:rsidRPr="009230BF">
        <w:rPr>
          <w:rFonts w:cs="Arial"/>
        </w:rPr>
        <w:t xml:space="preserve"> a la </w:t>
      </w:r>
      <w:r w:rsidR="00596007" w:rsidRPr="009230BF">
        <w:rPr>
          <w:rFonts w:cs="Arial"/>
        </w:rPr>
        <w:t>Intendencia</w:t>
      </w:r>
      <w:r w:rsidR="00A346E7" w:rsidRPr="009230BF">
        <w:rPr>
          <w:rFonts w:cs="Arial"/>
        </w:rPr>
        <w:t>;</w:t>
      </w:r>
    </w:p>
    <w:p w:rsidR="007E7060" w:rsidRDefault="009230BF" w:rsidP="00BF3B15">
      <w:pPr>
        <w:pStyle w:val="Textoindependiente"/>
        <w:ind w:firstLine="2694"/>
      </w:pPr>
      <w:r>
        <w:rPr>
          <w:b/>
        </w:rPr>
        <w:lastRenderedPageBreak/>
        <w:t>9</w:t>
      </w:r>
      <w:r w:rsidR="00A346E7">
        <w:rPr>
          <w:b/>
        </w:rPr>
        <w:t xml:space="preserve">)  </w:t>
      </w:r>
      <w:r w:rsidR="00A346E7" w:rsidRPr="009230BF">
        <w:t>que en tal sentido, del proyecto adjunto surge q</w:t>
      </w:r>
      <w:r w:rsidR="00BF3B15">
        <w:t>ue por el mismo se modifica el N</w:t>
      </w:r>
      <w:r w:rsidR="00A346E7" w:rsidRPr="009230BF">
        <w:t>um</w:t>
      </w:r>
      <w:r w:rsidR="00596007" w:rsidRPr="009230BF">
        <w:t>e</w:t>
      </w:r>
      <w:r w:rsidR="00A346E7" w:rsidRPr="009230BF">
        <w:t xml:space="preserve">ral I de la </w:t>
      </w:r>
      <w:r w:rsidR="00BF3B15">
        <w:t>C</w:t>
      </w:r>
      <w:r w:rsidR="00596007" w:rsidRPr="009230BF">
        <w:t>láusula</w:t>
      </w:r>
      <w:r w:rsidR="00BF3B15">
        <w:t xml:space="preserve"> T</w:t>
      </w:r>
      <w:r w:rsidR="00A346E7" w:rsidRPr="009230BF">
        <w:t xml:space="preserve">ercera y  los </w:t>
      </w:r>
      <w:r w:rsidR="00BF3B15">
        <w:t>N</w:t>
      </w:r>
      <w:r w:rsidR="00596007" w:rsidRPr="009230BF">
        <w:t>umeral</w:t>
      </w:r>
      <w:r w:rsidR="00D66035">
        <w:t>es</w:t>
      </w:r>
      <w:r w:rsidR="00A346E7" w:rsidRPr="009230BF">
        <w:t xml:space="preserve"> I y IV de la </w:t>
      </w:r>
      <w:r w:rsidR="00BF3B15">
        <w:t>C</w:t>
      </w:r>
      <w:r w:rsidR="00596007" w:rsidRPr="009230BF">
        <w:t>láusula</w:t>
      </w:r>
      <w:r w:rsidR="00A346E7" w:rsidRPr="009230BF">
        <w:t xml:space="preserve"> IV del convenio </w:t>
      </w:r>
      <w:r w:rsidR="00596007" w:rsidRPr="009230BF">
        <w:t>mencionado</w:t>
      </w:r>
      <w:r w:rsidR="00857BCB">
        <w:t>, las cuales quedará</w:t>
      </w:r>
      <w:r w:rsidR="00596007" w:rsidRPr="009230BF">
        <w:t>n</w:t>
      </w:r>
      <w:r w:rsidR="00A346E7" w:rsidRPr="009230BF">
        <w:t xml:space="preserve"> redactadas de la siguiente manera:</w:t>
      </w:r>
      <w:r w:rsidR="00A346E7">
        <w:rPr>
          <w:b/>
        </w:rPr>
        <w:t xml:space="preserve"> </w:t>
      </w:r>
      <w:r w:rsidR="00A346E7">
        <w:t xml:space="preserve">TERCERO: OBLIGACIONES DEL MVOTMA: el </w:t>
      </w:r>
      <w:r w:rsidR="00BF3B15">
        <w:t xml:space="preserve"> </w:t>
      </w:r>
      <w:r w:rsidR="00A346E7">
        <w:t xml:space="preserve">MVOTMA </w:t>
      </w:r>
      <w:r w:rsidR="00BF3B15">
        <w:t xml:space="preserve"> </w:t>
      </w:r>
      <w:r w:rsidR="00A346E7">
        <w:t xml:space="preserve">se </w:t>
      </w:r>
      <w:r w:rsidR="00BF3B15">
        <w:t xml:space="preserve"> </w:t>
      </w:r>
      <w:r w:rsidR="00A346E7">
        <w:t xml:space="preserve">compromete </w:t>
      </w:r>
      <w:r w:rsidR="00BF3B15">
        <w:t xml:space="preserve"> </w:t>
      </w:r>
      <w:r w:rsidR="00A346E7">
        <w:t>a: I) Transferir un monto de hasta UR 321.130 con destino a financiar 183 soluciones habitacionales. Dicha transferencia se realizará en partidas consecutivas de monto variable, según lo dispuesto a continuación y una vez verificado el cumplimient</w:t>
      </w:r>
      <w:r w:rsidR="007E7060">
        <w:t>o de  las condiciones acordadas:</w:t>
      </w:r>
      <w:r w:rsidR="00A346E7">
        <w:t xml:space="preserve"> </w:t>
      </w:r>
    </w:p>
    <w:p w:rsidR="001C48E2" w:rsidRDefault="00A346E7" w:rsidP="007E7060">
      <w:pPr>
        <w:pStyle w:val="Textoindependiente"/>
      </w:pPr>
      <w:r w:rsidRPr="007E7060">
        <w:rPr>
          <w:b/>
        </w:rPr>
        <w:t>a)</w:t>
      </w:r>
      <w:r w:rsidR="008F38D0">
        <w:t xml:space="preserve"> una primera partida de h</w:t>
      </w:r>
      <w:r>
        <w:t>asta UR 81.840, que se hará efectiva una vez que</w:t>
      </w:r>
      <w:r w:rsidR="008F38D0">
        <w:t xml:space="preserve"> estén</w:t>
      </w:r>
      <w:r>
        <w:t xml:space="preserve"> aprobados por parte de Dirección Nacional de Vivienda (DINAVI) los proyectos sociales y arquitectónicos y el cronograma de obras a realizar para las hasta  68 primeras soluciones habitacionales; </w:t>
      </w:r>
    </w:p>
    <w:p w:rsidR="00E24371" w:rsidRDefault="00A346E7" w:rsidP="007E7060">
      <w:pPr>
        <w:pStyle w:val="Textoindependiente"/>
      </w:pPr>
      <w:r w:rsidRPr="001C48E2">
        <w:rPr>
          <w:b/>
        </w:rPr>
        <w:t>b)</w:t>
      </w:r>
      <w:r>
        <w:t xml:space="preserve"> una segunda partida de hasta UR 74.400, una vez que se hayan presentado por parte de la IM el informe de Revisión Limitada y los informes sociales y arquitectónicos correspondientes a las primeras 68 soluciones habitacionales y se haya</w:t>
      </w:r>
      <w:r w:rsidR="008F38D0">
        <w:t>n</w:t>
      </w:r>
      <w:r>
        <w:t xml:space="preserve"> aprobado por </w:t>
      </w:r>
      <w:r w:rsidR="008F38D0">
        <w:t xml:space="preserve">parte de la </w:t>
      </w:r>
      <w:r>
        <w:t xml:space="preserve">DINAVI, el proyecto social y arquitectónico y el cronograma para llevarlo adelante, hasta 63 soluciones habitacionales; </w:t>
      </w:r>
    </w:p>
    <w:p w:rsidR="003E7BA4" w:rsidRDefault="00A346E7" w:rsidP="007E7060">
      <w:pPr>
        <w:pStyle w:val="Textoindependiente"/>
      </w:pPr>
      <w:r w:rsidRPr="00E24371">
        <w:rPr>
          <w:b/>
        </w:rPr>
        <w:t>c)</w:t>
      </w:r>
      <w:r>
        <w:t xml:space="preserve"> una tercera partida de hasta U</w:t>
      </w:r>
      <w:r w:rsidR="008F38D0">
        <w:t>R</w:t>
      </w:r>
      <w:r>
        <w:t xml:space="preserve"> 154.111 el diferencial de costo de las viviendas a construirse con las primera</w:t>
      </w:r>
      <w:r w:rsidR="008F38D0">
        <w:t>s</w:t>
      </w:r>
      <w:r>
        <w:t xml:space="preserve"> dos partidas; </w:t>
      </w:r>
    </w:p>
    <w:p w:rsidR="008F38D0" w:rsidRDefault="00A346E7" w:rsidP="007E7060">
      <w:pPr>
        <w:pStyle w:val="Textoindependiente"/>
      </w:pPr>
      <w:r w:rsidRPr="003E7BA4">
        <w:rPr>
          <w:b/>
        </w:rPr>
        <w:t>d)</w:t>
      </w:r>
      <w:r>
        <w:t xml:space="preserve"> una cuarta partida  corresponde a la sustracción al monto total destinado al convenio menos los montos transferidos en la </w:t>
      </w:r>
      <w:r w:rsidR="008F38D0">
        <w:t>primera</w:t>
      </w:r>
      <w:r>
        <w:t>,</w:t>
      </w:r>
      <w:r w:rsidR="008F38D0">
        <w:t xml:space="preserve"> segunda</w:t>
      </w:r>
      <w:r>
        <w:t xml:space="preserve"> y terceras partidas, una vez  que la IM haya presentado  los informes de revisión limitada de los recursos tra</w:t>
      </w:r>
      <w:r w:rsidR="008F38D0">
        <w:t>n</w:t>
      </w:r>
      <w:r>
        <w:t xml:space="preserve">sferidos al amparo de este acuerdo, informes sociales y arquitectónicos correspondientes, proyecto de intervención en el área a liberar con el realojo del asentamiento, debiéndose aprobar por la DINAVI los proyectos sociales y arquitectónicos a realizarse y el cronograma de actividades para finalizar la relocalización total del asentamiento, si correspondiera. El monto total a transferir será el correspondiente a la cantidad de soluciones habitacionales presentadas por la IM y aprobadas por la DINAVI </w:t>
      </w:r>
      <w:r>
        <w:lastRenderedPageBreak/>
        <w:t>y de acuerdo al monto establecido por solución habi</w:t>
      </w:r>
      <w:r w:rsidR="003E7BA4">
        <w:t>tacional en el punto I de esta C</w:t>
      </w:r>
      <w:r>
        <w:t>láusula. Dichas sumas serán depositadas en una cuenta extra</w:t>
      </w:r>
      <w:r w:rsidR="008F38D0">
        <w:t>-</w:t>
      </w:r>
      <w:r>
        <w:t xml:space="preserve">presupuestal abierta para ese fin específico”. “CUARTO: OBLIGACIONES DE LA INTENDENCIA: I) </w:t>
      </w:r>
      <w:r w:rsidR="008F38D0">
        <w:t>Administrar los fondos vertidos por el MVOTMA y depositarl</w:t>
      </w:r>
      <w:r w:rsidR="001602F3">
        <w:t>o</w:t>
      </w:r>
      <w:r w:rsidR="008F38D0">
        <w:t>s en la cuenta extra-presupuestal referida en el Punto I</w:t>
      </w:r>
      <w:r w:rsidR="00726689">
        <w:t xml:space="preserve"> de la cláusula anterior, que se abrirá con destino al objeto del presente convenio y para todas las actuac</w:t>
      </w:r>
      <w:r w:rsidR="006B71AD">
        <w:t xml:space="preserve">iones referidas en el </w:t>
      </w:r>
      <w:r w:rsidR="006B71AD" w:rsidRPr="003E7BA4">
        <w:t>RO</w:t>
      </w:r>
      <w:r w:rsidR="006B71AD">
        <w:t>. La I</w:t>
      </w:r>
      <w:r w:rsidR="00726689">
        <w:t xml:space="preserve">M podrá adelantar, con fondos propios, las transferencias establecidas en la </w:t>
      </w:r>
      <w:r w:rsidR="00596007">
        <w:t>Cláusula</w:t>
      </w:r>
      <w:r w:rsidR="003E7BA4">
        <w:t xml:space="preserve"> T</w:t>
      </w:r>
      <w:r w:rsidR="00726689">
        <w:t>ercera. Dichos adelantos serán reintegrados una vez qu</w:t>
      </w:r>
      <w:r w:rsidR="00596007">
        <w:t>e</w:t>
      </w:r>
      <w:r w:rsidR="00726689">
        <w:t xml:space="preserve"> se reciban los fondos del MVOTMA, no existiendo por ello, impedimento para que puedan ser imputados y rendidos como gastos del presente convenio. IV</w:t>
      </w:r>
      <w:r w:rsidR="00810825">
        <w:t>)</w:t>
      </w:r>
      <w:r w:rsidR="00726689">
        <w:t xml:space="preserve"> Realizar las contrataciones pertinentes para construir hasta 183 (ciento ochenta y tres) soluciones habitaciones”</w:t>
      </w:r>
    </w:p>
    <w:p w:rsidR="00726689" w:rsidRDefault="00726689" w:rsidP="003E7BA4">
      <w:pPr>
        <w:pStyle w:val="Textoindependiente"/>
        <w:ind w:firstLine="2694"/>
      </w:pPr>
      <w:r w:rsidRPr="0006402B">
        <w:rPr>
          <w:b/>
        </w:rPr>
        <w:t>1</w:t>
      </w:r>
      <w:r w:rsidR="0006402B" w:rsidRPr="0006402B">
        <w:rPr>
          <w:b/>
        </w:rPr>
        <w:t>0</w:t>
      </w:r>
      <w:r w:rsidRPr="0006402B">
        <w:rPr>
          <w:b/>
        </w:rPr>
        <w:t>)</w:t>
      </w:r>
      <w:r w:rsidR="00891746">
        <w:t xml:space="preserve"> que se adjunta </w:t>
      </w:r>
      <w:r w:rsidR="00596007">
        <w:t>proyecto</w:t>
      </w:r>
      <w:r w:rsidR="00891746">
        <w:t xml:space="preserve"> de </w:t>
      </w:r>
      <w:r w:rsidR="00596007">
        <w:t>Resolución</w:t>
      </w:r>
      <w:r w:rsidR="00891746">
        <w:t xml:space="preserve"> del Poder Ejecutivo</w:t>
      </w:r>
      <w:r w:rsidR="00D66035">
        <w:t>,</w:t>
      </w:r>
      <w:r w:rsidR="00891746">
        <w:t xml:space="preserve"> por el cual se autoriza la </w:t>
      </w:r>
      <w:r w:rsidR="00596007">
        <w:t>suscripción</w:t>
      </w:r>
      <w:r w:rsidR="00891746">
        <w:t xml:space="preserve"> de la </w:t>
      </w:r>
      <w:r w:rsidR="007B14E2">
        <w:t>modificación</w:t>
      </w:r>
      <w:r w:rsidR="00891746">
        <w:t xml:space="preserve"> al convenio referida; </w:t>
      </w:r>
    </w:p>
    <w:p w:rsidR="0006402B" w:rsidRDefault="00D81247" w:rsidP="00C030B5">
      <w:pPr>
        <w:spacing w:line="360" w:lineRule="auto"/>
        <w:ind w:firstLine="851"/>
        <w:jc w:val="both"/>
        <w:rPr>
          <w:rFonts w:cs="Arial"/>
        </w:rPr>
      </w:pPr>
      <w:r>
        <w:rPr>
          <w:rFonts w:cs="Arial"/>
          <w:b/>
          <w:bCs/>
        </w:rPr>
        <w:t xml:space="preserve">CONSIDERANDO: </w:t>
      </w:r>
      <w:r>
        <w:rPr>
          <w:rFonts w:cs="Arial"/>
        </w:rPr>
        <w:t xml:space="preserve"> que</w:t>
      </w:r>
      <w:r w:rsidR="001602F3">
        <w:rPr>
          <w:rFonts w:cs="Arial"/>
        </w:rPr>
        <w:t xml:space="preserve"> la modificación al convenio </w:t>
      </w:r>
      <w:r w:rsidR="00E26CEE">
        <w:rPr>
          <w:rFonts w:cs="Arial"/>
        </w:rPr>
        <w:t xml:space="preserve">remitida no implica </w:t>
      </w:r>
      <w:r w:rsidR="0006402B">
        <w:rPr>
          <w:rFonts w:cs="Arial"/>
        </w:rPr>
        <w:t xml:space="preserve">cambios sustanciales ni </w:t>
      </w:r>
      <w:r w:rsidR="009230BF">
        <w:rPr>
          <w:rFonts w:cs="Arial"/>
        </w:rPr>
        <w:t xml:space="preserve">la generación de </w:t>
      </w:r>
      <w:r w:rsidR="00E26CEE">
        <w:rPr>
          <w:rFonts w:cs="Arial"/>
        </w:rPr>
        <w:t>gasto</w:t>
      </w:r>
      <w:r w:rsidR="0006402B">
        <w:rPr>
          <w:rFonts w:cs="Arial"/>
        </w:rPr>
        <w:t>s</w:t>
      </w:r>
      <w:r w:rsidR="00E26CEE">
        <w:rPr>
          <w:rFonts w:cs="Arial"/>
        </w:rPr>
        <w:t xml:space="preserve"> adicional</w:t>
      </w:r>
      <w:r w:rsidR="0006402B">
        <w:rPr>
          <w:rFonts w:cs="Arial"/>
        </w:rPr>
        <w:t>es respecto  a lo ya</w:t>
      </w:r>
      <w:r w:rsidR="00E26CEE">
        <w:rPr>
          <w:rFonts w:cs="Arial"/>
        </w:rPr>
        <w:t xml:space="preserve">  previsto </w:t>
      </w:r>
      <w:r w:rsidR="009230BF">
        <w:rPr>
          <w:rFonts w:cs="Arial"/>
        </w:rPr>
        <w:t xml:space="preserve">en el último </w:t>
      </w:r>
      <w:r w:rsidR="00E26CEE">
        <w:rPr>
          <w:rFonts w:cs="Arial"/>
        </w:rPr>
        <w:t xml:space="preserve"> convenio</w:t>
      </w:r>
      <w:r w:rsidR="009230BF">
        <w:rPr>
          <w:rFonts w:cs="Arial"/>
        </w:rPr>
        <w:t xml:space="preserve"> celebrado entre el MVOTMA y la IM</w:t>
      </w:r>
      <w:r w:rsidR="0006402B">
        <w:rPr>
          <w:rFonts w:cs="Arial"/>
        </w:rPr>
        <w:t xml:space="preserve">, </w:t>
      </w:r>
      <w:r w:rsidR="00857BCB">
        <w:rPr>
          <w:rFonts w:cs="Arial"/>
        </w:rPr>
        <w:t>respecto</w:t>
      </w:r>
      <w:r w:rsidR="0006402B">
        <w:rPr>
          <w:rFonts w:cs="Arial"/>
        </w:rPr>
        <w:t xml:space="preserve"> </w:t>
      </w:r>
      <w:r w:rsidR="00857BCB">
        <w:rPr>
          <w:rFonts w:cs="Arial"/>
        </w:rPr>
        <w:t>a</w:t>
      </w:r>
      <w:r w:rsidR="0006402B">
        <w:rPr>
          <w:rFonts w:cs="Arial"/>
        </w:rPr>
        <w:t>l cual este</w:t>
      </w:r>
      <w:r w:rsidR="009230BF">
        <w:rPr>
          <w:rFonts w:cs="Arial"/>
        </w:rPr>
        <w:t xml:space="preserve"> Tribunal no</w:t>
      </w:r>
      <w:r w:rsidR="0006402B">
        <w:rPr>
          <w:rFonts w:cs="Arial"/>
        </w:rPr>
        <w:t xml:space="preserve"> formuló</w:t>
      </w:r>
      <w:r w:rsidR="009230BF">
        <w:rPr>
          <w:rFonts w:cs="Arial"/>
        </w:rPr>
        <w:t xml:space="preserve"> observaciones </w:t>
      </w:r>
      <w:r w:rsidR="0006402B">
        <w:rPr>
          <w:rFonts w:cs="Arial"/>
        </w:rPr>
        <w:t>y cometió la intervención del gasto respect</w:t>
      </w:r>
      <w:r w:rsidR="00D66035">
        <w:rPr>
          <w:rFonts w:cs="Arial"/>
        </w:rPr>
        <w:t>ivo,</w:t>
      </w:r>
      <w:r w:rsidR="0006402B">
        <w:rPr>
          <w:rFonts w:cs="Arial"/>
        </w:rPr>
        <w:t xml:space="preserve"> </w:t>
      </w:r>
      <w:r w:rsidR="009230BF">
        <w:rPr>
          <w:rFonts w:cs="Arial"/>
        </w:rPr>
        <w:t xml:space="preserve">por </w:t>
      </w:r>
      <w:r w:rsidR="0006402B">
        <w:rPr>
          <w:rFonts w:cs="Arial"/>
        </w:rPr>
        <w:t>Resolución</w:t>
      </w:r>
      <w:r w:rsidR="009230BF">
        <w:rPr>
          <w:rFonts w:cs="Arial"/>
        </w:rPr>
        <w:t xml:space="preserve"> de fecha</w:t>
      </w:r>
      <w:r w:rsidR="0006402B">
        <w:rPr>
          <w:rFonts w:cs="Arial"/>
        </w:rPr>
        <w:t xml:space="preserve"> 10 de diciembre de 2014;</w:t>
      </w:r>
    </w:p>
    <w:p w:rsidR="00241082" w:rsidRDefault="00D81247" w:rsidP="00241082">
      <w:pPr>
        <w:spacing w:line="360" w:lineRule="auto"/>
        <w:ind w:firstLine="851"/>
        <w:jc w:val="both"/>
        <w:rPr>
          <w:rFonts w:cs="Arial"/>
          <w:lang w:val="es-MX"/>
        </w:rPr>
      </w:pPr>
      <w:r>
        <w:rPr>
          <w:rFonts w:cs="Arial"/>
          <w:b/>
          <w:bCs/>
          <w:lang w:val="es-MX"/>
        </w:rPr>
        <w:t>ATENTO</w:t>
      </w:r>
      <w:r>
        <w:rPr>
          <w:rFonts w:cs="Arial"/>
          <w:lang w:val="es-MX"/>
        </w:rPr>
        <w:t>: a lo expresado precedent</w:t>
      </w:r>
      <w:r w:rsidR="003E7BA4">
        <w:rPr>
          <w:rFonts w:cs="Arial"/>
          <w:lang w:val="es-MX"/>
        </w:rPr>
        <w:t>emente y a lo dispuesto por el Artículo 211 L</w:t>
      </w:r>
      <w:r>
        <w:rPr>
          <w:rFonts w:cs="Arial"/>
          <w:lang w:val="es-MX"/>
        </w:rPr>
        <w:t xml:space="preserve">iteral B) de la Constitución de la República; </w:t>
      </w:r>
    </w:p>
    <w:p w:rsidR="00D81247" w:rsidRDefault="00D81247" w:rsidP="00D81247">
      <w:pPr>
        <w:spacing w:line="360" w:lineRule="auto"/>
        <w:ind w:firstLine="708"/>
        <w:jc w:val="center"/>
        <w:rPr>
          <w:rFonts w:cs="Arial"/>
          <w:b/>
          <w:bCs/>
        </w:rPr>
      </w:pPr>
      <w:r>
        <w:rPr>
          <w:rFonts w:cs="Arial"/>
          <w:b/>
          <w:bCs/>
        </w:rPr>
        <w:t>EL TRIBUNAL ACUERDA:</w:t>
      </w:r>
    </w:p>
    <w:p w:rsidR="00D81247" w:rsidRDefault="00D81247" w:rsidP="00D81247">
      <w:pPr>
        <w:spacing w:line="360" w:lineRule="auto"/>
        <w:jc w:val="both"/>
      </w:pPr>
      <w:r>
        <w:t xml:space="preserve">   </w:t>
      </w:r>
      <w:r w:rsidRPr="00E513F1">
        <w:rPr>
          <w:b/>
        </w:rPr>
        <w:t>1)</w:t>
      </w:r>
      <w:r>
        <w:t xml:space="preserve"> No formular observaciones a</w:t>
      </w:r>
      <w:r w:rsidR="003042E9">
        <w:t xml:space="preserve"> </w:t>
      </w:r>
      <w:r>
        <w:t>l</w:t>
      </w:r>
      <w:r w:rsidR="003042E9">
        <w:t>a</w:t>
      </w:r>
      <w:r w:rsidR="0089162C">
        <w:t xml:space="preserve"> modificación al convenio remitida, celebrado </w:t>
      </w:r>
      <w:r>
        <w:t xml:space="preserve"> entre el</w:t>
      </w:r>
      <w:r w:rsidRPr="00E513F1">
        <w:rPr>
          <w:rFonts w:cs="Arial"/>
          <w:lang w:val="es-MX"/>
        </w:rPr>
        <w:t xml:space="preserve"> Ministerio de Vivienda, Ordenamiento Territorial y Medio Ambiente y la Intendencia de Montevideo; </w:t>
      </w:r>
    </w:p>
    <w:p w:rsidR="00D81247" w:rsidRDefault="00D81247" w:rsidP="00D81247">
      <w:pPr>
        <w:spacing w:line="360" w:lineRule="auto"/>
        <w:jc w:val="both"/>
        <w:rPr>
          <w:rFonts w:cs="Arial"/>
          <w:lang w:val="es-UY"/>
        </w:rPr>
      </w:pPr>
      <w:r>
        <w:rPr>
          <w:rFonts w:cs="Arial"/>
        </w:rPr>
        <w:t xml:space="preserve">   </w:t>
      </w:r>
      <w:r w:rsidRPr="000667B9">
        <w:rPr>
          <w:rFonts w:cs="Arial"/>
          <w:b/>
        </w:rPr>
        <w:t>2)</w:t>
      </w:r>
      <w:r>
        <w:rPr>
          <w:rFonts w:cs="Arial"/>
        </w:rPr>
        <w:t xml:space="preserve"> </w:t>
      </w:r>
      <w:r w:rsidR="006B71AD">
        <w:rPr>
          <w:rFonts w:cs="Arial"/>
          <w:lang w:val="es-UY"/>
        </w:rPr>
        <w:t xml:space="preserve"> Comunicar al Contador destacado ante dicho Ministerio</w:t>
      </w:r>
      <w:r>
        <w:rPr>
          <w:rFonts w:cs="Arial"/>
          <w:lang w:val="es-UY"/>
        </w:rPr>
        <w:t>;</w:t>
      </w:r>
    </w:p>
    <w:p w:rsidR="003E7BA4" w:rsidRDefault="00D81247" w:rsidP="003E7BA4">
      <w:pPr>
        <w:spacing w:line="360" w:lineRule="auto"/>
        <w:jc w:val="both"/>
        <w:rPr>
          <w:b/>
          <w:bCs/>
        </w:rPr>
      </w:pPr>
      <w:r>
        <w:t xml:space="preserve">   </w:t>
      </w:r>
      <w:r w:rsidR="0089162C" w:rsidRPr="0089162C">
        <w:rPr>
          <w:b/>
        </w:rPr>
        <w:t>3</w:t>
      </w:r>
      <w:r w:rsidRPr="0089162C">
        <w:rPr>
          <w:b/>
        </w:rPr>
        <w:t>)</w:t>
      </w:r>
      <w:r>
        <w:t xml:space="preserve"> </w:t>
      </w:r>
      <w:r w:rsidR="0089162C">
        <w:t xml:space="preserve"> </w:t>
      </w:r>
      <w:r>
        <w:t>Devolver las actuaciones.</w:t>
      </w:r>
    </w:p>
    <w:p w:rsidR="00241082" w:rsidRDefault="00241082" w:rsidP="003E7BA4">
      <w:pPr>
        <w:spacing w:line="360" w:lineRule="auto"/>
        <w:jc w:val="both"/>
      </w:pPr>
    </w:p>
    <w:p w:rsidR="00AB34C2" w:rsidRPr="003E7BA4" w:rsidRDefault="00C030B5" w:rsidP="003E7BA4">
      <w:pPr>
        <w:spacing w:line="360" w:lineRule="auto"/>
        <w:jc w:val="both"/>
        <w:rPr>
          <w:b/>
          <w:bCs/>
        </w:rPr>
      </w:pPr>
      <w:bookmarkStart w:id="0" w:name="_GoBack"/>
      <w:bookmarkEnd w:id="0"/>
      <w:proofErr w:type="spellStart"/>
      <w:r w:rsidRPr="00C030B5">
        <w:t>mp</w:t>
      </w:r>
      <w:proofErr w:type="spellEnd"/>
    </w:p>
    <w:sectPr w:rsidR="00AB34C2" w:rsidRPr="003E7BA4" w:rsidSect="00241082">
      <w:footerReference w:type="default" r:id="rId7"/>
      <w:pgSz w:w="11906" w:h="16838" w:code="9"/>
      <w:pgMar w:top="3005"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BA4" w:rsidRDefault="003E7BA4" w:rsidP="00C030B5">
      <w:r>
        <w:separator/>
      </w:r>
    </w:p>
  </w:endnote>
  <w:endnote w:type="continuationSeparator" w:id="0">
    <w:p w:rsidR="003E7BA4" w:rsidRDefault="003E7BA4" w:rsidP="00C0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144687"/>
      <w:docPartObj>
        <w:docPartGallery w:val="Page Numbers (Bottom of Page)"/>
        <w:docPartUnique/>
      </w:docPartObj>
    </w:sdtPr>
    <w:sdtContent>
      <w:p w:rsidR="003E7BA4" w:rsidRDefault="003E7BA4">
        <w:pPr>
          <w:pStyle w:val="Piedepgina"/>
          <w:jc w:val="center"/>
        </w:pPr>
        <w:r>
          <w:fldChar w:fldCharType="begin"/>
        </w:r>
        <w:r>
          <w:instrText>PAGE   \* MERGEFORMAT</w:instrText>
        </w:r>
        <w:r>
          <w:fldChar w:fldCharType="separate"/>
        </w:r>
        <w:r w:rsidR="00241082">
          <w:rPr>
            <w:noProof/>
          </w:rPr>
          <w:t>4</w:t>
        </w:r>
        <w:r>
          <w:fldChar w:fldCharType="end"/>
        </w:r>
      </w:p>
    </w:sdtContent>
  </w:sdt>
  <w:p w:rsidR="003E7BA4" w:rsidRDefault="003E7B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BA4" w:rsidRDefault="003E7BA4" w:rsidP="00C030B5">
      <w:r>
        <w:separator/>
      </w:r>
    </w:p>
  </w:footnote>
  <w:footnote w:type="continuationSeparator" w:id="0">
    <w:p w:rsidR="003E7BA4" w:rsidRDefault="003E7BA4" w:rsidP="00C03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47"/>
    <w:rsid w:val="0006402B"/>
    <w:rsid w:val="001602F3"/>
    <w:rsid w:val="00174B48"/>
    <w:rsid w:val="001C48E2"/>
    <w:rsid w:val="00211A6A"/>
    <w:rsid w:val="00241082"/>
    <w:rsid w:val="003042E9"/>
    <w:rsid w:val="003E7BA4"/>
    <w:rsid w:val="00596007"/>
    <w:rsid w:val="00687B60"/>
    <w:rsid w:val="006B71AD"/>
    <w:rsid w:val="00726689"/>
    <w:rsid w:val="007B14E2"/>
    <w:rsid w:val="007E7060"/>
    <w:rsid w:val="00810825"/>
    <w:rsid w:val="00857BCB"/>
    <w:rsid w:val="0089162C"/>
    <w:rsid w:val="00891746"/>
    <w:rsid w:val="008F38D0"/>
    <w:rsid w:val="009230BF"/>
    <w:rsid w:val="00A346E7"/>
    <w:rsid w:val="00A52E17"/>
    <w:rsid w:val="00A57927"/>
    <w:rsid w:val="00AB34C2"/>
    <w:rsid w:val="00BA7F9E"/>
    <w:rsid w:val="00BF3B15"/>
    <w:rsid w:val="00C030B5"/>
    <w:rsid w:val="00D1119B"/>
    <w:rsid w:val="00D66035"/>
    <w:rsid w:val="00D81247"/>
    <w:rsid w:val="00E24371"/>
    <w:rsid w:val="00E26C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4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D81247"/>
    <w:pPr>
      <w:keepNext/>
      <w:spacing w:line="360" w:lineRule="auto"/>
      <w:jc w:val="center"/>
      <w:outlineLvl w:val="0"/>
    </w:pPr>
    <w:rPr>
      <w:b/>
      <w:bCs/>
    </w:rPr>
  </w:style>
  <w:style w:type="paragraph" w:styleId="Ttulo3">
    <w:name w:val="heading 3"/>
    <w:basedOn w:val="Normal"/>
    <w:next w:val="Normal"/>
    <w:link w:val="Ttulo3Car"/>
    <w:qFormat/>
    <w:rsid w:val="00D81247"/>
    <w:pPr>
      <w:keepNext/>
      <w:spacing w:line="360" w:lineRule="auto"/>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1247"/>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D81247"/>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D81247"/>
    <w:pPr>
      <w:spacing w:line="360" w:lineRule="auto"/>
      <w:jc w:val="both"/>
    </w:pPr>
    <w:rPr>
      <w:rFonts w:cs="Arial"/>
      <w:bCs/>
    </w:rPr>
  </w:style>
  <w:style w:type="character" w:customStyle="1" w:styleId="TextoindependienteCar">
    <w:name w:val="Texto independiente Car"/>
    <w:basedOn w:val="Fuentedeprrafopredeter"/>
    <w:link w:val="Textoindependiente"/>
    <w:semiHidden/>
    <w:rsid w:val="00D81247"/>
    <w:rPr>
      <w:rFonts w:ascii="Arial" w:eastAsia="Times New Roman" w:hAnsi="Arial" w:cs="Arial"/>
      <w:bCs/>
      <w:sz w:val="24"/>
      <w:szCs w:val="24"/>
      <w:lang w:val="es-ES" w:eastAsia="es-ES"/>
    </w:rPr>
  </w:style>
  <w:style w:type="paragraph" w:styleId="Encabezado">
    <w:name w:val="header"/>
    <w:basedOn w:val="Normal"/>
    <w:link w:val="EncabezadoCar"/>
    <w:uiPriority w:val="99"/>
    <w:unhideWhenUsed/>
    <w:rsid w:val="00C030B5"/>
    <w:pPr>
      <w:tabs>
        <w:tab w:val="center" w:pos="4252"/>
        <w:tab w:val="right" w:pos="8504"/>
      </w:tabs>
    </w:pPr>
  </w:style>
  <w:style w:type="character" w:customStyle="1" w:styleId="EncabezadoCar">
    <w:name w:val="Encabezado Car"/>
    <w:basedOn w:val="Fuentedeprrafopredeter"/>
    <w:link w:val="Encabezado"/>
    <w:uiPriority w:val="99"/>
    <w:rsid w:val="00C030B5"/>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C030B5"/>
    <w:pPr>
      <w:tabs>
        <w:tab w:val="center" w:pos="4252"/>
        <w:tab w:val="right" w:pos="8504"/>
      </w:tabs>
    </w:pPr>
  </w:style>
  <w:style w:type="character" w:customStyle="1" w:styleId="PiedepginaCar">
    <w:name w:val="Pie de página Car"/>
    <w:basedOn w:val="Fuentedeprrafopredeter"/>
    <w:link w:val="Piedepgina"/>
    <w:uiPriority w:val="99"/>
    <w:rsid w:val="00C030B5"/>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4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D81247"/>
    <w:pPr>
      <w:keepNext/>
      <w:spacing w:line="360" w:lineRule="auto"/>
      <w:jc w:val="center"/>
      <w:outlineLvl w:val="0"/>
    </w:pPr>
    <w:rPr>
      <w:b/>
      <w:bCs/>
    </w:rPr>
  </w:style>
  <w:style w:type="paragraph" w:styleId="Ttulo3">
    <w:name w:val="heading 3"/>
    <w:basedOn w:val="Normal"/>
    <w:next w:val="Normal"/>
    <w:link w:val="Ttulo3Car"/>
    <w:qFormat/>
    <w:rsid w:val="00D81247"/>
    <w:pPr>
      <w:keepNext/>
      <w:spacing w:line="360" w:lineRule="auto"/>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1247"/>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D81247"/>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D81247"/>
    <w:pPr>
      <w:spacing w:line="360" w:lineRule="auto"/>
      <w:jc w:val="both"/>
    </w:pPr>
    <w:rPr>
      <w:rFonts w:cs="Arial"/>
      <w:bCs/>
    </w:rPr>
  </w:style>
  <w:style w:type="character" w:customStyle="1" w:styleId="TextoindependienteCar">
    <w:name w:val="Texto independiente Car"/>
    <w:basedOn w:val="Fuentedeprrafopredeter"/>
    <w:link w:val="Textoindependiente"/>
    <w:semiHidden/>
    <w:rsid w:val="00D81247"/>
    <w:rPr>
      <w:rFonts w:ascii="Arial" w:eastAsia="Times New Roman" w:hAnsi="Arial" w:cs="Arial"/>
      <w:bCs/>
      <w:sz w:val="24"/>
      <w:szCs w:val="24"/>
      <w:lang w:val="es-ES" w:eastAsia="es-ES"/>
    </w:rPr>
  </w:style>
  <w:style w:type="paragraph" w:styleId="Encabezado">
    <w:name w:val="header"/>
    <w:basedOn w:val="Normal"/>
    <w:link w:val="EncabezadoCar"/>
    <w:uiPriority w:val="99"/>
    <w:unhideWhenUsed/>
    <w:rsid w:val="00C030B5"/>
    <w:pPr>
      <w:tabs>
        <w:tab w:val="center" w:pos="4252"/>
        <w:tab w:val="right" w:pos="8504"/>
      </w:tabs>
    </w:pPr>
  </w:style>
  <w:style w:type="character" w:customStyle="1" w:styleId="EncabezadoCar">
    <w:name w:val="Encabezado Car"/>
    <w:basedOn w:val="Fuentedeprrafopredeter"/>
    <w:link w:val="Encabezado"/>
    <w:uiPriority w:val="99"/>
    <w:rsid w:val="00C030B5"/>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C030B5"/>
    <w:pPr>
      <w:tabs>
        <w:tab w:val="center" w:pos="4252"/>
        <w:tab w:val="right" w:pos="8504"/>
      </w:tabs>
    </w:pPr>
  </w:style>
  <w:style w:type="character" w:customStyle="1" w:styleId="PiedepginaCar">
    <w:name w:val="Pie de página Car"/>
    <w:basedOn w:val="Fuentedeprrafopredeter"/>
    <w:link w:val="Piedepgina"/>
    <w:uiPriority w:val="99"/>
    <w:rsid w:val="00C030B5"/>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1147</Words>
  <Characters>6313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8</cp:revision>
  <dcterms:created xsi:type="dcterms:W3CDTF">2017-07-13T15:29:00Z</dcterms:created>
  <dcterms:modified xsi:type="dcterms:W3CDTF">2017-07-13T16:14:00Z</dcterms:modified>
</cp:coreProperties>
</file>