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42" w:rsidRPr="00786EEB" w:rsidRDefault="004C5542" w:rsidP="00317FF6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17FF6">
        <w:rPr>
          <w:rFonts w:ascii="Arial" w:hAnsi="Arial" w:cs="Arial"/>
          <w:b/>
          <w:sz w:val="28"/>
          <w:szCs w:val="28"/>
          <w:lang w:val="es-ES_tradnl"/>
        </w:rPr>
        <w:t>2076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4C5542" w:rsidRDefault="004C5542" w:rsidP="001523C7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4C5542" w:rsidRPr="004C5542" w:rsidRDefault="004C5542" w:rsidP="004C5542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554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C5542" w:rsidRPr="004C5542" w:rsidRDefault="004C5542" w:rsidP="004C5542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5542" w:rsidRPr="004C5542" w:rsidRDefault="004C5542" w:rsidP="004C5542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554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C5542" w:rsidRPr="004C5542" w:rsidRDefault="004C5542" w:rsidP="004C5542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5542" w:rsidRPr="004C5542" w:rsidRDefault="004C5542" w:rsidP="004C5542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5542">
        <w:rPr>
          <w:rFonts w:ascii="Arial" w:hAnsi="Arial" w:cs="Arial"/>
          <w:b/>
          <w:sz w:val="24"/>
          <w:szCs w:val="24"/>
          <w:lang w:val="es-ES_tradnl"/>
        </w:rPr>
        <w:t xml:space="preserve">EN SESION DE FECHA 5 DE JULIO </w:t>
      </w:r>
      <w:r w:rsidRPr="004C5542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C5542" w:rsidRPr="004C5542" w:rsidRDefault="004C5542" w:rsidP="004C5542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5542" w:rsidRPr="00317FF6" w:rsidRDefault="004C5542" w:rsidP="004C5542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17FF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317FF6" w:rsidRPr="00317FF6">
        <w:rPr>
          <w:rFonts w:ascii="Arial" w:hAnsi="Arial" w:cs="Arial"/>
          <w:b/>
          <w:sz w:val="24"/>
          <w:szCs w:val="24"/>
          <w:lang w:val="es-ES"/>
        </w:rPr>
        <w:t>2016-17-1-0002210</w:t>
      </w:r>
      <w:r w:rsidRPr="00317FF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317FF6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317FF6">
        <w:rPr>
          <w:rFonts w:ascii="Arial" w:hAnsi="Arial" w:cs="Arial"/>
          <w:b/>
          <w:sz w:val="24"/>
          <w:szCs w:val="24"/>
          <w:lang w:val="en-US"/>
        </w:rPr>
        <w:t>. N°</w:t>
      </w:r>
      <w:r w:rsidR="00317FF6" w:rsidRPr="00317FF6">
        <w:rPr>
          <w:rFonts w:ascii="Arial" w:hAnsi="Arial" w:cs="Arial"/>
          <w:b/>
          <w:sz w:val="24"/>
          <w:szCs w:val="24"/>
          <w:lang w:val="es-ES"/>
        </w:rPr>
        <w:t>2929/17</w:t>
      </w:r>
      <w:r w:rsidRPr="00317FF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C5542" w:rsidRPr="004C5542" w:rsidRDefault="004C5542" w:rsidP="004C5542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F3AB1" w:rsidRDefault="001523C7" w:rsidP="005B1FF8">
      <w:pPr>
        <w:spacing w:after="0" w:line="360" w:lineRule="auto"/>
        <w:ind w:firstLine="851"/>
        <w:jc w:val="both"/>
      </w:pPr>
      <w:r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="00BC725F">
        <w:rPr>
          <w:rFonts w:ascii="Arial" w:hAnsi="Arial" w:cs="Arial"/>
          <w:sz w:val="24"/>
          <w:szCs w:val="24"/>
          <w:lang w:val="es-ES"/>
        </w:rPr>
        <w:t>las actuaciones remitidas por la Administración Naciona</w:t>
      </w:r>
      <w:r w:rsidR="002E5766">
        <w:rPr>
          <w:rFonts w:ascii="Arial" w:hAnsi="Arial" w:cs="Arial"/>
          <w:sz w:val="24"/>
          <w:szCs w:val="24"/>
          <w:lang w:val="es-ES"/>
        </w:rPr>
        <w:t>l de Educación Pública, Consejo de Formación en Educación (CFE)</w:t>
      </w:r>
      <w:r w:rsidR="00BC725F">
        <w:rPr>
          <w:rFonts w:ascii="Arial" w:hAnsi="Arial" w:cs="Arial"/>
          <w:sz w:val="24"/>
          <w:szCs w:val="24"/>
          <w:lang w:val="es-ES"/>
        </w:rPr>
        <w:t xml:space="preserve">, relacionadas con </w:t>
      </w:r>
      <w:r w:rsidR="002E5766">
        <w:rPr>
          <w:rFonts w:ascii="Arial" w:hAnsi="Arial" w:cs="Arial"/>
          <w:sz w:val="24"/>
          <w:szCs w:val="24"/>
          <w:lang w:val="es-ES"/>
        </w:rPr>
        <w:t xml:space="preserve">la </w:t>
      </w:r>
      <w:r w:rsidR="002E2636">
        <w:rPr>
          <w:rFonts w:ascii="Arial" w:hAnsi="Arial" w:cs="Arial"/>
          <w:sz w:val="24"/>
          <w:szCs w:val="24"/>
          <w:lang w:val="es-ES"/>
        </w:rPr>
        <w:t xml:space="preserve">reiteración del gasto de la </w:t>
      </w:r>
      <w:r w:rsidR="002E5766">
        <w:rPr>
          <w:rFonts w:ascii="Arial" w:hAnsi="Arial" w:cs="Arial"/>
          <w:sz w:val="24"/>
          <w:szCs w:val="24"/>
          <w:lang w:val="es-ES"/>
        </w:rPr>
        <w:t>transferencia</w:t>
      </w:r>
      <w:r w:rsidR="00B17B85">
        <w:rPr>
          <w:rFonts w:ascii="Arial" w:hAnsi="Arial" w:cs="Arial"/>
          <w:sz w:val="24"/>
          <w:szCs w:val="24"/>
          <w:lang w:val="es-ES"/>
        </w:rPr>
        <w:t xml:space="preserve"> dispuesta </w:t>
      </w:r>
      <w:r w:rsidR="002E5766">
        <w:rPr>
          <w:rFonts w:ascii="Arial" w:hAnsi="Arial" w:cs="Arial"/>
          <w:sz w:val="24"/>
          <w:szCs w:val="24"/>
          <w:lang w:val="es-ES"/>
        </w:rPr>
        <w:t xml:space="preserve">en el marco del Convenio suscripto con el Fondo </w:t>
      </w:r>
      <w:r w:rsidR="00B17B85">
        <w:rPr>
          <w:rFonts w:ascii="Arial" w:hAnsi="Arial" w:cs="Arial"/>
          <w:sz w:val="24"/>
          <w:szCs w:val="24"/>
          <w:lang w:val="es-ES"/>
        </w:rPr>
        <w:t xml:space="preserve">de </w:t>
      </w:r>
      <w:r w:rsidR="002E5766">
        <w:rPr>
          <w:rFonts w:ascii="Arial" w:hAnsi="Arial" w:cs="Arial"/>
          <w:sz w:val="24"/>
          <w:szCs w:val="24"/>
          <w:lang w:val="es-ES"/>
        </w:rPr>
        <w:t>Solidaridad para la adjudicación de becas de apoyo económico</w:t>
      </w:r>
      <w:r w:rsidR="00BC725F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00496D" w:rsidRDefault="00BC725F" w:rsidP="005B1F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RESULTANDO: 1)</w:t>
      </w:r>
      <w:r>
        <w:rPr>
          <w:rFonts w:ascii="Arial" w:hAnsi="Arial" w:cs="Arial"/>
          <w:sz w:val="24"/>
          <w:szCs w:val="24"/>
          <w:lang w:val="es-ES"/>
        </w:rPr>
        <w:t xml:space="preserve"> que e</w:t>
      </w:r>
      <w:r w:rsidR="0000496D">
        <w:rPr>
          <w:rFonts w:ascii="Arial" w:hAnsi="Arial" w:cs="Arial"/>
          <w:sz w:val="24"/>
          <w:szCs w:val="24"/>
          <w:lang w:val="es-ES"/>
        </w:rPr>
        <w:t xml:space="preserve">ste Tribunal </w:t>
      </w:r>
      <w:r w:rsidR="00DD657A">
        <w:rPr>
          <w:rFonts w:ascii="Arial" w:hAnsi="Arial" w:cs="Arial"/>
          <w:sz w:val="24"/>
          <w:szCs w:val="24"/>
          <w:lang w:val="es-ES"/>
        </w:rPr>
        <w:t>,</w:t>
      </w:r>
      <w:r w:rsidR="0000496D">
        <w:rPr>
          <w:rFonts w:ascii="Arial" w:hAnsi="Arial" w:cs="Arial"/>
          <w:sz w:val="24"/>
          <w:szCs w:val="24"/>
          <w:lang w:val="es-ES"/>
        </w:rPr>
        <w:t xml:space="preserve">en sesión de fecha </w:t>
      </w:r>
      <w:r w:rsidR="002E5766">
        <w:rPr>
          <w:rFonts w:ascii="Arial" w:hAnsi="Arial" w:cs="Arial"/>
          <w:sz w:val="24"/>
          <w:szCs w:val="24"/>
          <w:lang w:val="es-ES"/>
        </w:rPr>
        <w:t>20 de abril de 2017</w:t>
      </w:r>
      <w:r w:rsidR="0000496D">
        <w:rPr>
          <w:rFonts w:ascii="Arial" w:hAnsi="Arial" w:cs="Arial"/>
          <w:sz w:val="24"/>
          <w:szCs w:val="24"/>
          <w:lang w:val="es-ES"/>
        </w:rPr>
        <w:t xml:space="preserve">, acordó observar la transferencia de la suma de $ </w:t>
      </w:r>
      <w:r w:rsidR="00E536E8">
        <w:rPr>
          <w:rFonts w:ascii="Arial" w:hAnsi="Arial" w:cs="Arial"/>
          <w:sz w:val="24"/>
          <w:szCs w:val="24"/>
          <w:lang w:val="es-ES"/>
        </w:rPr>
        <w:t>19:489.144</w:t>
      </w:r>
      <w:r w:rsidR="0000496D">
        <w:rPr>
          <w:rFonts w:ascii="Arial" w:hAnsi="Arial" w:cs="Arial"/>
          <w:sz w:val="24"/>
          <w:szCs w:val="24"/>
          <w:lang w:val="es-ES"/>
        </w:rPr>
        <w:t xml:space="preserve">, en razón de que el convenio </w:t>
      </w:r>
      <w:r w:rsidR="00E536E8">
        <w:rPr>
          <w:rFonts w:ascii="Arial" w:hAnsi="Arial" w:cs="Arial"/>
          <w:sz w:val="24"/>
          <w:szCs w:val="24"/>
          <w:lang w:val="es-ES"/>
        </w:rPr>
        <w:t>del que deriva el presente gasto fue observado por este Tribunal con fecha 3 de mayo de 2016</w:t>
      </w:r>
      <w:r w:rsidR="00B17B85">
        <w:rPr>
          <w:rFonts w:ascii="Arial" w:hAnsi="Arial" w:cs="Arial"/>
          <w:sz w:val="24"/>
          <w:szCs w:val="24"/>
          <w:lang w:val="es-ES"/>
        </w:rPr>
        <w:t>,</w:t>
      </w:r>
      <w:r w:rsidR="00152B13">
        <w:rPr>
          <w:rFonts w:ascii="Arial" w:hAnsi="Arial" w:cs="Arial"/>
          <w:sz w:val="24"/>
          <w:szCs w:val="24"/>
          <w:lang w:val="es-ES"/>
        </w:rPr>
        <w:t xml:space="preserve"> por contar las actuaciones con principio de ejecución </w:t>
      </w:r>
      <w:r w:rsidR="00E536E8">
        <w:rPr>
          <w:rFonts w:ascii="Arial" w:hAnsi="Arial" w:cs="Arial"/>
          <w:sz w:val="24"/>
          <w:szCs w:val="24"/>
          <w:lang w:val="es-ES"/>
        </w:rPr>
        <w:t>;</w:t>
      </w:r>
      <w:r w:rsidR="0000496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0496D" w:rsidRDefault="0000496D" w:rsidP="005B1FF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   </w:t>
      </w:r>
      <w:r w:rsidRPr="0000496D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 xml:space="preserve">que mediante resolución del Consejo Directivo Central  No. </w:t>
      </w:r>
      <w:r w:rsidR="00931E18">
        <w:rPr>
          <w:rFonts w:ascii="Arial" w:hAnsi="Arial" w:cs="Arial"/>
          <w:sz w:val="24"/>
          <w:szCs w:val="24"/>
          <w:lang w:val="es-ES"/>
        </w:rPr>
        <w:t>28</w:t>
      </w:r>
      <w:r>
        <w:rPr>
          <w:rFonts w:ascii="Arial" w:hAnsi="Arial" w:cs="Arial"/>
          <w:sz w:val="24"/>
          <w:szCs w:val="24"/>
          <w:lang w:val="es-ES"/>
        </w:rPr>
        <w:t xml:space="preserve">, Acta 29 de fecha </w:t>
      </w:r>
      <w:r w:rsidR="00931E18">
        <w:rPr>
          <w:rFonts w:ascii="Arial" w:hAnsi="Arial" w:cs="Arial"/>
          <w:sz w:val="24"/>
          <w:szCs w:val="24"/>
          <w:lang w:val="es-ES"/>
        </w:rPr>
        <w:t>24 de mayo de 2017</w:t>
      </w:r>
      <w:r>
        <w:rPr>
          <w:rFonts w:ascii="Arial" w:hAnsi="Arial" w:cs="Arial"/>
          <w:sz w:val="24"/>
          <w:szCs w:val="24"/>
          <w:lang w:val="es-ES"/>
        </w:rPr>
        <w:t>, se disp</w:t>
      </w:r>
      <w:r w:rsidR="00DD657A">
        <w:rPr>
          <w:rFonts w:ascii="Arial" w:hAnsi="Arial" w:cs="Arial"/>
          <w:sz w:val="24"/>
          <w:szCs w:val="24"/>
          <w:lang w:val="es-ES"/>
        </w:rPr>
        <w:t xml:space="preserve">uso </w:t>
      </w:r>
      <w:r>
        <w:rPr>
          <w:rFonts w:ascii="Arial" w:hAnsi="Arial" w:cs="Arial"/>
          <w:sz w:val="24"/>
          <w:szCs w:val="24"/>
          <w:lang w:val="es-ES"/>
        </w:rPr>
        <w:t xml:space="preserve"> reiterar el gasto</w:t>
      </w:r>
      <w:r w:rsidR="00152B13">
        <w:rPr>
          <w:rFonts w:ascii="Arial" w:hAnsi="Arial" w:cs="Arial"/>
          <w:sz w:val="24"/>
          <w:szCs w:val="24"/>
          <w:lang w:val="es-ES"/>
        </w:rPr>
        <w:t xml:space="preserve"> </w:t>
      </w:r>
      <w:r w:rsidR="00DD657A">
        <w:rPr>
          <w:rFonts w:ascii="Arial" w:hAnsi="Arial" w:cs="Arial"/>
          <w:sz w:val="24"/>
          <w:szCs w:val="24"/>
          <w:lang w:val="es-ES"/>
        </w:rPr>
        <w:t xml:space="preserve">aduciéndose </w:t>
      </w:r>
      <w:r w:rsidR="00152B13">
        <w:rPr>
          <w:rFonts w:ascii="Arial" w:hAnsi="Arial" w:cs="Arial"/>
          <w:sz w:val="24"/>
          <w:szCs w:val="24"/>
          <w:lang w:val="es-ES"/>
        </w:rPr>
        <w:t xml:space="preserve"> la importancia del convenio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152B13">
        <w:rPr>
          <w:rFonts w:ascii="Arial" w:hAnsi="Arial" w:cs="Arial"/>
          <w:sz w:val="24"/>
          <w:szCs w:val="24"/>
          <w:lang w:val="es-ES"/>
        </w:rPr>
        <w:t xml:space="preserve">el cual comprende la financiación de becas de apoyo económico </w:t>
      </w:r>
      <w:r w:rsidR="00B17B85">
        <w:rPr>
          <w:rFonts w:ascii="Arial" w:hAnsi="Arial" w:cs="Arial"/>
          <w:sz w:val="24"/>
          <w:szCs w:val="24"/>
          <w:lang w:val="es-ES"/>
        </w:rPr>
        <w:t xml:space="preserve">a </w:t>
      </w:r>
      <w:r w:rsidR="00D87D2F">
        <w:rPr>
          <w:rFonts w:ascii="Arial" w:hAnsi="Arial" w:cs="Arial"/>
          <w:sz w:val="24"/>
          <w:szCs w:val="24"/>
          <w:lang w:val="es-ES"/>
        </w:rPr>
        <w:t xml:space="preserve">los </w:t>
      </w:r>
      <w:r w:rsidR="00B17B85">
        <w:rPr>
          <w:rFonts w:ascii="Arial" w:hAnsi="Arial" w:cs="Arial"/>
          <w:sz w:val="24"/>
          <w:szCs w:val="24"/>
          <w:lang w:val="es-ES"/>
        </w:rPr>
        <w:t>estudiantes, y</w:t>
      </w:r>
      <w:r w:rsidR="00DD657A">
        <w:rPr>
          <w:rFonts w:ascii="Arial" w:hAnsi="Arial" w:cs="Arial"/>
          <w:sz w:val="24"/>
          <w:szCs w:val="24"/>
          <w:lang w:val="es-ES"/>
        </w:rPr>
        <w:t xml:space="preserve"> que  </w:t>
      </w:r>
      <w:r w:rsidR="00B17B85">
        <w:rPr>
          <w:rFonts w:ascii="Arial" w:hAnsi="Arial" w:cs="Arial"/>
          <w:sz w:val="24"/>
          <w:szCs w:val="24"/>
          <w:lang w:val="es-ES"/>
        </w:rPr>
        <w:t xml:space="preserve">de </w:t>
      </w:r>
      <w:r w:rsidR="00152B13">
        <w:rPr>
          <w:rFonts w:ascii="Arial" w:hAnsi="Arial" w:cs="Arial"/>
          <w:sz w:val="24"/>
          <w:szCs w:val="24"/>
          <w:lang w:val="es-ES"/>
        </w:rPr>
        <w:t xml:space="preserve">no realizarse </w:t>
      </w:r>
      <w:r w:rsidR="00DD657A">
        <w:rPr>
          <w:rFonts w:ascii="Arial" w:hAnsi="Arial" w:cs="Arial"/>
          <w:sz w:val="24"/>
          <w:szCs w:val="24"/>
          <w:lang w:val="es-ES"/>
        </w:rPr>
        <w:t xml:space="preserve">el mismo </w:t>
      </w:r>
      <w:r w:rsidR="00152B13">
        <w:rPr>
          <w:rFonts w:ascii="Arial" w:hAnsi="Arial" w:cs="Arial"/>
          <w:sz w:val="24"/>
          <w:szCs w:val="24"/>
          <w:lang w:val="es-ES"/>
        </w:rPr>
        <w:t>se perjudicaría a los estudiantes;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62690" w:rsidRPr="00E62690" w:rsidRDefault="00E62690" w:rsidP="005B1FF8">
      <w:pPr>
        <w:tabs>
          <w:tab w:val="left" w:pos="216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  <w:lang w:val="es-MX"/>
        </w:rPr>
        <w:t>CONSIDERANDO</w:t>
      </w:r>
      <w:r w:rsidRPr="00E62690">
        <w:rPr>
          <w:rFonts w:ascii="Arial" w:hAnsi="Arial" w:cs="Arial"/>
          <w:sz w:val="24"/>
          <w:szCs w:val="24"/>
          <w:lang w:val="es-MX"/>
        </w:rPr>
        <w:t xml:space="preserve">: </w:t>
      </w:r>
      <w:r w:rsidRPr="00E62690">
        <w:rPr>
          <w:rFonts w:ascii="Arial" w:hAnsi="Arial" w:cs="Arial"/>
          <w:b/>
          <w:bCs/>
          <w:sz w:val="24"/>
          <w:szCs w:val="24"/>
        </w:rPr>
        <w:t>1)</w:t>
      </w:r>
      <w:r w:rsidRPr="00E62690">
        <w:rPr>
          <w:rFonts w:ascii="Arial" w:hAnsi="Arial" w:cs="Arial"/>
          <w:sz w:val="24"/>
          <w:szCs w:val="24"/>
        </w:rPr>
        <w:t xml:space="preserve"> que el artículo 475 de la ley Nº 17.296 de fecha 21 de febrero de 2001, dispone que los ordenadores de gastos o pagos al ejercer la facultad de insistencia o reiteración que les acuerda el artículo 211 literal B) de la Constitución de la República,  deben hacerlo en forma fundada, detallando  los motivos que a su juicio justifican  seguir el curso del gasto o  pago; </w:t>
      </w:r>
    </w:p>
    <w:p w:rsidR="00E62690" w:rsidRPr="00E62690" w:rsidRDefault="00E62690" w:rsidP="005B1FF8">
      <w:pPr>
        <w:autoSpaceDE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</w:rPr>
        <w:t xml:space="preserve">                                   2)</w:t>
      </w:r>
      <w:r w:rsidRPr="00E6269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E62690">
        <w:rPr>
          <w:rFonts w:ascii="Arial" w:hAnsi="Arial" w:cs="Arial"/>
          <w:sz w:val="24"/>
          <w:szCs w:val="24"/>
          <w:lang w:val="es-MX"/>
        </w:rPr>
        <w:t>que los fundamentos brindados por la Administración no atienden a la legalidad del gasto</w:t>
      </w:r>
      <w:r>
        <w:rPr>
          <w:rFonts w:ascii="Arial" w:hAnsi="Arial" w:cs="Arial"/>
          <w:sz w:val="24"/>
          <w:szCs w:val="24"/>
          <w:lang w:val="es-MX"/>
        </w:rPr>
        <w:t xml:space="preserve">, </w:t>
      </w:r>
      <w:r w:rsidRPr="00E62690">
        <w:rPr>
          <w:rFonts w:ascii="Arial" w:hAnsi="Arial" w:cs="Arial"/>
          <w:sz w:val="24"/>
          <w:szCs w:val="24"/>
          <w:lang w:val="es-MX"/>
        </w:rPr>
        <w:t xml:space="preserve"> </w:t>
      </w:r>
      <w:r w:rsidR="00DD657A">
        <w:rPr>
          <w:rFonts w:ascii="Arial" w:hAnsi="Arial" w:cs="Arial"/>
          <w:sz w:val="24"/>
          <w:szCs w:val="24"/>
          <w:lang w:val="es-MX"/>
        </w:rPr>
        <w:t xml:space="preserve">manteniéndose </w:t>
      </w:r>
      <w:r w:rsidRPr="00E62690">
        <w:rPr>
          <w:rFonts w:ascii="Arial" w:hAnsi="Arial" w:cs="Arial"/>
          <w:sz w:val="24"/>
          <w:szCs w:val="24"/>
          <w:lang w:val="es-MX"/>
        </w:rPr>
        <w:t xml:space="preserve"> incambiada la causal que motivara la observación oportunamente formulada;</w:t>
      </w:r>
      <w:r w:rsidRPr="00E626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152B13" w:rsidRPr="00376192" w:rsidRDefault="00E62690" w:rsidP="005B1F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62690">
        <w:rPr>
          <w:rFonts w:ascii="Arial" w:hAnsi="Arial" w:cs="Arial"/>
          <w:b/>
          <w:bCs/>
          <w:sz w:val="24"/>
          <w:szCs w:val="24"/>
        </w:rPr>
        <w:t>ATENTO</w:t>
      </w:r>
      <w:r w:rsidRPr="00E62690">
        <w:rPr>
          <w:rFonts w:ascii="Arial" w:hAnsi="Arial" w:cs="Arial"/>
          <w:sz w:val="24"/>
          <w:szCs w:val="24"/>
        </w:rPr>
        <w:t xml:space="preserve">: a lo expresado precedentemente y a lo dispuesto por los artículos 211 literales </w:t>
      </w:r>
      <w:r w:rsidR="00FE3301">
        <w:rPr>
          <w:rFonts w:ascii="Arial" w:hAnsi="Arial" w:cs="Arial"/>
          <w:sz w:val="24"/>
          <w:szCs w:val="24"/>
        </w:rPr>
        <w:t>B) y E</w:t>
      </w:r>
      <w:bookmarkStart w:id="0" w:name="_GoBack"/>
      <w:bookmarkEnd w:id="0"/>
      <w:r w:rsidRPr="00E62690">
        <w:rPr>
          <w:rFonts w:ascii="Arial" w:hAnsi="Arial" w:cs="Arial"/>
          <w:sz w:val="24"/>
          <w:szCs w:val="24"/>
        </w:rPr>
        <w:t>) y 228 de la Constitución de la República;</w:t>
      </w:r>
      <w:r w:rsidR="00376192">
        <w:rPr>
          <w:rFonts w:ascii="Arial" w:hAnsi="Arial" w:cs="Arial"/>
          <w:sz w:val="24"/>
          <w:szCs w:val="24"/>
        </w:rPr>
        <w:t xml:space="preserve">                 </w:t>
      </w:r>
      <w:r w:rsidR="00376192">
        <w:rPr>
          <w:rFonts w:ascii="Arial" w:hAnsi="Arial" w:cs="Arial"/>
          <w:sz w:val="24"/>
          <w:szCs w:val="24"/>
        </w:rPr>
        <w:tab/>
        <w:t xml:space="preserve">           </w:t>
      </w:r>
    </w:p>
    <w:p w:rsidR="00E62690" w:rsidRPr="00E62690" w:rsidRDefault="00E62690" w:rsidP="005B1FF8">
      <w:pPr>
        <w:pStyle w:val="Textoindependiente2"/>
        <w:jc w:val="center"/>
        <w:rPr>
          <w:b/>
          <w:bCs/>
        </w:rPr>
      </w:pPr>
      <w:r w:rsidRPr="00E62690">
        <w:rPr>
          <w:b/>
          <w:bCs/>
        </w:rPr>
        <w:t>EL TRIBUNAL ACUERDA</w:t>
      </w:r>
    </w:p>
    <w:p w:rsidR="00E62690" w:rsidRPr="00E62690" w:rsidRDefault="00E62690" w:rsidP="005B1FF8">
      <w:pPr>
        <w:pStyle w:val="Textoindependiente2"/>
        <w:numPr>
          <w:ilvl w:val="0"/>
          <w:numId w:val="2"/>
        </w:numPr>
        <w:tabs>
          <w:tab w:val="clear" w:pos="1418"/>
          <w:tab w:val="num" w:pos="0"/>
        </w:tabs>
        <w:ind w:left="0" w:hanging="284"/>
        <w:rPr>
          <w:b/>
          <w:bCs/>
        </w:rPr>
      </w:pPr>
      <w:r w:rsidRPr="00E62690">
        <w:t>Mantener la observación formulada en Sesión de</w:t>
      </w:r>
      <w:r>
        <w:t xml:space="preserve">l </w:t>
      </w:r>
      <w:r w:rsidR="00152B13">
        <w:t>20</w:t>
      </w:r>
      <w:r w:rsidRPr="00E62690">
        <w:rPr>
          <w:bCs/>
          <w:snapToGrid w:val="0"/>
        </w:rPr>
        <w:t xml:space="preserve"> de </w:t>
      </w:r>
      <w:r>
        <w:rPr>
          <w:bCs/>
          <w:snapToGrid w:val="0"/>
        </w:rPr>
        <w:t xml:space="preserve">abril </w:t>
      </w:r>
      <w:r w:rsidRPr="00E62690">
        <w:rPr>
          <w:bCs/>
          <w:snapToGrid w:val="0"/>
        </w:rPr>
        <w:t>de 2017</w:t>
      </w:r>
      <w:r w:rsidRPr="00E62690">
        <w:t xml:space="preserve">;  </w:t>
      </w:r>
    </w:p>
    <w:p w:rsidR="00E62690" w:rsidRPr="00E62690" w:rsidRDefault="00E62690" w:rsidP="005B1FF8">
      <w:pPr>
        <w:numPr>
          <w:ilvl w:val="0"/>
          <w:numId w:val="2"/>
        </w:numPr>
        <w:tabs>
          <w:tab w:val="left" w:pos="-720"/>
        </w:tabs>
        <w:autoSpaceDN/>
        <w:spacing w:after="0" w:line="360" w:lineRule="auto"/>
        <w:ind w:left="0" w:hanging="284"/>
        <w:jc w:val="both"/>
        <w:textAlignment w:val="auto"/>
        <w:rPr>
          <w:rFonts w:ascii="Arial" w:hAnsi="Arial" w:cs="Arial"/>
          <w:sz w:val="24"/>
          <w:szCs w:val="24"/>
          <w:lang w:val="es-MX"/>
        </w:rPr>
      </w:pPr>
      <w:r w:rsidRPr="00E62690">
        <w:rPr>
          <w:rFonts w:ascii="Arial" w:hAnsi="Arial" w:cs="Arial"/>
          <w:sz w:val="24"/>
          <w:szCs w:val="24"/>
        </w:rPr>
        <w:t xml:space="preserve">Dar cuenta a la Asamblea General; y </w:t>
      </w:r>
    </w:p>
    <w:p w:rsidR="00E62690" w:rsidRPr="00E62690" w:rsidRDefault="00E62690" w:rsidP="005B1FF8">
      <w:pPr>
        <w:numPr>
          <w:ilvl w:val="0"/>
          <w:numId w:val="2"/>
        </w:numPr>
        <w:tabs>
          <w:tab w:val="left" w:pos="-720"/>
        </w:tabs>
        <w:autoSpaceDN/>
        <w:spacing w:after="0" w:line="360" w:lineRule="auto"/>
        <w:ind w:left="0" w:hanging="284"/>
        <w:jc w:val="both"/>
        <w:textAlignment w:val="auto"/>
        <w:rPr>
          <w:rFonts w:ascii="Arial" w:hAnsi="Arial" w:cs="Arial"/>
          <w:sz w:val="24"/>
          <w:szCs w:val="24"/>
          <w:lang w:val="es-MX"/>
        </w:rPr>
      </w:pPr>
      <w:r w:rsidRPr="00E62690">
        <w:rPr>
          <w:rFonts w:ascii="Arial" w:hAnsi="Arial" w:cs="Arial"/>
          <w:sz w:val="24"/>
          <w:szCs w:val="24"/>
        </w:rPr>
        <w:t>Co</w:t>
      </w:r>
      <w:r w:rsidR="00FE3301">
        <w:rPr>
          <w:rFonts w:ascii="Arial" w:hAnsi="Arial" w:cs="Arial"/>
          <w:sz w:val="24"/>
          <w:szCs w:val="24"/>
        </w:rPr>
        <w:t>municar al Organismo actuante.</w:t>
      </w:r>
      <w:r w:rsidRPr="00E62690">
        <w:rPr>
          <w:rFonts w:ascii="Arial" w:hAnsi="Arial" w:cs="Arial"/>
          <w:sz w:val="24"/>
          <w:szCs w:val="24"/>
        </w:rPr>
        <w:t xml:space="preserve"> </w:t>
      </w:r>
    </w:p>
    <w:p w:rsidR="00E62690" w:rsidRPr="00376192" w:rsidRDefault="00376192" w:rsidP="005B1FF8">
      <w:pPr>
        <w:tabs>
          <w:tab w:val="left" w:pos="-720"/>
        </w:tabs>
        <w:spacing w:after="0" w:line="360" w:lineRule="auto"/>
        <w:ind w:hanging="284"/>
        <w:jc w:val="both"/>
        <w:rPr>
          <w:rFonts w:ascii="Arial" w:hAnsi="Arial" w:cs="Arial"/>
          <w:sz w:val="20"/>
          <w:szCs w:val="20"/>
          <w:lang w:val="es-MX"/>
        </w:rPr>
      </w:pPr>
      <w:r w:rsidRPr="00376192">
        <w:rPr>
          <w:rFonts w:ascii="Arial" w:hAnsi="Arial" w:cs="Arial"/>
          <w:sz w:val="20"/>
          <w:szCs w:val="20"/>
          <w:lang w:val="es-MX"/>
        </w:rPr>
        <w:t>CLC</w:t>
      </w:r>
    </w:p>
    <w:p w:rsidR="00E62690" w:rsidRDefault="00E62690" w:rsidP="005B1FF8">
      <w:pPr>
        <w:spacing w:after="0" w:line="360" w:lineRule="auto"/>
        <w:jc w:val="both"/>
        <w:rPr>
          <w:rFonts w:cs="Arial"/>
          <w:lang w:val="es-MX"/>
        </w:rPr>
      </w:pPr>
    </w:p>
    <w:sectPr w:rsidR="00E62690" w:rsidSect="00317FF6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C7" w:rsidRDefault="001523C7">
      <w:pPr>
        <w:spacing w:after="0" w:line="240" w:lineRule="auto"/>
      </w:pPr>
      <w:r>
        <w:separator/>
      </w:r>
    </w:p>
  </w:endnote>
  <w:endnote w:type="continuationSeparator" w:id="0">
    <w:p w:rsidR="001523C7" w:rsidRDefault="0015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C7" w:rsidRDefault="001523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523C7" w:rsidRDefault="0015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C51D2"/>
    <w:multiLevelType w:val="hybridMultilevel"/>
    <w:tmpl w:val="4C247D48"/>
    <w:lvl w:ilvl="0" w:tplc="CF38341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">
    <w:nsid w:val="59607E2E"/>
    <w:multiLevelType w:val="multilevel"/>
    <w:tmpl w:val="0304F8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3AB1"/>
    <w:rsid w:val="0000496D"/>
    <w:rsid w:val="001523C7"/>
    <w:rsid w:val="00152B13"/>
    <w:rsid w:val="001C64BD"/>
    <w:rsid w:val="002E2636"/>
    <w:rsid w:val="002E5766"/>
    <w:rsid w:val="00317FF6"/>
    <w:rsid w:val="00376192"/>
    <w:rsid w:val="004C5542"/>
    <w:rsid w:val="004F3AB1"/>
    <w:rsid w:val="005B1FF8"/>
    <w:rsid w:val="00931E18"/>
    <w:rsid w:val="00AC1BB9"/>
    <w:rsid w:val="00B17B85"/>
    <w:rsid w:val="00BC725F"/>
    <w:rsid w:val="00C846FC"/>
    <w:rsid w:val="00D257CB"/>
    <w:rsid w:val="00D87D2F"/>
    <w:rsid w:val="00DD657A"/>
    <w:rsid w:val="00E536E8"/>
    <w:rsid w:val="00E62690"/>
    <w:rsid w:val="00EF3D75"/>
    <w:rsid w:val="00F91F0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independiente2">
    <w:name w:val="Body Text 2"/>
    <w:basedOn w:val="Normal"/>
    <w:link w:val="Textoindependiente2Car"/>
    <w:semiHidden/>
    <w:rsid w:val="00E62690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62690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2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UY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extoindependiente2">
    <w:name w:val="Body Text 2"/>
    <w:basedOn w:val="Normal"/>
    <w:link w:val="Textoindependiente2Car"/>
    <w:semiHidden/>
    <w:rsid w:val="00E62690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62690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2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4F7F-1780-4A23-8456-C0FAABE8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EDUARDO MAESO RUIZ</dc:creator>
  <cp:lastModifiedBy>Tribunal1</cp:lastModifiedBy>
  <cp:revision>8</cp:revision>
  <cp:lastPrinted>2017-07-07T17:39:00Z</cp:lastPrinted>
  <dcterms:created xsi:type="dcterms:W3CDTF">2017-07-07T17:04:00Z</dcterms:created>
  <dcterms:modified xsi:type="dcterms:W3CDTF">2017-07-07T17:57:00Z</dcterms:modified>
</cp:coreProperties>
</file>