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882" w:rsidRPr="00EB4882" w:rsidRDefault="00EB4882" w:rsidP="008448B1">
      <w:pPr>
        <w:keepNext/>
        <w:widowControl w:val="0"/>
        <w:tabs>
          <w:tab w:val="center" w:pos="4253"/>
        </w:tabs>
        <w:spacing w:after="0" w:line="240" w:lineRule="auto"/>
        <w:jc w:val="right"/>
        <w:rPr>
          <w:rFonts w:eastAsia="Times New Roman" w:cs="Arial"/>
          <w:b/>
          <w:sz w:val="28"/>
          <w:szCs w:val="28"/>
          <w:lang w:val="es-ES_tradnl" w:eastAsia="es-ES"/>
        </w:rPr>
      </w:pPr>
      <w:bookmarkStart w:id="0" w:name="_GoBack"/>
      <w:bookmarkEnd w:id="0"/>
      <w:r w:rsidRPr="00EB4882">
        <w:rPr>
          <w:rFonts w:eastAsia="Times New Roman" w:cs="Arial"/>
          <w:b/>
          <w:sz w:val="28"/>
          <w:szCs w:val="28"/>
          <w:lang w:val="es-ES_tradnl" w:eastAsia="es-ES"/>
        </w:rPr>
        <w:t>RES. 212</w:t>
      </w:r>
      <w:r w:rsidR="005A4460">
        <w:rPr>
          <w:rFonts w:eastAsia="Times New Roman" w:cs="Arial"/>
          <w:b/>
          <w:sz w:val="28"/>
          <w:szCs w:val="28"/>
          <w:lang w:val="es-ES_tradnl" w:eastAsia="es-ES"/>
        </w:rPr>
        <w:t>5</w:t>
      </w:r>
      <w:r w:rsidRPr="00EB4882">
        <w:rPr>
          <w:rFonts w:eastAsia="Times New Roman" w:cs="Arial"/>
          <w:b/>
          <w:sz w:val="28"/>
          <w:szCs w:val="28"/>
          <w:lang w:val="es-ES_tradnl" w:eastAsia="es-ES"/>
        </w:rPr>
        <w:t>/17</w:t>
      </w:r>
    </w:p>
    <w:p w:rsidR="00EB4882" w:rsidRPr="00EB4882" w:rsidRDefault="00EB4882" w:rsidP="008448B1">
      <w:pPr>
        <w:keepNext/>
        <w:widowControl w:val="0"/>
        <w:tabs>
          <w:tab w:val="center" w:pos="4253"/>
        </w:tabs>
        <w:spacing w:after="0" w:line="240" w:lineRule="auto"/>
        <w:jc w:val="center"/>
        <w:rPr>
          <w:rFonts w:eastAsia="Times New Roman" w:cs="Arial"/>
          <w:b/>
          <w:szCs w:val="24"/>
          <w:lang w:val="es-ES_tradnl" w:eastAsia="es-ES"/>
        </w:rPr>
      </w:pPr>
    </w:p>
    <w:p w:rsidR="00EB4882" w:rsidRPr="00EB4882" w:rsidRDefault="00EB4882" w:rsidP="008448B1">
      <w:pPr>
        <w:keepNext/>
        <w:widowControl w:val="0"/>
        <w:tabs>
          <w:tab w:val="center" w:pos="4253"/>
        </w:tabs>
        <w:spacing w:after="0" w:line="240" w:lineRule="auto"/>
        <w:jc w:val="center"/>
        <w:rPr>
          <w:rFonts w:ascii="Helvetica" w:eastAsia="Times New Roman" w:hAnsi="Helvetica"/>
          <w:b/>
          <w:szCs w:val="24"/>
          <w:lang w:val="es-ES_tradnl" w:eastAsia="es-ES"/>
        </w:rPr>
      </w:pPr>
      <w:r w:rsidRPr="00EB4882">
        <w:rPr>
          <w:rFonts w:ascii="Helvetica" w:eastAsia="Times New Roman" w:hAnsi="Helvetica"/>
          <w:b/>
          <w:szCs w:val="24"/>
          <w:lang w:val="es-ES_tradnl" w:eastAsia="es-ES"/>
        </w:rPr>
        <w:t>RESOLUCION ADOPTADA POR EL</w:t>
      </w:r>
    </w:p>
    <w:p w:rsidR="00EB4882" w:rsidRPr="00EB4882" w:rsidRDefault="00EB4882" w:rsidP="008448B1">
      <w:pPr>
        <w:keepNext/>
        <w:widowControl w:val="0"/>
        <w:tabs>
          <w:tab w:val="left" w:pos="-720"/>
        </w:tabs>
        <w:spacing w:after="0" w:line="240" w:lineRule="auto"/>
        <w:jc w:val="center"/>
        <w:rPr>
          <w:rFonts w:ascii="Helvetica" w:eastAsia="Times New Roman" w:hAnsi="Helvetica"/>
          <w:b/>
          <w:szCs w:val="24"/>
          <w:lang w:val="es-ES_tradnl" w:eastAsia="es-ES"/>
        </w:rPr>
      </w:pPr>
    </w:p>
    <w:p w:rsidR="00EB4882" w:rsidRPr="00EB4882" w:rsidRDefault="00EB4882" w:rsidP="008448B1">
      <w:pPr>
        <w:keepNext/>
        <w:widowControl w:val="0"/>
        <w:tabs>
          <w:tab w:val="center" w:pos="4253"/>
        </w:tabs>
        <w:spacing w:after="0" w:line="240" w:lineRule="auto"/>
        <w:jc w:val="center"/>
        <w:rPr>
          <w:rFonts w:ascii="Helvetica" w:eastAsia="Times New Roman" w:hAnsi="Helvetica"/>
          <w:b/>
          <w:szCs w:val="24"/>
          <w:lang w:val="es-ES_tradnl" w:eastAsia="es-ES"/>
        </w:rPr>
      </w:pPr>
      <w:r w:rsidRPr="00EB4882">
        <w:rPr>
          <w:rFonts w:ascii="Helvetica" w:eastAsia="Times New Roman" w:hAnsi="Helvetica"/>
          <w:b/>
          <w:szCs w:val="24"/>
          <w:lang w:val="es-ES_tradnl" w:eastAsia="es-ES"/>
        </w:rPr>
        <w:t>TRIBUNAL DE CUENTAS</w:t>
      </w:r>
    </w:p>
    <w:p w:rsidR="00EB4882" w:rsidRPr="00EB4882" w:rsidRDefault="00EB4882" w:rsidP="008448B1">
      <w:pPr>
        <w:keepNext/>
        <w:widowControl w:val="0"/>
        <w:tabs>
          <w:tab w:val="left" w:pos="-720"/>
        </w:tabs>
        <w:spacing w:after="0" w:line="240" w:lineRule="auto"/>
        <w:jc w:val="center"/>
        <w:rPr>
          <w:rFonts w:ascii="Helvetica" w:eastAsia="Times New Roman" w:hAnsi="Helvetica"/>
          <w:b/>
          <w:szCs w:val="24"/>
          <w:lang w:val="es-ES_tradnl" w:eastAsia="es-ES"/>
        </w:rPr>
      </w:pPr>
    </w:p>
    <w:p w:rsidR="00EB4882" w:rsidRPr="00EB4882" w:rsidRDefault="00EB4882" w:rsidP="008448B1">
      <w:pPr>
        <w:keepNext/>
        <w:widowControl w:val="0"/>
        <w:tabs>
          <w:tab w:val="center" w:pos="4253"/>
        </w:tabs>
        <w:spacing w:after="0" w:line="240" w:lineRule="auto"/>
        <w:jc w:val="center"/>
        <w:rPr>
          <w:rFonts w:ascii="Helvetica" w:eastAsia="Times New Roman" w:hAnsi="Helvetica"/>
          <w:b/>
          <w:szCs w:val="24"/>
          <w:lang w:val="es-ES_tradnl" w:eastAsia="es-ES"/>
        </w:rPr>
      </w:pPr>
      <w:r w:rsidRPr="00EB4882">
        <w:rPr>
          <w:rFonts w:ascii="Helvetica" w:eastAsia="Times New Roman" w:hAnsi="Helvetica"/>
          <w:b/>
          <w:szCs w:val="24"/>
          <w:lang w:val="es-ES_tradnl" w:eastAsia="es-ES"/>
        </w:rPr>
        <w:t xml:space="preserve">EN SESION DE FECHA </w:t>
      </w:r>
      <w:r w:rsidRPr="00EB4882">
        <w:rPr>
          <w:rFonts w:eastAsia="Times New Roman" w:cs="Arial"/>
          <w:b/>
          <w:szCs w:val="24"/>
          <w:lang w:val="es-ES_tradnl" w:eastAsia="es-ES"/>
        </w:rPr>
        <w:t xml:space="preserve">5 DE JULIO </w:t>
      </w:r>
      <w:r w:rsidRPr="00EB4882">
        <w:rPr>
          <w:rFonts w:ascii="Helvetica" w:eastAsia="Times New Roman" w:hAnsi="Helvetica"/>
          <w:b/>
          <w:szCs w:val="24"/>
          <w:lang w:val="es-ES_tradnl" w:eastAsia="es-ES"/>
        </w:rPr>
        <w:t>DE 2017</w:t>
      </w:r>
    </w:p>
    <w:p w:rsidR="00EB4882" w:rsidRPr="00EB4882" w:rsidRDefault="00EB4882" w:rsidP="008448B1">
      <w:pPr>
        <w:keepNext/>
        <w:widowControl w:val="0"/>
        <w:tabs>
          <w:tab w:val="center" w:pos="4253"/>
        </w:tabs>
        <w:spacing w:after="0" w:line="240" w:lineRule="auto"/>
        <w:jc w:val="center"/>
        <w:rPr>
          <w:rFonts w:ascii="Helvetica" w:eastAsia="Times New Roman" w:hAnsi="Helvetica"/>
          <w:b/>
          <w:szCs w:val="24"/>
          <w:lang w:val="es-ES_tradnl" w:eastAsia="es-ES"/>
        </w:rPr>
      </w:pPr>
    </w:p>
    <w:p w:rsidR="00EB4882" w:rsidRPr="00EB4882" w:rsidRDefault="00EB4882" w:rsidP="008448B1">
      <w:pPr>
        <w:keepNext/>
        <w:widowControl w:val="0"/>
        <w:tabs>
          <w:tab w:val="center" w:pos="4253"/>
        </w:tabs>
        <w:spacing w:after="0" w:line="240" w:lineRule="auto"/>
        <w:jc w:val="center"/>
        <w:rPr>
          <w:rFonts w:ascii="Helvetica" w:eastAsia="Times New Roman" w:hAnsi="Helvetica"/>
          <w:b/>
          <w:szCs w:val="24"/>
          <w:lang w:eastAsia="es-ES"/>
        </w:rPr>
      </w:pPr>
      <w:r w:rsidRPr="00EB4882">
        <w:rPr>
          <w:rFonts w:ascii="Helvetica" w:eastAsia="Times New Roman" w:hAnsi="Helvetica"/>
          <w:b/>
          <w:szCs w:val="24"/>
          <w:lang w:eastAsia="es-ES"/>
        </w:rPr>
        <w:t>(E. E. Nº 2017-17-1-000</w:t>
      </w:r>
      <w:r>
        <w:rPr>
          <w:rFonts w:ascii="Helvetica" w:eastAsia="Times New Roman" w:hAnsi="Helvetica"/>
          <w:b/>
          <w:szCs w:val="24"/>
          <w:lang w:eastAsia="es-ES"/>
        </w:rPr>
        <w:t>1976</w:t>
      </w:r>
      <w:r w:rsidRPr="00EB4882">
        <w:rPr>
          <w:rFonts w:ascii="Helvetica" w:eastAsia="Times New Roman" w:hAnsi="Helvetica"/>
          <w:b/>
          <w:szCs w:val="24"/>
          <w:lang w:eastAsia="es-ES"/>
        </w:rPr>
        <w:t xml:space="preserve">, </w:t>
      </w:r>
      <w:proofErr w:type="spellStart"/>
      <w:r w:rsidRPr="00EB4882">
        <w:rPr>
          <w:rFonts w:ascii="Helvetica" w:eastAsia="Times New Roman" w:hAnsi="Helvetica"/>
          <w:b/>
          <w:szCs w:val="24"/>
          <w:lang w:eastAsia="es-ES"/>
        </w:rPr>
        <w:t>Ent</w:t>
      </w:r>
      <w:proofErr w:type="spellEnd"/>
      <w:r w:rsidRPr="00EB4882">
        <w:rPr>
          <w:rFonts w:ascii="Helvetica" w:eastAsia="Times New Roman" w:hAnsi="Helvetica"/>
          <w:b/>
          <w:szCs w:val="24"/>
          <w:lang w:eastAsia="es-ES"/>
        </w:rPr>
        <w:t xml:space="preserve">. N° </w:t>
      </w:r>
      <w:r>
        <w:rPr>
          <w:rFonts w:ascii="Helvetica" w:eastAsia="Times New Roman" w:hAnsi="Helvetica"/>
          <w:b/>
          <w:szCs w:val="24"/>
          <w:lang w:eastAsia="es-ES"/>
        </w:rPr>
        <w:t>1571</w:t>
      </w:r>
      <w:r w:rsidRPr="00EB4882">
        <w:rPr>
          <w:rFonts w:ascii="Helvetica" w:eastAsia="Times New Roman" w:hAnsi="Helvetica"/>
          <w:b/>
          <w:szCs w:val="24"/>
          <w:lang w:eastAsia="es-ES"/>
        </w:rPr>
        <w:t>/17</w:t>
      </w:r>
      <w:r>
        <w:rPr>
          <w:rFonts w:ascii="Helvetica" w:eastAsia="Times New Roman" w:hAnsi="Helvetica"/>
          <w:b/>
          <w:szCs w:val="24"/>
          <w:lang w:eastAsia="es-ES"/>
        </w:rPr>
        <w:t xml:space="preserve"> y 1622/17</w:t>
      </w:r>
      <w:r w:rsidRPr="00EB4882">
        <w:rPr>
          <w:rFonts w:ascii="Helvetica" w:eastAsia="Times New Roman" w:hAnsi="Helvetica"/>
          <w:b/>
          <w:szCs w:val="24"/>
          <w:lang w:eastAsia="es-ES"/>
        </w:rPr>
        <w:t>)</w:t>
      </w:r>
    </w:p>
    <w:p w:rsidR="00EB4882" w:rsidRDefault="00EB4882" w:rsidP="008448B1">
      <w:pPr>
        <w:pStyle w:val="Textoindependiente"/>
        <w:keepNext/>
        <w:widowControl w:val="0"/>
        <w:spacing w:after="0"/>
        <w:rPr>
          <w:rFonts w:ascii="Arial" w:hAnsi="Arial" w:cs="Arial"/>
          <w:b/>
        </w:rPr>
      </w:pPr>
    </w:p>
    <w:p w:rsidR="00EB4882" w:rsidRDefault="00EB4882" w:rsidP="008448B1">
      <w:pPr>
        <w:pStyle w:val="Textoindependiente"/>
        <w:keepNext/>
        <w:widowControl w:val="0"/>
        <w:spacing w:after="0"/>
        <w:rPr>
          <w:rFonts w:ascii="Arial" w:hAnsi="Arial" w:cs="Arial"/>
          <w:b/>
        </w:rPr>
      </w:pPr>
    </w:p>
    <w:p w:rsidR="00B3546B" w:rsidRPr="002B559C" w:rsidRDefault="00B3546B" w:rsidP="008448B1">
      <w:pPr>
        <w:pStyle w:val="Textoindependiente"/>
        <w:keepNext/>
        <w:widowControl w:val="0"/>
        <w:spacing w:after="0" w:line="360" w:lineRule="auto"/>
        <w:ind w:firstLine="851"/>
        <w:jc w:val="both"/>
        <w:rPr>
          <w:rFonts w:ascii="Arial" w:hAnsi="Arial" w:cs="Arial"/>
        </w:rPr>
      </w:pPr>
      <w:r w:rsidRPr="002B559C">
        <w:rPr>
          <w:rFonts w:ascii="Arial" w:hAnsi="Arial" w:cs="Arial"/>
          <w:b/>
          <w:lang w:val="es-MX"/>
        </w:rPr>
        <w:t>VISTO:</w:t>
      </w:r>
      <w:r w:rsidRPr="002B559C">
        <w:rPr>
          <w:rFonts w:ascii="Arial" w:hAnsi="Arial" w:cs="Arial"/>
          <w:lang w:val="es-MX"/>
        </w:rPr>
        <w:t xml:space="preserve"> </w:t>
      </w:r>
      <w:r w:rsidRPr="002B559C">
        <w:rPr>
          <w:rFonts w:ascii="Arial" w:hAnsi="Arial" w:cs="Arial"/>
          <w:spacing w:val="-3"/>
          <w:lang w:val="es-ES_tradnl"/>
        </w:rPr>
        <w:t>que este</w:t>
      </w:r>
      <w:r w:rsidRPr="002B559C">
        <w:rPr>
          <w:rFonts w:ascii="Arial" w:hAnsi="Arial" w:cs="Arial"/>
        </w:rPr>
        <w:t xml:space="preserve"> Tribunal ha examinado los Estados Financieros del Banco Central del Uruguay (BCU) que comprenden el </w:t>
      </w:r>
      <w:r w:rsidRPr="002B559C">
        <w:rPr>
          <w:rFonts w:ascii="Arial" w:hAnsi="Arial" w:cs="Arial"/>
          <w:spacing w:val="-3"/>
          <w:lang w:val="es-ES_tradnl"/>
        </w:rPr>
        <w:t xml:space="preserve">Estado de Situación Financiera al 31/12/2016, los correspondientes </w:t>
      </w:r>
      <w:r w:rsidRPr="002B559C">
        <w:rPr>
          <w:rFonts w:ascii="Arial" w:hAnsi="Arial" w:cs="Arial"/>
        </w:rPr>
        <w:t>Estados del Resultado Integral, de Flujos de Efectivo y de Cambios en el Patrimonio por el Ejercicio anual finalizado en esa fecha, los Anexos y las notas de políticas contables significativas y otras notas explicativas a los Estados Financieros;</w:t>
      </w:r>
    </w:p>
    <w:p w:rsidR="00B3546B" w:rsidRPr="002B559C" w:rsidRDefault="00B3546B" w:rsidP="008448B1">
      <w:pPr>
        <w:keepNext/>
        <w:widowControl w:val="0"/>
        <w:spacing w:after="0" w:line="360" w:lineRule="auto"/>
        <w:ind w:firstLine="851"/>
        <w:rPr>
          <w:rFonts w:cs="Arial"/>
          <w:szCs w:val="24"/>
          <w:lang w:val="es-MX"/>
        </w:rPr>
      </w:pPr>
      <w:r w:rsidRPr="002B559C">
        <w:rPr>
          <w:rFonts w:cs="Arial"/>
          <w:b/>
          <w:szCs w:val="24"/>
          <w:lang w:val="es-MX"/>
        </w:rPr>
        <w:t>RESULTANDO:</w:t>
      </w:r>
      <w:r w:rsidRPr="002B559C">
        <w:rPr>
          <w:rFonts w:cs="Arial"/>
          <w:szCs w:val="24"/>
          <w:lang w:val="es-MX"/>
        </w:rPr>
        <w:t xml:space="preserve"> que el examen fue realizado de acuerdo con los Principios Fundamentales de Auditoría (ISSAI 100 y 200) y las Directrices de Auditoría Financiera de la Organización Internacional de Entidades Fiscalizadoras Superiores (INTOSAI);</w:t>
      </w:r>
    </w:p>
    <w:p w:rsidR="00B3546B" w:rsidRPr="002B559C" w:rsidRDefault="00B3546B" w:rsidP="008448B1">
      <w:pPr>
        <w:keepNext/>
        <w:widowControl w:val="0"/>
        <w:spacing w:after="0" w:line="360" w:lineRule="auto"/>
        <w:ind w:firstLine="851"/>
        <w:rPr>
          <w:rFonts w:cs="Arial"/>
          <w:szCs w:val="24"/>
          <w:lang w:val="es-MX"/>
        </w:rPr>
      </w:pPr>
      <w:r w:rsidRPr="002B559C">
        <w:rPr>
          <w:rFonts w:cs="Arial"/>
          <w:b/>
          <w:szCs w:val="24"/>
          <w:lang w:val="es-MX"/>
        </w:rPr>
        <w:t>CONSIDERANDO:</w:t>
      </w:r>
      <w:r w:rsidRPr="002B559C">
        <w:rPr>
          <w:rFonts w:cs="Arial"/>
          <w:szCs w:val="24"/>
          <w:lang w:val="es-MX"/>
        </w:rPr>
        <w:t xml:space="preserve"> que las conclusiones y evidencias obtenidas son las que se expresan en el Informe de Auditoría, que incluye Dictamen e Informe a la Administración;</w:t>
      </w:r>
    </w:p>
    <w:p w:rsidR="00B3546B" w:rsidRPr="002B559C" w:rsidRDefault="00B3546B" w:rsidP="008448B1">
      <w:pPr>
        <w:keepNext/>
        <w:widowControl w:val="0"/>
        <w:spacing w:after="0" w:line="360" w:lineRule="auto"/>
        <w:ind w:firstLine="851"/>
        <w:rPr>
          <w:rFonts w:cs="Arial"/>
          <w:szCs w:val="24"/>
          <w:lang w:val="es-MX"/>
        </w:rPr>
      </w:pPr>
      <w:r w:rsidRPr="002B559C">
        <w:rPr>
          <w:rFonts w:cs="Arial"/>
          <w:b/>
          <w:szCs w:val="24"/>
          <w:lang w:val="es-MX"/>
        </w:rPr>
        <w:t>ATENTO:</w:t>
      </w:r>
      <w:r w:rsidRPr="002B559C">
        <w:rPr>
          <w:rFonts w:cs="Arial"/>
          <w:szCs w:val="24"/>
          <w:lang w:val="es-MX"/>
        </w:rPr>
        <w:t xml:space="preserve"> a lo dispuesto por los Artículos 191 y 211 Literal C) de la Constitución de la República;</w:t>
      </w:r>
    </w:p>
    <w:p w:rsidR="00B3546B" w:rsidRPr="002B559C" w:rsidRDefault="00B3546B" w:rsidP="008448B1">
      <w:pPr>
        <w:keepNext/>
        <w:widowControl w:val="0"/>
        <w:spacing w:after="0" w:line="360" w:lineRule="auto"/>
        <w:jc w:val="center"/>
        <w:rPr>
          <w:rFonts w:cs="Arial"/>
          <w:b/>
          <w:szCs w:val="24"/>
          <w:lang w:val="es-MX"/>
        </w:rPr>
      </w:pPr>
      <w:r w:rsidRPr="002B559C">
        <w:rPr>
          <w:rFonts w:cs="Arial"/>
          <w:b/>
          <w:szCs w:val="24"/>
          <w:lang w:val="es-MX"/>
        </w:rPr>
        <w:t>EL TRIBUNAL ACUERDA</w:t>
      </w:r>
    </w:p>
    <w:p w:rsidR="00B3546B" w:rsidRPr="002B559C" w:rsidRDefault="00B3546B" w:rsidP="008448B1">
      <w:pPr>
        <w:keepNext/>
        <w:widowControl w:val="0"/>
        <w:spacing w:after="0" w:line="360" w:lineRule="auto"/>
        <w:rPr>
          <w:rFonts w:cs="Arial"/>
          <w:szCs w:val="24"/>
          <w:lang w:val="es-MX"/>
        </w:rPr>
      </w:pPr>
      <w:r w:rsidRPr="002B559C">
        <w:rPr>
          <w:rFonts w:cs="Arial"/>
          <w:b/>
          <w:szCs w:val="24"/>
          <w:lang w:val="es-MX"/>
        </w:rPr>
        <w:t>1)</w:t>
      </w:r>
      <w:r w:rsidRPr="002B559C">
        <w:rPr>
          <w:rFonts w:cs="Arial"/>
          <w:szCs w:val="24"/>
          <w:lang w:val="es-MX"/>
        </w:rPr>
        <w:t xml:space="preserve">  Expedirse en los términos del Informe de Auditoría que se adjunta</w:t>
      </w:r>
      <w:r w:rsidRPr="002B559C">
        <w:rPr>
          <w:rFonts w:cs="Arial"/>
          <w:szCs w:val="24"/>
        </w:rPr>
        <w:t>;</w:t>
      </w:r>
    </w:p>
    <w:p w:rsidR="00B3546B" w:rsidRDefault="00B3546B" w:rsidP="008448B1">
      <w:pPr>
        <w:keepNext/>
        <w:widowControl w:val="0"/>
        <w:spacing w:after="0" w:line="360" w:lineRule="auto"/>
        <w:ind w:left="284" w:hanging="284"/>
        <w:rPr>
          <w:rFonts w:cs="Arial"/>
          <w:szCs w:val="24"/>
        </w:rPr>
      </w:pPr>
      <w:r w:rsidRPr="002B559C">
        <w:rPr>
          <w:rFonts w:cs="Arial"/>
          <w:b/>
          <w:szCs w:val="24"/>
          <w:lang w:val="es-MX"/>
        </w:rPr>
        <w:t>2)</w:t>
      </w:r>
      <w:r w:rsidRPr="002B559C">
        <w:rPr>
          <w:rFonts w:cs="Arial"/>
          <w:szCs w:val="24"/>
          <w:lang w:val="es-MX"/>
        </w:rPr>
        <w:t xml:space="preserve"> A los efectos dispuestos por el Artículo 191 de la Constitución de la República, el Organismo deberá publicar </w:t>
      </w:r>
      <w:r w:rsidRPr="002B559C">
        <w:rPr>
          <w:rFonts w:cs="Arial"/>
          <w:szCs w:val="24"/>
        </w:rPr>
        <w:t>los Estados referidos y el Dictamen incluido en el Informe de Auditoría;</w:t>
      </w:r>
    </w:p>
    <w:p w:rsidR="00B3546B" w:rsidRPr="002B559C" w:rsidRDefault="00B3546B" w:rsidP="008448B1">
      <w:pPr>
        <w:keepNext/>
        <w:widowControl w:val="0"/>
        <w:spacing w:after="0" w:line="360" w:lineRule="auto"/>
        <w:ind w:left="284" w:hanging="284"/>
        <w:rPr>
          <w:rFonts w:cs="Arial"/>
          <w:szCs w:val="24"/>
          <w:lang w:val="es-MX"/>
        </w:rPr>
      </w:pPr>
      <w:r w:rsidRPr="002B559C">
        <w:rPr>
          <w:rFonts w:cs="Arial"/>
          <w:b/>
          <w:szCs w:val="24"/>
          <w:lang w:val="es-MX"/>
        </w:rPr>
        <w:t>3)</w:t>
      </w:r>
      <w:r w:rsidRPr="002B559C">
        <w:rPr>
          <w:rFonts w:cs="Arial"/>
          <w:szCs w:val="24"/>
          <w:lang w:val="es-MX"/>
        </w:rPr>
        <w:t xml:space="preserve"> Comunicar la presente Resolución al Ministerio de Economía y Finanzas (MEF) y a la Oficina de Planeamiento y Presupuesto (OPP);</w:t>
      </w:r>
    </w:p>
    <w:p w:rsidR="00B3546B" w:rsidRPr="002B559C" w:rsidRDefault="00B3546B" w:rsidP="008448B1">
      <w:pPr>
        <w:keepNext/>
        <w:widowControl w:val="0"/>
        <w:spacing w:after="0" w:line="360" w:lineRule="auto"/>
        <w:rPr>
          <w:rFonts w:cs="Arial"/>
          <w:szCs w:val="24"/>
          <w:lang w:val="es-MX"/>
        </w:rPr>
      </w:pPr>
      <w:r w:rsidRPr="002B559C">
        <w:rPr>
          <w:rFonts w:cs="Arial"/>
          <w:b/>
          <w:szCs w:val="24"/>
          <w:lang w:val="es-MX"/>
        </w:rPr>
        <w:lastRenderedPageBreak/>
        <w:t>4)</w:t>
      </w:r>
      <w:r w:rsidRPr="002B559C">
        <w:rPr>
          <w:rFonts w:cs="Arial"/>
          <w:szCs w:val="24"/>
          <w:lang w:val="es-MX"/>
        </w:rPr>
        <w:t xml:space="preserve"> Dar cuenta a la Asamblea General; y</w:t>
      </w:r>
    </w:p>
    <w:p w:rsidR="00B3546B" w:rsidRPr="002B559C" w:rsidRDefault="00B3546B" w:rsidP="008448B1">
      <w:pPr>
        <w:keepNext/>
        <w:widowControl w:val="0"/>
        <w:rPr>
          <w:rFonts w:cs="Arial"/>
          <w:szCs w:val="24"/>
          <w:lang w:val="es-MX"/>
        </w:rPr>
      </w:pPr>
      <w:r w:rsidRPr="002B559C">
        <w:rPr>
          <w:rFonts w:cs="Arial"/>
          <w:b/>
          <w:szCs w:val="24"/>
          <w:lang w:val="es-MX"/>
        </w:rPr>
        <w:t xml:space="preserve">5) </w:t>
      </w:r>
      <w:r w:rsidRPr="002B559C">
        <w:rPr>
          <w:rFonts w:cs="Arial"/>
          <w:szCs w:val="24"/>
          <w:lang w:val="es-MX"/>
        </w:rPr>
        <w:t>Devolver al Organismo.</w:t>
      </w:r>
    </w:p>
    <w:p w:rsidR="00B3546B" w:rsidRDefault="009C132E" w:rsidP="008448B1">
      <w:pPr>
        <w:keepNext/>
        <w:widowControl w:val="0"/>
        <w:rPr>
          <w:rFonts w:cs="Arial"/>
          <w:szCs w:val="24"/>
          <w:lang w:val="es-MX"/>
        </w:rPr>
      </w:pPr>
      <w:proofErr w:type="spellStart"/>
      <w:proofErr w:type="gramStart"/>
      <w:r w:rsidRPr="009C132E">
        <w:rPr>
          <w:rFonts w:cs="Arial"/>
          <w:szCs w:val="24"/>
          <w:lang w:val="es-MX"/>
        </w:rPr>
        <w:t>ag</w:t>
      </w:r>
      <w:proofErr w:type="spellEnd"/>
      <w:proofErr w:type="gramEnd"/>
    </w:p>
    <w:p w:rsidR="008448B1" w:rsidRDefault="008448B1" w:rsidP="008448B1">
      <w:pPr>
        <w:pStyle w:val="Textoindependiente"/>
        <w:keepNext/>
        <w:widowControl w:val="0"/>
        <w:spacing w:after="0" w:line="360" w:lineRule="auto"/>
        <w:jc w:val="center"/>
        <w:rPr>
          <w:rFonts w:ascii="Arial" w:hAnsi="Arial" w:cs="Arial"/>
          <w:b/>
        </w:rPr>
      </w:pPr>
    </w:p>
    <w:p w:rsidR="003F5F7D" w:rsidRDefault="003F5F7D" w:rsidP="008448B1">
      <w:pPr>
        <w:pStyle w:val="Textoindependiente"/>
        <w:keepNext/>
        <w:widowControl w:val="0"/>
        <w:spacing w:after="0" w:line="360" w:lineRule="auto"/>
        <w:jc w:val="center"/>
        <w:rPr>
          <w:rFonts w:ascii="Arial" w:hAnsi="Arial" w:cs="Arial"/>
          <w:b/>
        </w:rPr>
      </w:pPr>
      <w:r w:rsidRPr="002B559C">
        <w:rPr>
          <w:rFonts w:ascii="Arial" w:hAnsi="Arial" w:cs="Arial"/>
          <w:b/>
        </w:rPr>
        <w:t>DICTAMEN</w:t>
      </w:r>
    </w:p>
    <w:p w:rsidR="007A5D80" w:rsidRDefault="007A5D80" w:rsidP="008448B1">
      <w:pPr>
        <w:pStyle w:val="Textoindependiente"/>
        <w:keepNext/>
        <w:widowControl w:val="0"/>
        <w:spacing w:after="0" w:line="360" w:lineRule="auto"/>
        <w:jc w:val="center"/>
        <w:rPr>
          <w:rFonts w:ascii="Arial" w:hAnsi="Arial" w:cs="Arial"/>
          <w:b/>
        </w:rPr>
      </w:pPr>
    </w:p>
    <w:p w:rsidR="003F5F7D" w:rsidRPr="002B559C" w:rsidRDefault="003F5F7D" w:rsidP="008448B1">
      <w:pPr>
        <w:pStyle w:val="Textoindependiente"/>
        <w:keepNext/>
        <w:widowControl w:val="0"/>
        <w:spacing w:after="0" w:line="360" w:lineRule="auto"/>
        <w:jc w:val="both"/>
        <w:rPr>
          <w:rFonts w:ascii="Arial" w:hAnsi="Arial" w:cs="Arial"/>
        </w:rPr>
      </w:pPr>
      <w:r w:rsidRPr="002B559C">
        <w:rPr>
          <w:rFonts w:ascii="Arial" w:hAnsi="Arial" w:cs="Arial"/>
        </w:rPr>
        <w:t xml:space="preserve">El Tribunal de Cuentas ha examinado los estados financieros del Banco Central del Uruguay (BCU) que se adjuntan. Dichos estados financieros comprenden el </w:t>
      </w:r>
      <w:r w:rsidRPr="002B559C">
        <w:rPr>
          <w:rFonts w:ascii="Arial" w:hAnsi="Arial" w:cs="Arial"/>
          <w:spacing w:val="-3"/>
          <w:lang w:val="es-ES_tradnl"/>
        </w:rPr>
        <w:t xml:space="preserve">Estado de Situación Financiera al 31/12/2016, los correspondientes </w:t>
      </w:r>
      <w:r w:rsidRPr="002B559C">
        <w:rPr>
          <w:rFonts w:ascii="Arial" w:hAnsi="Arial" w:cs="Arial"/>
        </w:rPr>
        <w:t>Estados del Resultado Integral, de Flujos de Efectivo y de Cambios en el Patrimonio por el ejercicio anual finalizado en esa fecha, presentados en forma comparativa con el Ejercicio anterior, los Anexos y las notas de políticas contables significativas y otras notas explicativas a los estados financieros.</w:t>
      </w:r>
    </w:p>
    <w:p w:rsidR="003F5F7D" w:rsidRPr="002B559C" w:rsidRDefault="003F5F7D" w:rsidP="008448B1">
      <w:pPr>
        <w:pStyle w:val="Textoindependiente"/>
        <w:keepNext/>
        <w:widowControl w:val="0"/>
        <w:spacing w:after="0" w:line="360" w:lineRule="auto"/>
        <w:jc w:val="both"/>
        <w:rPr>
          <w:rFonts w:ascii="Arial" w:hAnsi="Arial" w:cs="Arial"/>
        </w:rPr>
      </w:pPr>
      <w:r w:rsidRPr="002B559C">
        <w:rPr>
          <w:rFonts w:ascii="Arial" w:hAnsi="Arial" w:cs="Arial"/>
        </w:rPr>
        <w:t>También se presentan, en caso de corresponder, los incumplimientos legales constatados por el Tribunal de Cuentas en el curso de la auditoría efectuada.</w:t>
      </w:r>
    </w:p>
    <w:p w:rsidR="003F5F7D" w:rsidRPr="002B559C" w:rsidRDefault="003F5F7D" w:rsidP="008448B1">
      <w:pPr>
        <w:pStyle w:val="Textoindependiente"/>
        <w:keepNext/>
        <w:widowControl w:val="0"/>
        <w:spacing w:after="0" w:line="360" w:lineRule="auto"/>
        <w:jc w:val="both"/>
        <w:rPr>
          <w:rFonts w:ascii="Arial" w:hAnsi="Arial" w:cs="Arial"/>
          <w:b/>
          <w:bCs/>
          <w:highlight w:val="yellow"/>
        </w:rPr>
      </w:pPr>
    </w:p>
    <w:p w:rsidR="003F5F7D" w:rsidRPr="002B559C" w:rsidRDefault="003F5F7D" w:rsidP="008448B1">
      <w:pPr>
        <w:pStyle w:val="Textoindependiente"/>
        <w:keepNext/>
        <w:widowControl w:val="0"/>
        <w:spacing w:after="0" w:line="360" w:lineRule="auto"/>
        <w:jc w:val="both"/>
        <w:rPr>
          <w:rFonts w:ascii="Arial" w:hAnsi="Arial" w:cs="Arial"/>
          <w:b/>
          <w:bCs/>
        </w:rPr>
      </w:pPr>
      <w:r w:rsidRPr="002B559C">
        <w:rPr>
          <w:rFonts w:ascii="Arial" w:hAnsi="Arial" w:cs="Arial"/>
          <w:b/>
          <w:bCs/>
        </w:rPr>
        <w:t>Responsabilidad de la Dirección por los estados financieros</w:t>
      </w:r>
    </w:p>
    <w:p w:rsidR="003F5F7D" w:rsidRDefault="003F5F7D" w:rsidP="008448B1">
      <w:pPr>
        <w:pStyle w:val="Textoindependiente"/>
        <w:keepNext/>
        <w:widowControl w:val="0"/>
        <w:spacing w:after="0" w:line="360" w:lineRule="auto"/>
        <w:jc w:val="both"/>
        <w:rPr>
          <w:rFonts w:ascii="Arial" w:hAnsi="Arial" w:cs="Arial"/>
          <w:bCs/>
        </w:rPr>
      </w:pPr>
      <w:r w:rsidRPr="002B559C">
        <w:rPr>
          <w:rFonts w:ascii="Arial" w:hAnsi="Arial" w:cs="Arial"/>
          <w:bCs/>
        </w:rPr>
        <w:t>La Dirección del BCU es responsable por la preparación y la razonable presentación de estos estados financieros de acuerdo con lo establecido en el Artículo 51 del Texto Ordenado de su Carta Orgánica, que expresa que los estados contables anuales deberán ser “elaborados de acuerdo a criterios técnicos adecuados a la naturaleza de un Banco Central”. Asimismo en la Nota 2.1 a los estados financieros se señala</w:t>
      </w:r>
      <w:r w:rsidRPr="002B559C">
        <w:rPr>
          <w:rFonts w:ascii="Arial" w:hAnsi="Arial" w:cs="Arial"/>
          <w:bCs/>
          <w:color w:val="FF0000"/>
        </w:rPr>
        <w:t xml:space="preserve"> </w:t>
      </w:r>
      <w:r w:rsidRPr="002B559C">
        <w:rPr>
          <w:rFonts w:ascii="Arial" w:hAnsi="Arial" w:cs="Arial"/>
          <w:bCs/>
        </w:rPr>
        <w:t>que “en todo lo que no contradiga las disposiciones legales y reglamentarias antes mencionadas, han sido aplicadas las normas contables adecuadas en el Uruguay”. Los estados se exponen siguiendo un esquema económico contable recomendado por el Centro de Estudios Monetarios Latinoamericanos (C.E.M.L.A.). En lo pertinente la Dirección del BCU es responsable de aplicar los criterios establecidos en la Ordenanza Nº 81 del Tribunal de Cuentas.</w:t>
      </w:r>
    </w:p>
    <w:p w:rsidR="003F5F7D" w:rsidRDefault="003F5F7D" w:rsidP="008448B1">
      <w:pPr>
        <w:pStyle w:val="Textoindependiente"/>
        <w:keepNext/>
        <w:widowControl w:val="0"/>
        <w:spacing w:after="0" w:line="360" w:lineRule="auto"/>
        <w:jc w:val="both"/>
        <w:rPr>
          <w:rFonts w:ascii="Arial" w:hAnsi="Arial" w:cs="Arial"/>
          <w:bCs/>
        </w:rPr>
      </w:pPr>
      <w:r>
        <w:rPr>
          <w:rFonts w:ascii="Arial" w:hAnsi="Arial" w:cs="Arial"/>
          <w:bCs/>
        </w:rPr>
        <w:lastRenderedPageBreak/>
        <w:t xml:space="preserve">Esta responsabilidad incluye </w:t>
      </w:r>
      <w:r w:rsidRPr="0036173F">
        <w:rPr>
          <w:rFonts w:ascii="Arial" w:hAnsi="Arial" w:cs="Arial"/>
          <w:bCs/>
        </w:rPr>
        <w:t>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7A5D80" w:rsidRPr="002B559C" w:rsidRDefault="007A5D80" w:rsidP="008448B1">
      <w:pPr>
        <w:pStyle w:val="Textoindependiente"/>
        <w:keepNext/>
        <w:widowControl w:val="0"/>
        <w:spacing w:after="0" w:line="360" w:lineRule="auto"/>
        <w:jc w:val="both"/>
        <w:rPr>
          <w:rFonts w:ascii="Arial" w:hAnsi="Arial" w:cs="Arial"/>
          <w:bCs/>
        </w:rPr>
      </w:pPr>
    </w:p>
    <w:p w:rsidR="003F5F7D" w:rsidRPr="002B559C" w:rsidRDefault="003F5F7D" w:rsidP="008448B1">
      <w:pPr>
        <w:pStyle w:val="Sangradetextonormal"/>
        <w:keepNext/>
        <w:widowControl w:val="0"/>
        <w:tabs>
          <w:tab w:val="clear" w:pos="2552"/>
        </w:tabs>
        <w:rPr>
          <w:b/>
          <w:szCs w:val="24"/>
          <w:lang w:val="es-ES"/>
        </w:rPr>
      </w:pPr>
      <w:r w:rsidRPr="002B559C">
        <w:rPr>
          <w:b/>
          <w:szCs w:val="24"/>
          <w:lang w:val="es-ES"/>
        </w:rPr>
        <w:t>Responsabilidad del auditor</w:t>
      </w:r>
    </w:p>
    <w:p w:rsidR="003F5F7D" w:rsidRDefault="003F5F7D" w:rsidP="008448B1">
      <w:pPr>
        <w:keepNext/>
        <w:widowControl w:val="0"/>
        <w:spacing w:after="0" w:line="360" w:lineRule="auto"/>
        <w:rPr>
          <w:rFonts w:cs="Arial"/>
          <w:szCs w:val="24"/>
        </w:rPr>
      </w:pPr>
      <w:r w:rsidRPr="002B559C">
        <w:rPr>
          <w:rFonts w:cs="Arial"/>
          <w:szCs w:val="24"/>
        </w:rPr>
        <w:t>La responsabilidad del Tribunal de Cuentas es expresar una opinión sobre dichos estados financieros basada en la auditoría realizada. Esta auditoría fue practicada de acuerdo con los Principios Fundamentales de Auditoría</w:t>
      </w:r>
      <w:r>
        <w:rPr>
          <w:rFonts w:cs="Arial"/>
          <w:szCs w:val="24"/>
        </w:rPr>
        <w:t xml:space="preserve">                      </w:t>
      </w:r>
      <w:r w:rsidRPr="002B559C">
        <w:rPr>
          <w:rFonts w:cs="Arial"/>
          <w:szCs w:val="24"/>
        </w:rPr>
        <w:t>(ISSAI 100 y 200) y las Directrices de Auditoría Financiera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w:t>
      </w:r>
    </w:p>
    <w:p w:rsidR="008448B1" w:rsidRPr="002B559C" w:rsidRDefault="008448B1" w:rsidP="008448B1">
      <w:pPr>
        <w:keepNext/>
        <w:widowControl w:val="0"/>
        <w:spacing w:after="0" w:line="360" w:lineRule="auto"/>
        <w:rPr>
          <w:rFonts w:cs="Arial"/>
          <w:szCs w:val="24"/>
        </w:rPr>
      </w:pPr>
    </w:p>
    <w:p w:rsidR="003F5F7D" w:rsidRDefault="003F5F7D" w:rsidP="008448B1">
      <w:pPr>
        <w:keepNext/>
        <w:widowControl w:val="0"/>
        <w:spacing w:after="0" w:line="360" w:lineRule="auto"/>
        <w:rPr>
          <w:rFonts w:cs="Arial"/>
          <w:szCs w:val="24"/>
        </w:rPr>
      </w:pPr>
      <w:r w:rsidRPr="002B559C">
        <w:rPr>
          <w:rFonts w:cs="Arial"/>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3F5F7D" w:rsidRPr="002B559C" w:rsidRDefault="003F5F7D" w:rsidP="008448B1">
      <w:pPr>
        <w:keepNext/>
        <w:widowControl w:val="0"/>
        <w:spacing w:after="0" w:line="360" w:lineRule="auto"/>
        <w:rPr>
          <w:rFonts w:cs="Arial"/>
          <w:szCs w:val="24"/>
        </w:rPr>
      </w:pPr>
      <w:r w:rsidRPr="002B559C">
        <w:rPr>
          <w:rFonts w:cs="Arial"/>
          <w:szCs w:val="24"/>
        </w:rPr>
        <w:lastRenderedPageBreak/>
        <w:t>Se considera que la evidencia de auditoría obtenida brinda una base suficiente y apropiada para sustentar la opinión.</w:t>
      </w:r>
    </w:p>
    <w:p w:rsidR="003F5F7D" w:rsidRDefault="003F5F7D" w:rsidP="008448B1">
      <w:pPr>
        <w:keepNext/>
        <w:widowControl w:val="0"/>
        <w:spacing w:after="0" w:line="360" w:lineRule="auto"/>
        <w:rPr>
          <w:rFonts w:cs="Arial"/>
          <w:szCs w:val="24"/>
        </w:rPr>
      </w:pPr>
    </w:p>
    <w:p w:rsidR="003F5F7D" w:rsidRPr="002B559C" w:rsidRDefault="003F5F7D" w:rsidP="008448B1">
      <w:pPr>
        <w:keepNext/>
        <w:widowControl w:val="0"/>
        <w:spacing w:after="0" w:line="360" w:lineRule="auto"/>
        <w:rPr>
          <w:rFonts w:cs="Arial"/>
          <w:szCs w:val="24"/>
        </w:rPr>
      </w:pPr>
      <w:r w:rsidRPr="002B559C">
        <w:rPr>
          <w:rFonts w:cs="Arial"/>
          <w:b/>
          <w:bCs/>
          <w:spacing w:val="-3"/>
          <w:szCs w:val="24"/>
          <w:lang w:val="es-ES_tradnl"/>
        </w:rPr>
        <w:t>Opinión</w:t>
      </w:r>
    </w:p>
    <w:p w:rsidR="003F5F7D" w:rsidRPr="002B559C" w:rsidRDefault="003F5F7D" w:rsidP="008448B1">
      <w:pPr>
        <w:keepNext/>
        <w:widowControl w:val="0"/>
        <w:spacing w:after="0" w:line="360" w:lineRule="auto"/>
        <w:rPr>
          <w:rFonts w:cs="Arial"/>
          <w:szCs w:val="24"/>
        </w:rPr>
      </w:pPr>
      <w:r w:rsidRPr="002B559C">
        <w:rPr>
          <w:rFonts w:cs="Arial"/>
          <w:szCs w:val="24"/>
        </w:rPr>
        <w:t xml:space="preserve">En opinión del Tribunal de Cuentas los estados financieros referidos precedentemente presentan razonablemente, en todos sus aspectos importantes, la situación patrimonial del BCU al 31/12/2016, los resultados de sus operaciones y los flujos de efectivo correspondientes al ejercicio anual terminado en esa fecha, de acuerdo con </w:t>
      </w:r>
      <w:r w:rsidRPr="002B559C">
        <w:rPr>
          <w:rFonts w:cs="Arial"/>
          <w:bCs/>
          <w:szCs w:val="24"/>
        </w:rPr>
        <w:t>las normas contables adecuadas y las recomendaciones del Centro de Estudios Monetarios Latinoamericanos (C.E.M.L.A.) así como con los criterios establecidos en la Ordenanza Nº 81 del Tribunal de Cuentas.</w:t>
      </w:r>
    </w:p>
    <w:p w:rsidR="003F5F7D" w:rsidRPr="002B559C" w:rsidRDefault="003F5F7D" w:rsidP="008448B1">
      <w:pPr>
        <w:pStyle w:val="Sangradetextonormal"/>
        <w:keepNext/>
        <w:widowControl w:val="0"/>
        <w:tabs>
          <w:tab w:val="clear" w:pos="2552"/>
        </w:tabs>
        <w:rPr>
          <w:szCs w:val="24"/>
        </w:rPr>
      </w:pPr>
      <w:r w:rsidRPr="002B559C">
        <w:rPr>
          <w:szCs w:val="24"/>
        </w:rPr>
        <w:t>Con relación a la normativa vigente, en el curso de la auditoría realizada, no se han constatado incumplimientos.</w:t>
      </w:r>
    </w:p>
    <w:p w:rsidR="003F5F7D" w:rsidRPr="002B559C" w:rsidRDefault="003F5F7D" w:rsidP="008448B1">
      <w:pPr>
        <w:keepNext/>
        <w:widowControl w:val="0"/>
        <w:jc w:val="right"/>
        <w:rPr>
          <w:rFonts w:cs="Arial"/>
          <w:szCs w:val="24"/>
        </w:rPr>
      </w:pPr>
      <w:r w:rsidRPr="002B559C">
        <w:rPr>
          <w:rFonts w:cs="Arial"/>
          <w:szCs w:val="24"/>
        </w:rPr>
        <w:t>Montevideo, 22 de junio 2017</w:t>
      </w:r>
    </w:p>
    <w:p w:rsidR="003F5F7D" w:rsidRDefault="003F5F7D" w:rsidP="008448B1">
      <w:pPr>
        <w:keepNext/>
        <w:widowControl w:val="0"/>
        <w:rPr>
          <w:rFonts w:cs="Arial"/>
          <w:b/>
          <w:szCs w:val="24"/>
          <w:lang w:val="es-MX"/>
        </w:rPr>
      </w:pPr>
    </w:p>
    <w:p w:rsidR="003F5F7D" w:rsidRDefault="003F5F7D" w:rsidP="008448B1">
      <w:pPr>
        <w:keepNext/>
        <w:widowControl w:val="0"/>
        <w:spacing w:after="0" w:line="360" w:lineRule="auto"/>
        <w:jc w:val="center"/>
        <w:rPr>
          <w:rFonts w:cs="Arial"/>
          <w:b/>
          <w:szCs w:val="24"/>
        </w:rPr>
      </w:pPr>
      <w:r w:rsidRPr="002B559C">
        <w:rPr>
          <w:rFonts w:cs="Arial"/>
          <w:b/>
          <w:szCs w:val="24"/>
        </w:rPr>
        <w:t>INFORME A LA ADMINISTRACIÓN</w:t>
      </w:r>
    </w:p>
    <w:p w:rsidR="003F5F7D" w:rsidRDefault="003F5F7D" w:rsidP="008448B1">
      <w:pPr>
        <w:keepNext/>
        <w:widowControl w:val="0"/>
        <w:spacing w:after="0" w:line="360" w:lineRule="auto"/>
        <w:jc w:val="left"/>
        <w:rPr>
          <w:rFonts w:cs="Arial"/>
          <w:szCs w:val="24"/>
        </w:rPr>
      </w:pPr>
    </w:p>
    <w:p w:rsidR="003F5F7D" w:rsidRPr="002B559C" w:rsidRDefault="003F5F7D" w:rsidP="008448B1">
      <w:pPr>
        <w:keepNext/>
        <w:widowControl w:val="0"/>
        <w:spacing w:after="0" w:line="360" w:lineRule="auto"/>
        <w:rPr>
          <w:rFonts w:cs="Arial"/>
          <w:szCs w:val="24"/>
        </w:rPr>
      </w:pPr>
      <w:r w:rsidRPr="002B559C">
        <w:rPr>
          <w:rFonts w:cs="Arial"/>
          <w:szCs w:val="24"/>
        </w:rPr>
        <w:t>El Tribunal de Cuentas ha examinado los estados financieros del Banco Central del Uruguay (BCU) correspondientes al ejercicio finalizado el 31/12/2016 y ha emitido su Dictamen.</w:t>
      </w:r>
    </w:p>
    <w:p w:rsidR="003F5F7D" w:rsidRPr="002B559C" w:rsidRDefault="003F5F7D" w:rsidP="008448B1">
      <w:pPr>
        <w:keepNext/>
        <w:widowControl w:val="0"/>
        <w:spacing w:after="0" w:line="360" w:lineRule="auto"/>
        <w:rPr>
          <w:rFonts w:cs="Arial"/>
          <w:szCs w:val="24"/>
        </w:rPr>
      </w:pPr>
      <w:r w:rsidRPr="002B559C">
        <w:rPr>
          <w:rFonts w:cs="Arial"/>
          <w:szCs w:val="24"/>
        </w:rPr>
        <w:t>En este capítulo del informe se agregan consideraciones vinculadas a la presentación de dichos estados y la evaluación del sistema de control interno, así como otros comentarios que se ha entendido conveniente exponer.</w:t>
      </w:r>
    </w:p>
    <w:p w:rsidR="003F5F7D" w:rsidRPr="002B559C" w:rsidRDefault="003F5F7D" w:rsidP="008448B1">
      <w:pPr>
        <w:keepNext/>
        <w:widowControl w:val="0"/>
        <w:spacing w:after="0" w:line="360" w:lineRule="auto"/>
        <w:rPr>
          <w:rFonts w:cs="Arial"/>
          <w:szCs w:val="24"/>
        </w:rPr>
      </w:pPr>
      <w:r w:rsidRPr="002B559C">
        <w:rPr>
          <w:rFonts w:cs="Arial"/>
          <w:szCs w:val="24"/>
        </w:rPr>
        <w:t>También se incluyen las principales recomendaciones que deberá atender el Organismo a efectos de corregir las deficiencias constatadas en el examen practicado y se formula una evaluación del cumplimiento de las recomendaciones realizadas en el Informe de auditoría del ejercicio anterior.</w:t>
      </w:r>
    </w:p>
    <w:p w:rsidR="003F5F7D" w:rsidRPr="002B559C" w:rsidRDefault="003F5F7D" w:rsidP="008448B1">
      <w:pPr>
        <w:keepNext/>
        <w:widowControl w:val="0"/>
        <w:spacing w:after="0" w:line="360" w:lineRule="auto"/>
        <w:rPr>
          <w:rFonts w:cs="Arial"/>
          <w:szCs w:val="24"/>
        </w:rPr>
      </w:pPr>
    </w:p>
    <w:p w:rsidR="003F5F7D" w:rsidRDefault="003F5F7D" w:rsidP="008448B1">
      <w:pPr>
        <w:keepNext/>
        <w:widowControl w:val="0"/>
        <w:numPr>
          <w:ilvl w:val="0"/>
          <w:numId w:val="4"/>
        </w:numPr>
        <w:spacing w:after="0" w:line="360" w:lineRule="auto"/>
        <w:rPr>
          <w:rFonts w:cs="Arial"/>
          <w:b/>
          <w:szCs w:val="24"/>
        </w:rPr>
      </w:pPr>
      <w:r w:rsidRPr="002B559C">
        <w:rPr>
          <w:rFonts w:cs="Arial"/>
          <w:b/>
          <w:szCs w:val="24"/>
        </w:rPr>
        <w:lastRenderedPageBreak/>
        <w:t>Presentación de estados financieros</w:t>
      </w:r>
    </w:p>
    <w:p w:rsidR="003F5F7D" w:rsidRPr="002B559C" w:rsidRDefault="003F5F7D" w:rsidP="008448B1">
      <w:pPr>
        <w:keepNext/>
        <w:widowControl w:val="0"/>
        <w:spacing w:after="0" w:line="360" w:lineRule="auto"/>
        <w:ind w:left="60"/>
        <w:rPr>
          <w:rFonts w:cs="Arial"/>
          <w:szCs w:val="24"/>
        </w:rPr>
      </w:pPr>
      <w:r w:rsidRPr="002B559C">
        <w:rPr>
          <w:rFonts w:cs="Arial"/>
          <w:szCs w:val="24"/>
        </w:rPr>
        <w:t xml:space="preserve">El BCU remitió a este Tribunal con fecha 24/03/2017, el Estado de Situación Financiera al 31/12/2016, </w:t>
      </w:r>
      <w:r w:rsidRPr="002B559C">
        <w:rPr>
          <w:rFonts w:cs="Arial"/>
          <w:spacing w:val="-3"/>
          <w:szCs w:val="24"/>
          <w:lang w:val="es-ES_tradnl"/>
        </w:rPr>
        <w:t xml:space="preserve">los correspondientes </w:t>
      </w:r>
      <w:r w:rsidRPr="002B559C">
        <w:rPr>
          <w:rFonts w:cs="Arial"/>
          <w:szCs w:val="24"/>
        </w:rPr>
        <w:t>Estados del Resultado Integral, de Flujos de Efectivo en forma comparativa con el ejercicio anterior, y de Cambios en el Patrimonio por el ejercicio anual finalizado en esa fecha, los Anexos y las notas de políticas contables significativas y otras notas explicativas a los estados financiero. Los mismos fueron</w:t>
      </w:r>
      <w:r w:rsidRPr="002B559C">
        <w:rPr>
          <w:rFonts w:cs="Arial"/>
          <w:color w:val="FF0000"/>
          <w:szCs w:val="24"/>
        </w:rPr>
        <w:t xml:space="preserve"> </w:t>
      </w:r>
      <w:r w:rsidRPr="002B559C">
        <w:rPr>
          <w:rFonts w:cs="Arial"/>
          <w:szCs w:val="24"/>
        </w:rPr>
        <w:t>aprobados por Resolución de Directorio N° D/79/2017, según consta en Acta Nº 3307 del 22/03/2017. Fueron remitidos también</w:t>
      </w:r>
      <w:r w:rsidRPr="002B559C">
        <w:rPr>
          <w:rFonts w:cs="Arial"/>
          <w:color w:val="FF0000"/>
          <w:szCs w:val="24"/>
        </w:rPr>
        <w:t xml:space="preserve"> </w:t>
      </w:r>
      <w:r w:rsidRPr="002B559C">
        <w:rPr>
          <w:rFonts w:cs="Arial"/>
          <w:szCs w:val="24"/>
        </w:rPr>
        <w:t>la Carta de Representación y el Anexo a la Carta de Representación de la Gerencia.</w:t>
      </w:r>
    </w:p>
    <w:p w:rsidR="003F5F7D" w:rsidRPr="002B559C" w:rsidRDefault="003F5F7D" w:rsidP="008448B1">
      <w:pPr>
        <w:keepNext/>
        <w:widowControl w:val="0"/>
        <w:spacing w:after="0" w:line="360" w:lineRule="auto"/>
        <w:ind w:left="60"/>
        <w:rPr>
          <w:rFonts w:cs="Arial"/>
          <w:bCs/>
          <w:szCs w:val="24"/>
          <w:lang w:val="es-ES"/>
        </w:rPr>
      </w:pPr>
      <w:r w:rsidRPr="002B559C">
        <w:rPr>
          <w:rFonts w:cs="Arial"/>
          <w:szCs w:val="24"/>
        </w:rPr>
        <w:t xml:space="preserve">Dichos estados fueron preparados </w:t>
      </w:r>
      <w:r w:rsidRPr="002B559C">
        <w:rPr>
          <w:rFonts w:cs="Arial"/>
          <w:bCs/>
          <w:szCs w:val="24"/>
          <w:lang w:val="es-ES"/>
        </w:rPr>
        <w:t>de acuerdo con las normas legales y reglamentarias aplicables al BCU, en particular las establecidas en el artículo 51 del Texto Ordenado de su Carta Orgánica, que expresa que los estados contables anuales serán elaborados “de acuerdo con criterios técnicos adecuados a la naturaleza de un Banco Central”. Según se señala en la</w:t>
      </w:r>
      <w:r w:rsidRPr="002B559C">
        <w:rPr>
          <w:rFonts w:cs="Arial"/>
          <w:bCs/>
          <w:color w:val="FF0000"/>
          <w:szCs w:val="24"/>
          <w:lang w:val="es-ES"/>
        </w:rPr>
        <w:t xml:space="preserve"> </w:t>
      </w:r>
      <w:r w:rsidRPr="002B559C">
        <w:rPr>
          <w:rFonts w:cs="Arial"/>
          <w:bCs/>
          <w:szCs w:val="24"/>
          <w:lang w:val="es-ES"/>
        </w:rPr>
        <w:t xml:space="preserve">Nota 2.1 a los estados financieros, en todo lo que no contradiga las disposiciones legales  y  reglamentarias  antes mencionadas, han sido aplicadas las Normas </w:t>
      </w:r>
    </w:p>
    <w:p w:rsidR="003F5F7D" w:rsidRPr="002B559C" w:rsidRDefault="003F5F7D" w:rsidP="008448B1">
      <w:pPr>
        <w:pStyle w:val="Sangradetextonormal"/>
        <w:keepNext/>
        <w:widowControl w:val="0"/>
        <w:tabs>
          <w:tab w:val="clear" w:pos="2552"/>
        </w:tabs>
        <w:rPr>
          <w:bCs/>
          <w:szCs w:val="24"/>
          <w:lang w:val="es-ES"/>
        </w:rPr>
      </w:pPr>
      <w:r w:rsidRPr="002B559C">
        <w:rPr>
          <w:bCs/>
          <w:szCs w:val="24"/>
          <w:lang w:val="es-ES"/>
        </w:rPr>
        <w:t>Contables adecuadas en el Uruguay. Los estados se exponen siguiendo un esquema económico-contable recomendado por el Centro de Estudios Monetarios Latinoamericanos (C.E.M.L.A.).</w:t>
      </w:r>
    </w:p>
    <w:p w:rsidR="003F5F7D" w:rsidRPr="002B559C" w:rsidRDefault="003F5F7D" w:rsidP="008448B1">
      <w:pPr>
        <w:pStyle w:val="Sangradetextonormal"/>
        <w:keepNext/>
        <w:widowControl w:val="0"/>
        <w:tabs>
          <w:tab w:val="clear" w:pos="2552"/>
        </w:tabs>
        <w:rPr>
          <w:bCs/>
          <w:szCs w:val="24"/>
          <w:highlight w:val="yellow"/>
          <w:lang w:val="es-ES"/>
        </w:rPr>
      </w:pPr>
    </w:p>
    <w:p w:rsidR="003F5F7D" w:rsidRPr="002B559C" w:rsidRDefault="003F5F7D" w:rsidP="008448B1">
      <w:pPr>
        <w:pStyle w:val="Textoindependiente"/>
        <w:keepNext/>
        <w:widowControl w:val="0"/>
        <w:shd w:val="clear" w:color="auto" w:fill="FFFFFF"/>
        <w:spacing w:after="0" w:line="360" w:lineRule="auto"/>
        <w:jc w:val="both"/>
        <w:rPr>
          <w:rFonts w:ascii="Arial" w:hAnsi="Arial" w:cs="Arial"/>
          <w:b/>
        </w:rPr>
      </w:pPr>
      <w:r w:rsidRPr="002B559C">
        <w:rPr>
          <w:rFonts w:ascii="Arial" w:hAnsi="Arial" w:cs="Arial"/>
          <w:b/>
        </w:rPr>
        <w:t>2</w:t>
      </w:r>
      <w:r w:rsidRPr="002B559C">
        <w:rPr>
          <w:rFonts w:ascii="Arial" w:hAnsi="Arial" w:cs="Arial"/>
          <w:b/>
        </w:rPr>
        <w:tab/>
        <w:t>Consideraciones relativas a la</w:t>
      </w:r>
      <w:r w:rsidRPr="002B559C">
        <w:rPr>
          <w:rFonts w:ascii="Arial" w:hAnsi="Arial" w:cs="Arial"/>
          <w:b/>
          <w:color w:val="FF0000"/>
        </w:rPr>
        <w:t xml:space="preserve"> </w:t>
      </w:r>
      <w:r w:rsidRPr="002B559C">
        <w:rPr>
          <w:rFonts w:ascii="Arial" w:hAnsi="Arial" w:cs="Arial"/>
          <w:b/>
        </w:rPr>
        <w:t>valuación de créditos</w:t>
      </w:r>
    </w:p>
    <w:p w:rsidR="003F5F7D" w:rsidRPr="002B559C" w:rsidRDefault="003F5F7D" w:rsidP="008448B1">
      <w:pPr>
        <w:pStyle w:val="Sangradetextonormal"/>
        <w:keepNext/>
        <w:widowControl w:val="0"/>
        <w:shd w:val="clear" w:color="auto" w:fill="FFFFFF"/>
        <w:tabs>
          <w:tab w:val="clear" w:pos="2552"/>
          <w:tab w:val="left" w:pos="0"/>
        </w:tabs>
        <w:spacing w:before="240"/>
        <w:rPr>
          <w:szCs w:val="24"/>
          <w:lang w:val="es-ES"/>
        </w:rPr>
      </w:pPr>
      <w:r w:rsidRPr="002B559C">
        <w:rPr>
          <w:szCs w:val="24"/>
          <w:lang w:val="es-ES"/>
        </w:rPr>
        <w:t xml:space="preserve">En el Activo al 31/12/2016 se expone el Rubro “Crédito al Sector Público no Financiero” por millones de $ 26.163, que incluye créditos que el BCU mantiene con el Ministerio de Economía y Finanzas (MEF) por saldos de </w:t>
      </w:r>
      <w:r w:rsidRPr="002B559C">
        <w:rPr>
          <w:bCs/>
          <w:szCs w:val="24"/>
        </w:rPr>
        <w:t>operaciones realizadas en los años 1991, 2002 y 2003 por un total de millones de $ 16.449, que representan un 2,7% del Activo. Los mismos no han sido amortizados y no  se han establecido condiciones para su cancelación.</w:t>
      </w:r>
    </w:p>
    <w:p w:rsidR="003F5F7D" w:rsidRPr="002B559C" w:rsidRDefault="003F5F7D" w:rsidP="008448B1">
      <w:pPr>
        <w:pStyle w:val="Sangradetextonormal"/>
        <w:keepNext/>
        <w:widowControl w:val="0"/>
        <w:shd w:val="clear" w:color="auto" w:fill="FFFFFF"/>
        <w:tabs>
          <w:tab w:val="clear" w:pos="2552"/>
          <w:tab w:val="left" w:pos="0"/>
        </w:tabs>
        <w:spacing w:before="240"/>
        <w:rPr>
          <w:bCs/>
          <w:szCs w:val="24"/>
        </w:rPr>
      </w:pPr>
      <w:r w:rsidRPr="002B559C">
        <w:rPr>
          <w:bCs/>
          <w:szCs w:val="24"/>
        </w:rPr>
        <w:lastRenderedPageBreak/>
        <w:t>Si bien el BCU ha avanzado en el ajuste de valor del crédito, se considera que el mismo será</w:t>
      </w:r>
      <w:r>
        <w:rPr>
          <w:bCs/>
          <w:szCs w:val="24"/>
        </w:rPr>
        <w:t xml:space="preserve"> llevado a pérdida en </w:t>
      </w:r>
      <w:r w:rsidRPr="002B559C">
        <w:rPr>
          <w:bCs/>
          <w:szCs w:val="24"/>
        </w:rPr>
        <w:t xml:space="preserve">su totalidad </w:t>
      </w:r>
      <w:r>
        <w:rPr>
          <w:bCs/>
          <w:szCs w:val="24"/>
        </w:rPr>
        <w:t xml:space="preserve">a través de amortizaciones anuales en </w:t>
      </w:r>
      <w:r w:rsidRPr="002B559C">
        <w:rPr>
          <w:bCs/>
          <w:szCs w:val="24"/>
        </w:rPr>
        <w:t>un período de 15 años, por lo que el valor expuesto en los estados financieros</w:t>
      </w:r>
      <w:r w:rsidRPr="002B559C">
        <w:rPr>
          <w:bCs/>
          <w:color w:val="FF0000"/>
          <w:szCs w:val="24"/>
        </w:rPr>
        <w:t xml:space="preserve"> </w:t>
      </w:r>
      <w:r w:rsidRPr="002B559C">
        <w:rPr>
          <w:bCs/>
          <w:szCs w:val="24"/>
        </w:rPr>
        <w:t>no es representativo de su realidad crediticia.</w:t>
      </w:r>
    </w:p>
    <w:p w:rsidR="003F5F7D" w:rsidRPr="002B559C" w:rsidRDefault="003F5F7D" w:rsidP="008448B1">
      <w:pPr>
        <w:pStyle w:val="Sangradetextonormal"/>
        <w:keepNext/>
        <w:widowControl w:val="0"/>
        <w:shd w:val="clear" w:color="auto" w:fill="FFFFFF"/>
        <w:tabs>
          <w:tab w:val="clear" w:pos="2552"/>
          <w:tab w:val="left" w:pos="0"/>
        </w:tabs>
        <w:rPr>
          <w:bCs/>
          <w:szCs w:val="24"/>
          <w:highlight w:val="yellow"/>
        </w:rPr>
      </w:pPr>
    </w:p>
    <w:p w:rsidR="003F5F7D" w:rsidRPr="002B559C" w:rsidRDefault="003F5F7D" w:rsidP="008448B1">
      <w:pPr>
        <w:pStyle w:val="Sangra2detindependiente"/>
        <w:keepNext/>
        <w:widowControl w:val="0"/>
        <w:numPr>
          <w:ilvl w:val="0"/>
          <w:numId w:val="3"/>
        </w:numPr>
        <w:spacing w:after="0" w:line="360" w:lineRule="auto"/>
        <w:rPr>
          <w:rFonts w:cs="Arial"/>
          <w:b/>
          <w:bCs/>
          <w:szCs w:val="24"/>
        </w:rPr>
      </w:pPr>
      <w:r w:rsidRPr="002B559C">
        <w:rPr>
          <w:rFonts w:cs="Arial"/>
          <w:b/>
          <w:bCs/>
          <w:szCs w:val="24"/>
        </w:rPr>
        <w:t>Evaluación del sistema de control  interno</w:t>
      </w:r>
    </w:p>
    <w:p w:rsidR="003F5F7D" w:rsidRPr="002B559C" w:rsidRDefault="003F5F7D" w:rsidP="008448B1">
      <w:pPr>
        <w:pStyle w:val="Sangra2detindependiente"/>
        <w:keepNext/>
        <w:widowControl w:val="0"/>
        <w:spacing w:before="240" w:after="0" w:line="360" w:lineRule="auto"/>
        <w:ind w:left="0"/>
        <w:rPr>
          <w:rFonts w:cs="Arial"/>
          <w:szCs w:val="24"/>
        </w:rPr>
      </w:pPr>
      <w:r w:rsidRPr="002B559C">
        <w:rPr>
          <w:rFonts w:cs="Arial"/>
          <w:szCs w:val="24"/>
        </w:rPr>
        <w:t>La evaluación del sistema de control interno no fue realizada a efectos de emitir una opinión respecto al mismo, sino para establecer los procedimientos de auditoría que debían aplicarse como prueba de la eficacia de los controles implementados en relación con el objetivo de la auditoría practicada.</w:t>
      </w:r>
    </w:p>
    <w:p w:rsidR="003F5F7D" w:rsidRDefault="003F5F7D" w:rsidP="008448B1">
      <w:pPr>
        <w:pStyle w:val="Sangra2detindependiente"/>
        <w:keepNext/>
        <w:widowControl w:val="0"/>
        <w:spacing w:before="240" w:after="0" w:line="360" w:lineRule="auto"/>
        <w:ind w:left="0"/>
        <w:rPr>
          <w:rFonts w:cs="Arial"/>
          <w:szCs w:val="24"/>
        </w:rPr>
      </w:pPr>
      <w:r w:rsidRPr="002B559C">
        <w:rPr>
          <w:rFonts w:cs="Arial"/>
          <w:szCs w:val="24"/>
        </w:rPr>
        <w:t>Del examen efectuado se concluye que el sistema de control interno diseñado e implementado para preparar la información sujeta a examen es adecuado.</w:t>
      </w:r>
    </w:p>
    <w:p w:rsidR="003F5F7D" w:rsidRPr="002B559C" w:rsidRDefault="003F5F7D" w:rsidP="008448B1">
      <w:pPr>
        <w:pStyle w:val="Ttulo1"/>
        <w:widowControl w:val="0"/>
        <w:numPr>
          <w:ilvl w:val="0"/>
          <w:numId w:val="3"/>
        </w:numPr>
        <w:tabs>
          <w:tab w:val="clear" w:pos="525"/>
        </w:tabs>
        <w:ind w:left="720" w:hanging="720"/>
        <w:jc w:val="both"/>
      </w:pPr>
      <w:r w:rsidRPr="002B559C">
        <w:t>Recomendaciones</w:t>
      </w:r>
    </w:p>
    <w:p w:rsidR="003F5F7D" w:rsidRPr="002B559C" w:rsidRDefault="003F5F7D" w:rsidP="008448B1">
      <w:pPr>
        <w:pStyle w:val="Sangradetextonormal"/>
        <w:keepNext/>
        <w:widowControl w:val="0"/>
        <w:tabs>
          <w:tab w:val="clear" w:pos="2552"/>
        </w:tabs>
        <w:rPr>
          <w:szCs w:val="24"/>
        </w:rPr>
      </w:pPr>
      <w:r w:rsidRPr="002B559C">
        <w:rPr>
          <w:szCs w:val="24"/>
        </w:rPr>
        <w:t>Efectuado el seguimiento de las recomendaciones formuladas en informes de auditoría de ejercicios anteriores se concluye que:</w:t>
      </w:r>
    </w:p>
    <w:p w:rsidR="003F5F7D" w:rsidRPr="002B559C" w:rsidRDefault="003F5F7D" w:rsidP="008448B1">
      <w:pPr>
        <w:pStyle w:val="NormalWeb"/>
        <w:keepNext/>
        <w:widowControl w:val="0"/>
        <w:numPr>
          <w:ilvl w:val="1"/>
          <w:numId w:val="2"/>
        </w:numPr>
        <w:tabs>
          <w:tab w:val="clear" w:pos="1080"/>
          <w:tab w:val="num" w:pos="720"/>
        </w:tabs>
        <w:spacing w:before="0" w:beforeAutospacing="0" w:after="0" w:afterAutospacing="0" w:line="360" w:lineRule="auto"/>
        <w:ind w:hanging="1080"/>
        <w:rPr>
          <w:rFonts w:ascii="Arial" w:hAnsi="Arial" w:cs="Arial"/>
          <w:b/>
          <w:bCs/>
        </w:rPr>
      </w:pPr>
      <w:r w:rsidRPr="002B559C">
        <w:rPr>
          <w:rFonts w:ascii="Arial" w:hAnsi="Arial" w:cs="Arial"/>
          <w:b/>
          <w:bCs/>
        </w:rPr>
        <w:t>Recomendación no cumplida</w:t>
      </w:r>
    </w:p>
    <w:p w:rsidR="003F5F7D" w:rsidRPr="002B559C" w:rsidRDefault="003F5F7D" w:rsidP="008448B1">
      <w:pPr>
        <w:pStyle w:val="Sangradetextonormal"/>
        <w:keepNext/>
        <w:widowControl w:val="0"/>
        <w:shd w:val="clear" w:color="auto" w:fill="FFFFFF"/>
        <w:tabs>
          <w:tab w:val="clear" w:pos="2552"/>
          <w:tab w:val="left" w:pos="0"/>
        </w:tabs>
        <w:spacing w:before="240"/>
        <w:rPr>
          <w:bCs/>
          <w:iCs/>
          <w:szCs w:val="24"/>
        </w:rPr>
      </w:pPr>
      <w:r w:rsidRPr="002B559C">
        <w:rPr>
          <w:bCs/>
          <w:szCs w:val="24"/>
        </w:rPr>
        <w:t xml:space="preserve">Si bien el BCU continúo avanzando en el proceso de  ajuste de valor de los créditos con el MEF detallados en el Numeral 2 de este informe, amortizando </w:t>
      </w:r>
      <w:r w:rsidRPr="002B559C">
        <w:rPr>
          <w:bCs/>
          <w:iCs/>
          <w:szCs w:val="24"/>
        </w:rPr>
        <w:t>dichos créditos de acuerdo a lo dispuesto por las Resoluciones de Directorio D330/11 y D/238/15,</w:t>
      </w:r>
      <w:r w:rsidRPr="002B559C">
        <w:rPr>
          <w:bCs/>
          <w:szCs w:val="24"/>
        </w:rPr>
        <w:t xml:space="preserve"> el valor expuesto al cierre no es representativo de su realidad crediticia, por lo que el mismo debería ser ajustado.</w:t>
      </w:r>
    </w:p>
    <w:p w:rsidR="003F5F7D" w:rsidRPr="002B559C" w:rsidRDefault="003F5F7D" w:rsidP="008448B1">
      <w:pPr>
        <w:pStyle w:val="NormalWeb"/>
        <w:keepNext/>
        <w:widowControl w:val="0"/>
        <w:numPr>
          <w:ilvl w:val="1"/>
          <w:numId w:val="2"/>
        </w:numPr>
        <w:tabs>
          <w:tab w:val="clear" w:pos="1080"/>
          <w:tab w:val="num" w:pos="720"/>
        </w:tabs>
        <w:spacing w:before="240" w:beforeAutospacing="0" w:after="0" w:afterAutospacing="0" w:line="360" w:lineRule="auto"/>
        <w:ind w:hanging="1080"/>
        <w:rPr>
          <w:rFonts w:ascii="Arial" w:hAnsi="Arial" w:cs="Arial"/>
          <w:b/>
          <w:bCs/>
        </w:rPr>
      </w:pPr>
      <w:r w:rsidRPr="002B559C">
        <w:rPr>
          <w:rFonts w:ascii="Arial" w:hAnsi="Arial" w:cs="Arial"/>
          <w:b/>
          <w:bCs/>
        </w:rPr>
        <w:t>Recomendaciones del presente ejercicio</w:t>
      </w:r>
    </w:p>
    <w:p w:rsidR="003F5F7D" w:rsidRPr="002B559C" w:rsidRDefault="003F5F7D" w:rsidP="008448B1">
      <w:pPr>
        <w:pStyle w:val="NormalWeb"/>
        <w:keepNext/>
        <w:widowControl w:val="0"/>
        <w:spacing w:before="240" w:beforeAutospacing="0" w:after="0" w:afterAutospacing="0" w:line="360" w:lineRule="auto"/>
        <w:ind w:firstLine="0"/>
        <w:rPr>
          <w:rFonts w:ascii="Arial" w:hAnsi="Arial" w:cs="Arial"/>
        </w:rPr>
      </w:pPr>
      <w:r w:rsidRPr="002B559C">
        <w:rPr>
          <w:rFonts w:ascii="Arial" w:hAnsi="Arial" w:cs="Arial"/>
        </w:rPr>
        <w:t>Se reitera la recomendación no cumplida del ejercicio anterior.</w:t>
      </w:r>
    </w:p>
    <w:p w:rsidR="003F5F7D" w:rsidRDefault="003F5F7D" w:rsidP="008448B1">
      <w:pPr>
        <w:keepNext/>
        <w:widowControl w:val="0"/>
        <w:jc w:val="right"/>
        <w:rPr>
          <w:rFonts w:cs="Arial"/>
          <w:szCs w:val="24"/>
          <w:lang w:val="es-MX"/>
        </w:rPr>
      </w:pPr>
      <w:r w:rsidRPr="002B559C">
        <w:rPr>
          <w:rFonts w:cs="Arial"/>
          <w:szCs w:val="24"/>
          <w:lang w:val="es-MX"/>
        </w:rPr>
        <w:t>Montevideo, 22 de junio de 2017</w:t>
      </w:r>
    </w:p>
    <w:p w:rsidR="003F5F7D" w:rsidRPr="003F5F7D" w:rsidRDefault="003F5F7D" w:rsidP="008448B1">
      <w:pPr>
        <w:keepNext/>
        <w:widowControl w:val="0"/>
        <w:rPr>
          <w:rFonts w:cs="Arial"/>
          <w:szCs w:val="24"/>
          <w:lang w:val="es-MX"/>
        </w:rPr>
      </w:pPr>
      <w:proofErr w:type="spellStart"/>
      <w:proofErr w:type="gramStart"/>
      <w:r>
        <w:rPr>
          <w:rFonts w:cs="Arial"/>
          <w:szCs w:val="24"/>
          <w:lang w:val="es-MX"/>
        </w:rPr>
        <w:t>ag</w:t>
      </w:r>
      <w:proofErr w:type="spellEnd"/>
      <w:proofErr w:type="gramEnd"/>
    </w:p>
    <w:sectPr w:rsidR="003F5F7D" w:rsidRPr="003F5F7D" w:rsidSect="002B14DD">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E29"/>
    <w:multiLevelType w:val="hybridMultilevel"/>
    <w:tmpl w:val="01DCB5E8"/>
    <w:lvl w:ilvl="0" w:tplc="20909E0E">
      <w:start w:val="1"/>
      <w:numFmt w:val="decimal"/>
      <w:lvlText w:val="%1"/>
      <w:lvlJc w:val="left"/>
      <w:pPr>
        <w:ind w:left="705" w:hanging="645"/>
      </w:pPr>
      <w:rPr>
        <w:rFonts w:hint="default"/>
      </w:rPr>
    </w:lvl>
    <w:lvl w:ilvl="1" w:tplc="380A0019" w:tentative="1">
      <w:start w:val="1"/>
      <w:numFmt w:val="lowerLetter"/>
      <w:lvlText w:val="%2."/>
      <w:lvlJc w:val="left"/>
      <w:pPr>
        <w:ind w:left="1140" w:hanging="360"/>
      </w:pPr>
    </w:lvl>
    <w:lvl w:ilvl="2" w:tplc="380A001B" w:tentative="1">
      <w:start w:val="1"/>
      <w:numFmt w:val="lowerRoman"/>
      <w:lvlText w:val="%3."/>
      <w:lvlJc w:val="right"/>
      <w:pPr>
        <w:ind w:left="1860" w:hanging="180"/>
      </w:pPr>
    </w:lvl>
    <w:lvl w:ilvl="3" w:tplc="380A000F" w:tentative="1">
      <w:start w:val="1"/>
      <w:numFmt w:val="decimal"/>
      <w:lvlText w:val="%4."/>
      <w:lvlJc w:val="left"/>
      <w:pPr>
        <w:ind w:left="2580" w:hanging="360"/>
      </w:pPr>
    </w:lvl>
    <w:lvl w:ilvl="4" w:tplc="380A0019" w:tentative="1">
      <w:start w:val="1"/>
      <w:numFmt w:val="lowerLetter"/>
      <w:lvlText w:val="%5."/>
      <w:lvlJc w:val="left"/>
      <w:pPr>
        <w:ind w:left="3300" w:hanging="360"/>
      </w:pPr>
    </w:lvl>
    <w:lvl w:ilvl="5" w:tplc="380A001B" w:tentative="1">
      <w:start w:val="1"/>
      <w:numFmt w:val="lowerRoman"/>
      <w:lvlText w:val="%6."/>
      <w:lvlJc w:val="right"/>
      <w:pPr>
        <w:ind w:left="4020" w:hanging="180"/>
      </w:pPr>
    </w:lvl>
    <w:lvl w:ilvl="6" w:tplc="380A000F" w:tentative="1">
      <w:start w:val="1"/>
      <w:numFmt w:val="decimal"/>
      <w:lvlText w:val="%7."/>
      <w:lvlJc w:val="left"/>
      <w:pPr>
        <w:ind w:left="4740" w:hanging="360"/>
      </w:pPr>
    </w:lvl>
    <w:lvl w:ilvl="7" w:tplc="380A0019" w:tentative="1">
      <w:start w:val="1"/>
      <w:numFmt w:val="lowerLetter"/>
      <w:lvlText w:val="%8."/>
      <w:lvlJc w:val="left"/>
      <w:pPr>
        <w:ind w:left="5460" w:hanging="360"/>
      </w:pPr>
    </w:lvl>
    <w:lvl w:ilvl="8" w:tplc="380A001B" w:tentative="1">
      <w:start w:val="1"/>
      <w:numFmt w:val="lowerRoman"/>
      <w:lvlText w:val="%9."/>
      <w:lvlJc w:val="right"/>
      <w:pPr>
        <w:ind w:left="6180" w:hanging="180"/>
      </w:pPr>
    </w:lvl>
  </w:abstractNum>
  <w:abstractNum w:abstractNumId="1">
    <w:nsid w:val="1E4D2467"/>
    <w:multiLevelType w:val="multilevel"/>
    <w:tmpl w:val="64FA3DF4"/>
    <w:lvl w:ilvl="0">
      <w:start w:val="3"/>
      <w:numFmt w:val="decimal"/>
      <w:lvlText w:val="%1"/>
      <w:lvlJc w:val="left"/>
      <w:pPr>
        <w:tabs>
          <w:tab w:val="num" w:pos="525"/>
        </w:tabs>
        <w:ind w:left="525" w:hanging="525"/>
      </w:pPr>
      <w:rPr>
        <w:rFonts w:hint="default"/>
        <w:b/>
      </w:rPr>
    </w:lvl>
    <w:lvl w:ilvl="1">
      <w:start w:val="1"/>
      <w:numFmt w:val="decimal"/>
      <w:lvlText w:val="%1.%2"/>
      <w:lvlJc w:val="left"/>
      <w:pPr>
        <w:tabs>
          <w:tab w:val="num" w:pos="525"/>
        </w:tabs>
        <w:ind w:left="525" w:hanging="525"/>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291B2255"/>
    <w:multiLevelType w:val="multilevel"/>
    <w:tmpl w:val="B56A135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44D847EF"/>
    <w:multiLevelType w:val="multilevel"/>
    <w:tmpl w:val="5CB285DA"/>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b/>
        <w:i w:val="0"/>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46B"/>
    <w:rsid w:val="00021294"/>
    <w:rsid w:val="002B14DD"/>
    <w:rsid w:val="002B559C"/>
    <w:rsid w:val="002C51AC"/>
    <w:rsid w:val="0036173F"/>
    <w:rsid w:val="0038073E"/>
    <w:rsid w:val="003F5F7D"/>
    <w:rsid w:val="004122FA"/>
    <w:rsid w:val="00535E64"/>
    <w:rsid w:val="005A4460"/>
    <w:rsid w:val="006072B5"/>
    <w:rsid w:val="00612ADA"/>
    <w:rsid w:val="00700876"/>
    <w:rsid w:val="007A5D80"/>
    <w:rsid w:val="008448B1"/>
    <w:rsid w:val="008547CF"/>
    <w:rsid w:val="00855B8D"/>
    <w:rsid w:val="009C132E"/>
    <w:rsid w:val="00A76732"/>
    <w:rsid w:val="00B3546B"/>
    <w:rsid w:val="00C068A5"/>
    <w:rsid w:val="00C65632"/>
    <w:rsid w:val="00D673F3"/>
    <w:rsid w:val="00DB6BA5"/>
    <w:rsid w:val="00E14659"/>
    <w:rsid w:val="00EB4882"/>
    <w:rsid w:val="00EF4AC5"/>
    <w:rsid w:val="00FB107A"/>
    <w:rsid w:val="00FC47A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46B"/>
    <w:pPr>
      <w:jc w:val="both"/>
    </w:pPr>
    <w:rPr>
      <w:rFonts w:ascii="Arial" w:eastAsia="Calibri" w:hAnsi="Arial" w:cs="Times New Roman"/>
      <w:sz w:val="24"/>
    </w:rPr>
  </w:style>
  <w:style w:type="paragraph" w:styleId="Ttulo1">
    <w:name w:val="heading 1"/>
    <w:basedOn w:val="Normal"/>
    <w:next w:val="Normal"/>
    <w:link w:val="Ttulo1Car"/>
    <w:qFormat/>
    <w:rsid w:val="00B3546B"/>
    <w:pPr>
      <w:keepNext/>
      <w:numPr>
        <w:numId w:val="1"/>
      </w:numPr>
      <w:spacing w:after="0" w:line="360" w:lineRule="auto"/>
      <w:jc w:val="left"/>
      <w:outlineLvl w:val="0"/>
    </w:pPr>
    <w:rPr>
      <w:rFonts w:eastAsia="Times New Roman" w:cs="Arial"/>
      <w:b/>
      <w:szCs w:val="24"/>
      <w:lang w:val="es-ES" w:eastAsia="es-ES"/>
    </w:rPr>
  </w:style>
  <w:style w:type="paragraph" w:styleId="Ttulo2">
    <w:name w:val="heading 2"/>
    <w:basedOn w:val="Normal"/>
    <w:next w:val="Normal"/>
    <w:link w:val="Ttulo2Car"/>
    <w:qFormat/>
    <w:rsid w:val="00B3546B"/>
    <w:pPr>
      <w:keepNext/>
      <w:numPr>
        <w:ilvl w:val="1"/>
        <w:numId w:val="1"/>
      </w:numPr>
      <w:spacing w:before="240" w:after="60" w:line="240" w:lineRule="auto"/>
      <w:jc w:val="left"/>
      <w:outlineLvl w:val="1"/>
    </w:pPr>
    <w:rPr>
      <w:rFonts w:eastAsia="Times New Roman" w:cs="Arial"/>
      <w:b/>
      <w:bCs/>
      <w:i/>
      <w:iCs/>
      <w:sz w:val="28"/>
      <w:szCs w:val="28"/>
      <w:lang w:val="es-ES" w:eastAsia="es-ES"/>
    </w:rPr>
  </w:style>
  <w:style w:type="paragraph" w:styleId="Ttulo3">
    <w:name w:val="heading 3"/>
    <w:basedOn w:val="Normal"/>
    <w:next w:val="Normal"/>
    <w:link w:val="Ttulo3Car"/>
    <w:qFormat/>
    <w:rsid w:val="00B3546B"/>
    <w:pPr>
      <w:keepNext/>
      <w:numPr>
        <w:ilvl w:val="2"/>
        <w:numId w:val="1"/>
      </w:numPr>
      <w:spacing w:before="240" w:after="60" w:line="240" w:lineRule="auto"/>
      <w:jc w:val="left"/>
      <w:outlineLvl w:val="2"/>
    </w:pPr>
    <w:rPr>
      <w:rFonts w:eastAsia="Times New Roman" w:cs="Arial"/>
      <w:b/>
      <w:bCs/>
      <w:sz w:val="26"/>
      <w:szCs w:val="26"/>
      <w:lang w:val="es-ES" w:eastAsia="es-ES"/>
    </w:rPr>
  </w:style>
  <w:style w:type="paragraph" w:styleId="Ttulo4">
    <w:name w:val="heading 4"/>
    <w:basedOn w:val="Normal"/>
    <w:next w:val="Normal"/>
    <w:link w:val="Ttulo4Car"/>
    <w:qFormat/>
    <w:rsid w:val="00B3546B"/>
    <w:pPr>
      <w:keepNext/>
      <w:numPr>
        <w:ilvl w:val="3"/>
        <w:numId w:val="1"/>
      </w:numPr>
      <w:spacing w:after="0" w:line="360" w:lineRule="auto"/>
      <w:jc w:val="center"/>
      <w:outlineLvl w:val="3"/>
    </w:pPr>
    <w:rPr>
      <w:rFonts w:eastAsia="Times New Roman" w:cs="Arial"/>
      <w:b/>
      <w:bCs/>
      <w:szCs w:val="24"/>
      <w:lang w:val="es-ES" w:eastAsia="es-ES"/>
    </w:rPr>
  </w:style>
  <w:style w:type="paragraph" w:styleId="Ttulo5">
    <w:name w:val="heading 5"/>
    <w:basedOn w:val="Normal"/>
    <w:next w:val="Normal"/>
    <w:link w:val="Ttulo5Car"/>
    <w:qFormat/>
    <w:rsid w:val="00B3546B"/>
    <w:pPr>
      <w:numPr>
        <w:ilvl w:val="4"/>
        <w:numId w:val="1"/>
      </w:numPr>
      <w:spacing w:before="240" w:after="60" w:line="240" w:lineRule="auto"/>
      <w:jc w:val="left"/>
      <w:outlineLvl w:val="4"/>
    </w:pPr>
    <w:rPr>
      <w:rFonts w:ascii="Times New Roman" w:eastAsia="Times New Roman" w:hAnsi="Times New Roman"/>
      <w:b/>
      <w:bCs/>
      <w:i/>
      <w:iCs/>
      <w:sz w:val="26"/>
      <w:szCs w:val="26"/>
      <w:lang w:val="es-ES" w:eastAsia="es-ES"/>
    </w:rPr>
  </w:style>
  <w:style w:type="paragraph" w:styleId="Ttulo6">
    <w:name w:val="heading 6"/>
    <w:basedOn w:val="Normal"/>
    <w:next w:val="Normal"/>
    <w:link w:val="Ttulo6Car"/>
    <w:qFormat/>
    <w:rsid w:val="00B3546B"/>
    <w:pPr>
      <w:numPr>
        <w:ilvl w:val="5"/>
        <w:numId w:val="1"/>
      </w:numPr>
      <w:spacing w:before="240" w:after="60" w:line="240" w:lineRule="auto"/>
      <w:jc w:val="left"/>
      <w:outlineLvl w:val="5"/>
    </w:pPr>
    <w:rPr>
      <w:rFonts w:ascii="Times New Roman" w:eastAsia="Times New Roman" w:hAnsi="Times New Roman"/>
      <w:b/>
      <w:bCs/>
      <w:sz w:val="22"/>
      <w:lang w:val="es-ES" w:eastAsia="es-ES"/>
    </w:rPr>
  </w:style>
  <w:style w:type="paragraph" w:styleId="Ttulo7">
    <w:name w:val="heading 7"/>
    <w:basedOn w:val="Normal"/>
    <w:next w:val="Normal"/>
    <w:link w:val="Ttulo7Car"/>
    <w:qFormat/>
    <w:rsid w:val="00B3546B"/>
    <w:pPr>
      <w:numPr>
        <w:ilvl w:val="6"/>
        <w:numId w:val="1"/>
      </w:numPr>
      <w:spacing w:before="240" w:after="60" w:line="240" w:lineRule="auto"/>
      <w:jc w:val="left"/>
      <w:outlineLvl w:val="6"/>
    </w:pPr>
    <w:rPr>
      <w:rFonts w:ascii="Times New Roman" w:eastAsia="Times New Roman" w:hAnsi="Times New Roman"/>
      <w:szCs w:val="24"/>
      <w:lang w:val="es-ES" w:eastAsia="es-ES"/>
    </w:rPr>
  </w:style>
  <w:style w:type="paragraph" w:styleId="Ttulo8">
    <w:name w:val="heading 8"/>
    <w:basedOn w:val="Normal"/>
    <w:next w:val="Normal"/>
    <w:link w:val="Ttulo8Car"/>
    <w:qFormat/>
    <w:rsid w:val="00B3546B"/>
    <w:pPr>
      <w:numPr>
        <w:ilvl w:val="7"/>
        <w:numId w:val="1"/>
      </w:numPr>
      <w:spacing w:before="240" w:after="60" w:line="240" w:lineRule="auto"/>
      <w:jc w:val="left"/>
      <w:outlineLvl w:val="7"/>
    </w:pPr>
    <w:rPr>
      <w:rFonts w:ascii="Times New Roman" w:eastAsia="Times New Roman" w:hAnsi="Times New Roman"/>
      <w:i/>
      <w:iCs/>
      <w:szCs w:val="24"/>
      <w:lang w:val="es-ES" w:eastAsia="es-ES"/>
    </w:rPr>
  </w:style>
  <w:style w:type="paragraph" w:styleId="Ttulo9">
    <w:name w:val="heading 9"/>
    <w:basedOn w:val="Normal"/>
    <w:next w:val="Normal"/>
    <w:link w:val="Ttulo9Car"/>
    <w:qFormat/>
    <w:rsid w:val="00B3546B"/>
    <w:pPr>
      <w:numPr>
        <w:ilvl w:val="8"/>
        <w:numId w:val="1"/>
      </w:numPr>
      <w:spacing w:before="240" w:after="60" w:line="240" w:lineRule="auto"/>
      <w:jc w:val="left"/>
      <w:outlineLvl w:val="8"/>
    </w:pPr>
    <w:rPr>
      <w:rFonts w:eastAsia="Times New Roman" w:cs="Arial"/>
      <w:sz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B3546B"/>
    <w:pPr>
      <w:spacing w:after="120" w:line="240" w:lineRule="auto"/>
      <w:jc w:val="left"/>
    </w:pPr>
    <w:rPr>
      <w:rFonts w:ascii="Times New Roman" w:eastAsia="Times New Roman" w:hAnsi="Times New Roman"/>
      <w:szCs w:val="24"/>
      <w:lang w:val="es-ES" w:eastAsia="es-ES"/>
    </w:rPr>
  </w:style>
  <w:style w:type="character" w:customStyle="1" w:styleId="TextoindependienteCar">
    <w:name w:val="Texto independiente Car"/>
    <w:basedOn w:val="Fuentedeprrafopredeter"/>
    <w:link w:val="Textoindependiente"/>
    <w:semiHidden/>
    <w:rsid w:val="00B3546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B3546B"/>
    <w:pPr>
      <w:tabs>
        <w:tab w:val="left" w:pos="2552"/>
      </w:tabs>
      <w:spacing w:after="0" w:line="360" w:lineRule="auto"/>
    </w:pPr>
    <w:rPr>
      <w:rFonts w:eastAsia="Times New Roman" w:cs="Arial"/>
      <w:szCs w:val="20"/>
      <w:lang w:val="es-MX" w:eastAsia="es-ES"/>
    </w:rPr>
  </w:style>
  <w:style w:type="character" w:customStyle="1" w:styleId="SangradetextonormalCar">
    <w:name w:val="Sangría de texto normal Car"/>
    <w:basedOn w:val="Fuentedeprrafopredeter"/>
    <w:link w:val="Sangradetextonormal"/>
    <w:semiHidden/>
    <w:rsid w:val="00B3546B"/>
    <w:rPr>
      <w:rFonts w:ascii="Arial" w:eastAsia="Times New Roman" w:hAnsi="Arial" w:cs="Arial"/>
      <w:sz w:val="24"/>
      <w:szCs w:val="20"/>
      <w:lang w:val="es-MX" w:eastAsia="es-ES"/>
    </w:rPr>
  </w:style>
  <w:style w:type="paragraph" w:styleId="Sangra2detindependiente">
    <w:name w:val="Body Text Indent 2"/>
    <w:basedOn w:val="Normal"/>
    <w:link w:val="Sangra2detindependienteCar"/>
    <w:uiPriority w:val="99"/>
    <w:semiHidden/>
    <w:unhideWhenUsed/>
    <w:rsid w:val="00B3546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3546B"/>
    <w:rPr>
      <w:rFonts w:ascii="Arial" w:eastAsia="Calibri" w:hAnsi="Arial" w:cs="Times New Roman"/>
      <w:sz w:val="24"/>
    </w:rPr>
  </w:style>
  <w:style w:type="character" w:customStyle="1" w:styleId="Ttulo1Car">
    <w:name w:val="Título 1 Car"/>
    <w:basedOn w:val="Fuentedeprrafopredeter"/>
    <w:link w:val="Ttulo1"/>
    <w:rsid w:val="00B3546B"/>
    <w:rPr>
      <w:rFonts w:ascii="Arial" w:eastAsia="Times New Roman" w:hAnsi="Arial" w:cs="Arial"/>
      <w:b/>
      <w:sz w:val="24"/>
      <w:szCs w:val="24"/>
      <w:lang w:val="es-ES" w:eastAsia="es-ES"/>
    </w:rPr>
  </w:style>
  <w:style w:type="character" w:customStyle="1" w:styleId="Ttulo2Car">
    <w:name w:val="Título 2 Car"/>
    <w:basedOn w:val="Fuentedeprrafopredeter"/>
    <w:link w:val="Ttulo2"/>
    <w:rsid w:val="00B3546B"/>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B3546B"/>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B3546B"/>
    <w:rPr>
      <w:rFonts w:ascii="Arial" w:eastAsia="Times New Roman" w:hAnsi="Arial" w:cs="Arial"/>
      <w:b/>
      <w:bCs/>
      <w:sz w:val="24"/>
      <w:szCs w:val="24"/>
      <w:lang w:val="es-ES" w:eastAsia="es-ES"/>
    </w:rPr>
  </w:style>
  <w:style w:type="character" w:customStyle="1" w:styleId="Ttulo5Car">
    <w:name w:val="Título 5 Car"/>
    <w:basedOn w:val="Fuentedeprrafopredeter"/>
    <w:link w:val="Ttulo5"/>
    <w:rsid w:val="00B3546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3546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B3546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B3546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B3546B"/>
    <w:rPr>
      <w:rFonts w:ascii="Arial" w:eastAsia="Times New Roman" w:hAnsi="Arial" w:cs="Arial"/>
      <w:lang w:val="es-ES" w:eastAsia="es-ES"/>
    </w:rPr>
  </w:style>
  <w:style w:type="paragraph" w:styleId="NormalWeb">
    <w:name w:val="Normal (Web)"/>
    <w:basedOn w:val="Normal"/>
    <w:semiHidden/>
    <w:rsid w:val="00B3546B"/>
    <w:pPr>
      <w:spacing w:before="100" w:beforeAutospacing="1" w:after="100" w:afterAutospacing="1" w:line="240" w:lineRule="auto"/>
      <w:ind w:firstLine="180"/>
    </w:pPr>
    <w:rPr>
      <w:rFonts w:ascii="Times New Roman" w:eastAsia="Times New Roman" w:hAnsi="Times New Roman"/>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46B"/>
    <w:pPr>
      <w:jc w:val="both"/>
    </w:pPr>
    <w:rPr>
      <w:rFonts w:ascii="Arial" w:eastAsia="Calibri" w:hAnsi="Arial" w:cs="Times New Roman"/>
      <w:sz w:val="24"/>
    </w:rPr>
  </w:style>
  <w:style w:type="paragraph" w:styleId="Ttulo1">
    <w:name w:val="heading 1"/>
    <w:basedOn w:val="Normal"/>
    <w:next w:val="Normal"/>
    <w:link w:val="Ttulo1Car"/>
    <w:qFormat/>
    <w:rsid w:val="00B3546B"/>
    <w:pPr>
      <w:keepNext/>
      <w:numPr>
        <w:numId w:val="1"/>
      </w:numPr>
      <w:spacing w:after="0" w:line="360" w:lineRule="auto"/>
      <w:jc w:val="left"/>
      <w:outlineLvl w:val="0"/>
    </w:pPr>
    <w:rPr>
      <w:rFonts w:eastAsia="Times New Roman" w:cs="Arial"/>
      <w:b/>
      <w:szCs w:val="24"/>
      <w:lang w:val="es-ES" w:eastAsia="es-ES"/>
    </w:rPr>
  </w:style>
  <w:style w:type="paragraph" w:styleId="Ttulo2">
    <w:name w:val="heading 2"/>
    <w:basedOn w:val="Normal"/>
    <w:next w:val="Normal"/>
    <w:link w:val="Ttulo2Car"/>
    <w:qFormat/>
    <w:rsid w:val="00B3546B"/>
    <w:pPr>
      <w:keepNext/>
      <w:numPr>
        <w:ilvl w:val="1"/>
        <w:numId w:val="1"/>
      </w:numPr>
      <w:spacing w:before="240" w:after="60" w:line="240" w:lineRule="auto"/>
      <w:jc w:val="left"/>
      <w:outlineLvl w:val="1"/>
    </w:pPr>
    <w:rPr>
      <w:rFonts w:eastAsia="Times New Roman" w:cs="Arial"/>
      <w:b/>
      <w:bCs/>
      <w:i/>
      <w:iCs/>
      <w:sz w:val="28"/>
      <w:szCs w:val="28"/>
      <w:lang w:val="es-ES" w:eastAsia="es-ES"/>
    </w:rPr>
  </w:style>
  <w:style w:type="paragraph" w:styleId="Ttulo3">
    <w:name w:val="heading 3"/>
    <w:basedOn w:val="Normal"/>
    <w:next w:val="Normal"/>
    <w:link w:val="Ttulo3Car"/>
    <w:qFormat/>
    <w:rsid w:val="00B3546B"/>
    <w:pPr>
      <w:keepNext/>
      <w:numPr>
        <w:ilvl w:val="2"/>
        <w:numId w:val="1"/>
      </w:numPr>
      <w:spacing w:before="240" w:after="60" w:line="240" w:lineRule="auto"/>
      <w:jc w:val="left"/>
      <w:outlineLvl w:val="2"/>
    </w:pPr>
    <w:rPr>
      <w:rFonts w:eastAsia="Times New Roman" w:cs="Arial"/>
      <w:b/>
      <w:bCs/>
      <w:sz w:val="26"/>
      <w:szCs w:val="26"/>
      <w:lang w:val="es-ES" w:eastAsia="es-ES"/>
    </w:rPr>
  </w:style>
  <w:style w:type="paragraph" w:styleId="Ttulo4">
    <w:name w:val="heading 4"/>
    <w:basedOn w:val="Normal"/>
    <w:next w:val="Normal"/>
    <w:link w:val="Ttulo4Car"/>
    <w:qFormat/>
    <w:rsid w:val="00B3546B"/>
    <w:pPr>
      <w:keepNext/>
      <w:numPr>
        <w:ilvl w:val="3"/>
        <w:numId w:val="1"/>
      </w:numPr>
      <w:spacing w:after="0" w:line="360" w:lineRule="auto"/>
      <w:jc w:val="center"/>
      <w:outlineLvl w:val="3"/>
    </w:pPr>
    <w:rPr>
      <w:rFonts w:eastAsia="Times New Roman" w:cs="Arial"/>
      <w:b/>
      <w:bCs/>
      <w:szCs w:val="24"/>
      <w:lang w:val="es-ES" w:eastAsia="es-ES"/>
    </w:rPr>
  </w:style>
  <w:style w:type="paragraph" w:styleId="Ttulo5">
    <w:name w:val="heading 5"/>
    <w:basedOn w:val="Normal"/>
    <w:next w:val="Normal"/>
    <w:link w:val="Ttulo5Car"/>
    <w:qFormat/>
    <w:rsid w:val="00B3546B"/>
    <w:pPr>
      <w:numPr>
        <w:ilvl w:val="4"/>
        <w:numId w:val="1"/>
      </w:numPr>
      <w:spacing w:before="240" w:after="60" w:line="240" w:lineRule="auto"/>
      <w:jc w:val="left"/>
      <w:outlineLvl w:val="4"/>
    </w:pPr>
    <w:rPr>
      <w:rFonts w:ascii="Times New Roman" w:eastAsia="Times New Roman" w:hAnsi="Times New Roman"/>
      <w:b/>
      <w:bCs/>
      <w:i/>
      <w:iCs/>
      <w:sz w:val="26"/>
      <w:szCs w:val="26"/>
      <w:lang w:val="es-ES" w:eastAsia="es-ES"/>
    </w:rPr>
  </w:style>
  <w:style w:type="paragraph" w:styleId="Ttulo6">
    <w:name w:val="heading 6"/>
    <w:basedOn w:val="Normal"/>
    <w:next w:val="Normal"/>
    <w:link w:val="Ttulo6Car"/>
    <w:qFormat/>
    <w:rsid w:val="00B3546B"/>
    <w:pPr>
      <w:numPr>
        <w:ilvl w:val="5"/>
        <w:numId w:val="1"/>
      </w:numPr>
      <w:spacing w:before="240" w:after="60" w:line="240" w:lineRule="auto"/>
      <w:jc w:val="left"/>
      <w:outlineLvl w:val="5"/>
    </w:pPr>
    <w:rPr>
      <w:rFonts w:ascii="Times New Roman" w:eastAsia="Times New Roman" w:hAnsi="Times New Roman"/>
      <w:b/>
      <w:bCs/>
      <w:sz w:val="22"/>
      <w:lang w:val="es-ES" w:eastAsia="es-ES"/>
    </w:rPr>
  </w:style>
  <w:style w:type="paragraph" w:styleId="Ttulo7">
    <w:name w:val="heading 7"/>
    <w:basedOn w:val="Normal"/>
    <w:next w:val="Normal"/>
    <w:link w:val="Ttulo7Car"/>
    <w:qFormat/>
    <w:rsid w:val="00B3546B"/>
    <w:pPr>
      <w:numPr>
        <w:ilvl w:val="6"/>
        <w:numId w:val="1"/>
      </w:numPr>
      <w:spacing w:before="240" w:after="60" w:line="240" w:lineRule="auto"/>
      <w:jc w:val="left"/>
      <w:outlineLvl w:val="6"/>
    </w:pPr>
    <w:rPr>
      <w:rFonts w:ascii="Times New Roman" w:eastAsia="Times New Roman" w:hAnsi="Times New Roman"/>
      <w:szCs w:val="24"/>
      <w:lang w:val="es-ES" w:eastAsia="es-ES"/>
    </w:rPr>
  </w:style>
  <w:style w:type="paragraph" w:styleId="Ttulo8">
    <w:name w:val="heading 8"/>
    <w:basedOn w:val="Normal"/>
    <w:next w:val="Normal"/>
    <w:link w:val="Ttulo8Car"/>
    <w:qFormat/>
    <w:rsid w:val="00B3546B"/>
    <w:pPr>
      <w:numPr>
        <w:ilvl w:val="7"/>
        <w:numId w:val="1"/>
      </w:numPr>
      <w:spacing w:before="240" w:after="60" w:line="240" w:lineRule="auto"/>
      <w:jc w:val="left"/>
      <w:outlineLvl w:val="7"/>
    </w:pPr>
    <w:rPr>
      <w:rFonts w:ascii="Times New Roman" w:eastAsia="Times New Roman" w:hAnsi="Times New Roman"/>
      <w:i/>
      <w:iCs/>
      <w:szCs w:val="24"/>
      <w:lang w:val="es-ES" w:eastAsia="es-ES"/>
    </w:rPr>
  </w:style>
  <w:style w:type="paragraph" w:styleId="Ttulo9">
    <w:name w:val="heading 9"/>
    <w:basedOn w:val="Normal"/>
    <w:next w:val="Normal"/>
    <w:link w:val="Ttulo9Car"/>
    <w:qFormat/>
    <w:rsid w:val="00B3546B"/>
    <w:pPr>
      <w:numPr>
        <w:ilvl w:val="8"/>
        <w:numId w:val="1"/>
      </w:numPr>
      <w:spacing w:before="240" w:after="60" w:line="240" w:lineRule="auto"/>
      <w:jc w:val="left"/>
      <w:outlineLvl w:val="8"/>
    </w:pPr>
    <w:rPr>
      <w:rFonts w:eastAsia="Times New Roman" w:cs="Arial"/>
      <w:sz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B3546B"/>
    <w:pPr>
      <w:spacing w:after="120" w:line="240" w:lineRule="auto"/>
      <w:jc w:val="left"/>
    </w:pPr>
    <w:rPr>
      <w:rFonts w:ascii="Times New Roman" w:eastAsia="Times New Roman" w:hAnsi="Times New Roman"/>
      <w:szCs w:val="24"/>
      <w:lang w:val="es-ES" w:eastAsia="es-ES"/>
    </w:rPr>
  </w:style>
  <w:style w:type="character" w:customStyle="1" w:styleId="TextoindependienteCar">
    <w:name w:val="Texto independiente Car"/>
    <w:basedOn w:val="Fuentedeprrafopredeter"/>
    <w:link w:val="Textoindependiente"/>
    <w:semiHidden/>
    <w:rsid w:val="00B3546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B3546B"/>
    <w:pPr>
      <w:tabs>
        <w:tab w:val="left" w:pos="2552"/>
      </w:tabs>
      <w:spacing w:after="0" w:line="360" w:lineRule="auto"/>
    </w:pPr>
    <w:rPr>
      <w:rFonts w:eastAsia="Times New Roman" w:cs="Arial"/>
      <w:szCs w:val="20"/>
      <w:lang w:val="es-MX" w:eastAsia="es-ES"/>
    </w:rPr>
  </w:style>
  <w:style w:type="character" w:customStyle="1" w:styleId="SangradetextonormalCar">
    <w:name w:val="Sangría de texto normal Car"/>
    <w:basedOn w:val="Fuentedeprrafopredeter"/>
    <w:link w:val="Sangradetextonormal"/>
    <w:semiHidden/>
    <w:rsid w:val="00B3546B"/>
    <w:rPr>
      <w:rFonts w:ascii="Arial" w:eastAsia="Times New Roman" w:hAnsi="Arial" w:cs="Arial"/>
      <w:sz w:val="24"/>
      <w:szCs w:val="20"/>
      <w:lang w:val="es-MX" w:eastAsia="es-ES"/>
    </w:rPr>
  </w:style>
  <w:style w:type="paragraph" w:styleId="Sangra2detindependiente">
    <w:name w:val="Body Text Indent 2"/>
    <w:basedOn w:val="Normal"/>
    <w:link w:val="Sangra2detindependienteCar"/>
    <w:uiPriority w:val="99"/>
    <w:semiHidden/>
    <w:unhideWhenUsed/>
    <w:rsid w:val="00B3546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3546B"/>
    <w:rPr>
      <w:rFonts w:ascii="Arial" w:eastAsia="Calibri" w:hAnsi="Arial" w:cs="Times New Roman"/>
      <w:sz w:val="24"/>
    </w:rPr>
  </w:style>
  <w:style w:type="character" w:customStyle="1" w:styleId="Ttulo1Car">
    <w:name w:val="Título 1 Car"/>
    <w:basedOn w:val="Fuentedeprrafopredeter"/>
    <w:link w:val="Ttulo1"/>
    <w:rsid w:val="00B3546B"/>
    <w:rPr>
      <w:rFonts w:ascii="Arial" w:eastAsia="Times New Roman" w:hAnsi="Arial" w:cs="Arial"/>
      <w:b/>
      <w:sz w:val="24"/>
      <w:szCs w:val="24"/>
      <w:lang w:val="es-ES" w:eastAsia="es-ES"/>
    </w:rPr>
  </w:style>
  <w:style w:type="character" w:customStyle="1" w:styleId="Ttulo2Car">
    <w:name w:val="Título 2 Car"/>
    <w:basedOn w:val="Fuentedeprrafopredeter"/>
    <w:link w:val="Ttulo2"/>
    <w:rsid w:val="00B3546B"/>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B3546B"/>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B3546B"/>
    <w:rPr>
      <w:rFonts w:ascii="Arial" w:eastAsia="Times New Roman" w:hAnsi="Arial" w:cs="Arial"/>
      <w:b/>
      <w:bCs/>
      <w:sz w:val="24"/>
      <w:szCs w:val="24"/>
      <w:lang w:val="es-ES" w:eastAsia="es-ES"/>
    </w:rPr>
  </w:style>
  <w:style w:type="character" w:customStyle="1" w:styleId="Ttulo5Car">
    <w:name w:val="Título 5 Car"/>
    <w:basedOn w:val="Fuentedeprrafopredeter"/>
    <w:link w:val="Ttulo5"/>
    <w:rsid w:val="00B3546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3546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B3546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B3546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B3546B"/>
    <w:rPr>
      <w:rFonts w:ascii="Arial" w:eastAsia="Times New Roman" w:hAnsi="Arial" w:cs="Arial"/>
      <w:lang w:val="es-ES" w:eastAsia="es-ES"/>
    </w:rPr>
  </w:style>
  <w:style w:type="paragraph" w:styleId="NormalWeb">
    <w:name w:val="Normal (Web)"/>
    <w:basedOn w:val="Normal"/>
    <w:semiHidden/>
    <w:rsid w:val="00B3546B"/>
    <w:pPr>
      <w:spacing w:before="100" w:beforeAutospacing="1" w:after="100" w:afterAutospacing="1" w:line="240" w:lineRule="auto"/>
      <w:ind w:firstLine="180"/>
    </w:pPr>
    <w:rPr>
      <w:rFonts w:ascii="Times New Roman" w:eastAsia="Times New Roman" w:hAnsi="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1533</Words>
  <Characters>8437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Muñoz</dc:creator>
  <cp:lastModifiedBy>Tribunal1</cp:lastModifiedBy>
  <cp:revision>14</cp:revision>
  <dcterms:created xsi:type="dcterms:W3CDTF">2017-07-10T16:19:00Z</dcterms:created>
  <dcterms:modified xsi:type="dcterms:W3CDTF">2017-08-11T17:48:00Z</dcterms:modified>
</cp:coreProperties>
</file>