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E1" w:rsidRPr="007C27E1" w:rsidRDefault="007C27E1" w:rsidP="002920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C27E1">
        <w:rPr>
          <w:rFonts w:ascii="Arial" w:hAnsi="Arial" w:cs="Arial"/>
          <w:b/>
          <w:sz w:val="28"/>
          <w:szCs w:val="28"/>
          <w:lang w:val="es-ES_tradnl"/>
        </w:rPr>
        <w:t>RES. 4007/16</w:t>
      </w:r>
    </w:p>
    <w:p w:rsidR="007C27E1" w:rsidRPr="004746D1" w:rsidRDefault="007C27E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C27E1" w:rsidRPr="004746D1" w:rsidRDefault="007C27E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C27E1" w:rsidRPr="004746D1" w:rsidRDefault="007C27E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16 DE NOVIEMBRE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2016</w:t>
      </w:r>
    </w:p>
    <w:p w:rsidR="007C27E1" w:rsidRDefault="007C27E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 E. Nº 2016-17-1-0007168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N°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5527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777EE9" w:rsidRPr="004746D1" w:rsidRDefault="00777EE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C27E1" w:rsidRDefault="00745F05" w:rsidP="004D3B92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t>VISTO:</w:t>
      </w:r>
      <w:r w:rsidRPr="00745F05">
        <w:rPr>
          <w:rFonts w:ascii="Arial" w:hAnsi="Arial" w:cs="Arial"/>
          <w:sz w:val="24"/>
          <w:szCs w:val="24"/>
        </w:rPr>
        <w:t xml:space="preserve"> estos antecedentes remitidos por la Oficina de Planeamiento y Presupuesto relacionados con los Estados Financieros al 31/12/15 de la empresa Distribuidora Uruguay</w:t>
      </w:r>
      <w:r>
        <w:rPr>
          <w:rFonts w:ascii="Arial" w:hAnsi="Arial" w:cs="Arial"/>
          <w:sz w:val="24"/>
          <w:szCs w:val="24"/>
        </w:rPr>
        <w:t>a de Combustibles S.A. (DUCSA);</w:t>
      </w:r>
    </w:p>
    <w:p w:rsidR="00745F05" w:rsidRDefault="00745F05" w:rsidP="004D3B9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t>RESULTANDO: 1)</w:t>
      </w:r>
      <w:r w:rsidRPr="00745F05">
        <w:rPr>
          <w:rFonts w:ascii="Arial" w:hAnsi="Arial" w:cs="Arial"/>
          <w:sz w:val="24"/>
          <w:szCs w:val="24"/>
        </w:rPr>
        <w:t xml:space="preserve"> que la Administración Nacional de Combustibles, Alcohol y Portland (ANCAP) posee el 99.77%</w:t>
      </w:r>
      <w:r w:rsidR="007C27E1">
        <w:rPr>
          <w:rFonts w:ascii="Arial" w:hAnsi="Arial" w:cs="Arial"/>
          <w:sz w:val="24"/>
          <w:szCs w:val="24"/>
        </w:rPr>
        <w:t xml:space="preserve"> del capital accionario DUCSA.;</w:t>
      </w:r>
    </w:p>
    <w:p w:rsidR="00745F05" w:rsidRDefault="00745F05" w:rsidP="004D3B92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t>2)</w:t>
      </w:r>
      <w:r w:rsidRPr="00745F05">
        <w:rPr>
          <w:rFonts w:ascii="Arial" w:hAnsi="Arial" w:cs="Arial"/>
          <w:sz w:val="24"/>
          <w:szCs w:val="24"/>
        </w:rPr>
        <w:t xml:space="preserve"> que DUCSA se encuentra inscripta en el Registro de Valores</w:t>
      </w:r>
      <w:r w:rsidR="007C27E1">
        <w:rPr>
          <w:rFonts w:ascii="Arial" w:hAnsi="Arial" w:cs="Arial"/>
          <w:sz w:val="24"/>
          <w:szCs w:val="24"/>
        </w:rPr>
        <w:t xml:space="preserve"> del Banco Central del Uruguay;</w:t>
      </w:r>
    </w:p>
    <w:p w:rsidR="00745F05" w:rsidRDefault="00745F05" w:rsidP="004D3B92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t>3)</w:t>
      </w:r>
      <w:r w:rsidRPr="00745F05">
        <w:rPr>
          <w:rFonts w:ascii="Arial" w:hAnsi="Arial" w:cs="Arial"/>
          <w:sz w:val="24"/>
          <w:szCs w:val="24"/>
        </w:rPr>
        <w:t xml:space="preserve"> que ANCAP ha incluido en su página web los estados contables de DUCSA al 31/12/15, acompañados de una nota donde se expresa el porcentaje de capita</w:t>
      </w:r>
      <w:r w:rsidR="00777EE9">
        <w:rPr>
          <w:rFonts w:ascii="Arial" w:hAnsi="Arial" w:cs="Arial"/>
          <w:sz w:val="24"/>
          <w:szCs w:val="24"/>
        </w:rPr>
        <w:t>l social que pertenece a ANCAP;</w:t>
      </w:r>
    </w:p>
    <w:p w:rsidR="00745F05" w:rsidRDefault="00745F05" w:rsidP="004D3B92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t>4)</w:t>
      </w:r>
      <w:r w:rsidRPr="00745F05">
        <w:rPr>
          <w:rFonts w:ascii="Arial" w:hAnsi="Arial" w:cs="Arial"/>
          <w:sz w:val="24"/>
          <w:szCs w:val="24"/>
        </w:rPr>
        <w:t xml:space="preserve"> que ANCAP ha publicado en el Diario Oficial los Estados Contables de DUCSA al 31 de diciembre de 2</w:t>
      </w:r>
      <w:r w:rsidR="00777EE9">
        <w:rPr>
          <w:rFonts w:ascii="Arial" w:hAnsi="Arial" w:cs="Arial"/>
          <w:sz w:val="24"/>
          <w:szCs w:val="24"/>
        </w:rPr>
        <w:t>015;</w:t>
      </w:r>
    </w:p>
    <w:p w:rsidR="00745F05" w:rsidRDefault="00745F05" w:rsidP="004D3B92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t>5)</w:t>
      </w:r>
      <w:r w:rsidRPr="00745F05">
        <w:rPr>
          <w:rFonts w:ascii="Arial" w:hAnsi="Arial" w:cs="Arial"/>
          <w:sz w:val="24"/>
          <w:szCs w:val="24"/>
        </w:rPr>
        <w:t xml:space="preserve"> que el Tribunal de Cuentas aún no ha dictaminado sobre los Estados Financieros de ANCAP corr</w:t>
      </w:r>
      <w:r w:rsidR="004D3B92">
        <w:rPr>
          <w:rFonts w:ascii="Arial" w:hAnsi="Arial" w:cs="Arial"/>
          <w:sz w:val="24"/>
          <w:szCs w:val="24"/>
        </w:rPr>
        <w:t>espondientes al ejercicio 2015;</w:t>
      </w:r>
    </w:p>
    <w:p w:rsidR="00745F05" w:rsidRDefault="00745F05" w:rsidP="004D3B9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t>CONSIDERANDO: 1)</w:t>
      </w:r>
      <w:r w:rsidRPr="00745F05">
        <w:rPr>
          <w:rFonts w:ascii="Arial" w:hAnsi="Arial" w:cs="Arial"/>
          <w:sz w:val="24"/>
          <w:szCs w:val="24"/>
        </w:rPr>
        <w:t xml:space="preserve"> que por lo expuesto en el Resultando 2) se ha dado cumplimiento al Artículo 25 de la Ley 17.555 de 18/09/02 que establece que: “las sociedades comerciales respecto de las cuales un Órgano del Estado, incluyendo Entes Autónomos, Servicios Descentralizados o Gobiernos Departamentales o cualquier persona pública no estatal, sea tenedor de acciones o sea titular de participaciones, cualquiera fuere el porcentaje de las mismas dentro del capital social, deberán inscribirse en el Registro de Valores</w:t>
      </w:r>
      <w:r w:rsidR="00777EE9">
        <w:rPr>
          <w:rFonts w:ascii="Arial" w:hAnsi="Arial" w:cs="Arial"/>
          <w:sz w:val="24"/>
          <w:szCs w:val="24"/>
        </w:rPr>
        <w:t xml:space="preserve"> del Banco Central de</w:t>
      </w:r>
      <w:r w:rsidR="00B42BF1">
        <w:rPr>
          <w:rFonts w:ascii="Arial" w:hAnsi="Arial" w:cs="Arial"/>
          <w:sz w:val="24"/>
          <w:szCs w:val="24"/>
        </w:rPr>
        <w:t>l</w:t>
      </w:r>
      <w:r w:rsidR="00777EE9">
        <w:rPr>
          <w:rFonts w:ascii="Arial" w:hAnsi="Arial" w:cs="Arial"/>
          <w:sz w:val="24"/>
          <w:szCs w:val="24"/>
        </w:rPr>
        <w:t xml:space="preserve"> Uruguay”;</w:t>
      </w:r>
    </w:p>
    <w:p w:rsidR="007C27E1" w:rsidRDefault="00745F05" w:rsidP="004D3B92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lastRenderedPageBreak/>
        <w:t>2)</w:t>
      </w:r>
      <w:r w:rsidRPr="00745F05">
        <w:rPr>
          <w:rFonts w:ascii="Arial" w:hAnsi="Arial" w:cs="Arial"/>
          <w:sz w:val="24"/>
          <w:szCs w:val="24"/>
        </w:rPr>
        <w:t xml:space="preserve"> que según lo expresado en los Resultandos 3) se ha dado cumplimiento a lo establecido en el Artículo 26 de la mencionada Ley en lo que refiere a “deberán disponer su inclusión en sus respectivas páginas “web” en Internet si éstas se hallaren en condiciones operativas” y a “....se incluirá una nota que deberá hacer referencia al porcentaje del capital social que pertenece al respectivo</w:t>
      </w:r>
      <w:r w:rsidR="004D3B92">
        <w:rPr>
          <w:rFonts w:ascii="Arial" w:hAnsi="Arial" w:cs="Arial"/>
          <w:sz w:val="24"/>
          <w:szCs w:val="24"/>
        </w:rPr>
        <w:t xml:space="preserve"> órgano estatal o paraestatal”;</w:t>
      </w:r>
    </w:p>
    <w:p w:rsidR="007C27E1" w:rsidRDefault="00745F05" w:rsidP="004D3B92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t>3)</w:t>
      </w:r>
      <w:r w:rsidRPr="00745F05">
        <w:rPr>
          <w:rFonts w:ascii="Arial" w:hAnsi="Arial" w:cs="Arial"/>
          <w:sz w:val="24"/>
          <w:szCs w:val="24"/>
        </w:rPr>
        <w:t xml:space="preserve"> que según lo establecido en el Resultando 4) ANCAP ha dado cumplimiento a lo establecido en el </w:t>
      </w:r>
      <w:r w:rsidR="00777EE9">
        <w:rPr>
          <w:rFonts w:ascii="Arial" w:hAnsi="Arial" w:cs="Arial"/>
          <w:sz w:val="24"/>
          <w:szCs w:val="24"/>
        </w:rPr>
        <w:t>A</w:t>
      </w:r>
      <w:r w:rsidRPr="00745F05">
        <w:rPr>
          <w:rFonts w:ascii="Arial" w:hAnsi="Arial" w:cs="Arial"/>
          <w:sz w:val="24"/>
          <w:szCs w:val="24"/>
        </w:rPr>
        <w:t>rt</w:t>
      </w:r>
      <w:r w:rsidR="00777EE9">
        <w:rPr>
          <w:rFonts w:ascii="Arial" w:hAnsi="Arial" w:cs="Arial"/>
          <w:sz w:val="24"/>
          <w:szCs w:val="24"/>
        </w:rPr>
        <w:t>ículo</w:t>
      </w:r>
      <w:r w:rsidRPr="00745F05">
        <w:rPr>
          <w:rFonts w:ascii="Arial" w:hAnsi="Arial" w:cs="Arial"/>
          <w:sz w:val="24"/>
          <w:szCs w:val="24"/>
        </w:rPr>
        <w:t xml:space="preserve"> 26 de la mencionada Ley que dispone “deberán disponer la publicación completa de los estados contables </w:t>
      </w:r>
      <w:r w:rsidR="00777EE9">
        <w:rPr>
          <w:rFonts w:ascii="Arial" w:hAnsi="Arial" w:cs="Arial"/>
          <w:sz w:val="24"/>
          <w:szCs w:val="24"/>
        </w:rPr>
        <w:t>auditados en el Diario Oficial”;</w:t>
      </w:r>
    </w:p>
    <w:p w:rsidR="007C27E1" w:rsidRDefault="00745F05" w:rsidP="004D3B92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t xml:space="preserve">4) </w:t>
      </w:r>
      <w:r w:rsidRPr="00745F05">
        <w:rPr>
          <w:rFonts w:ascii="Arial" w:hAnsi="Arial" w:cs="Arial"/>
          <w:sz w:val="24"/>
          <w:szCs w:val="24"/>
        </w:rPr>
        <w:t>que el monto de la inversión que resulta del Balance de DUCSA será considerado en los Estados Financieros Con</w:t>
      </w:r>
      <w:r w:rsidR="00777EE9">
        <w:rPr>
          <w:rFonts w:ascii="Arial" w:hAnsi="Arial" w:cs="Arial"/>
          <w:sz w:val="24"/>
          <w:szCs w:val="24"/>
        </w:rPr>
        <w:t>solidados al 31/12/15 de ANCAP;</w:t>
      </w:r>
    </w:p>
    <w:p w:rsidR="007C27E1" w:rsidRDefault="00745F05" w:rsidP="004D3B92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t>5)</w:t>
      </w:r>
      <w:r w:rsidRPr="00745F05">
        <w:rPr>
          <w:rFonts w:ascii="Arial" w:hAnsi="Arial" w:cs="Arial"/>
          <w:sz w:val="24"/>
          <w:szCs w:val="24"/>
        </w:rPr>
        <w:t xml:space="preserve"> que conforme a lo dispuesto en el </w:t>
      </w:r>
      <w:r w:rsidR="00777EE9">
        <w:rPr>
          <w:rFonts w:ascii="Arial" w:hAnsi="Arial" w:cs="Arial"/>
          <w:sz w:val="24"/>
          <w:szCs w:val="24"/>
        </w:rPr>
        <w:t>A</w:t>
      </w:r>
      <w:r w:rsidRPr="00745F05">
        <w:rPr>
          <w:rFonts w:ascii="Arial" w:hAnsi="Arial" w:cs="Arial"/>
          <w:sz w:val="24"/>
          <w:szCs w:val="24"/>
        </w:rPr>
        <w:t>rt</w:t>
      </w:r>
      <w:r w:rsidR="00777EE9">
        <w:rPr>
          <w:rFonts w:ascii="Arial" w:hAnsi="Arial" w:cs="Arial"/>
          <w:sz w:val="24"/>
          <w:szCs w:val="24"/>
        </w:rPr>
        <w:t xml:space="preserve">ículo </w:t>
      </w:r>
      <w:r w:rsidRPr="00745F05">
        <w:rPr>
          <w:rFonts w:ascii="Arial" w:hAnsi="Arial" w:cs="Arial"/>
          <w:sz w:val="24"/>
          <w:szCs w:val="24"/>
        </w:rPr>
        <w:t xml:space="preserve">1 de la Ley N° 17.040, la publicación de los </w:t>
      </w:r>
      <w:r w:rsidR="00777EE9">
        <w:rPr>
          <w:rFonts w:ascii="Arial" w:hAnsi="Arial" w:cs="Arial"/>
          <w:sz w:val="24"/>
          <w:szCs w:val="24"/>
        </w:rPr>
        <w:t>E</w:t>
      </w:r>
      <w:r w:rsidRPr="00745F05">
        <w:rPr>
          <w:rFonts w:ascii="Arial" w:hAnsi="Arial" w:cs="Arial"/>
          <w:sz w:val="24"/>
          <w:szCs w:val="24"/>
        </w:rPr>
        <w:t xml:space="preserve">stados </w:t>
      </w:r>
      <w:r w:rsidR="00777EE9">
        <w:rPr>
          <w:rFonts w:ascii="Arial" w:hAnsi="Arial" w:cs="Arial"/>
          <w:sz w:val="24"/>
          <w:szCs w:val="24"/>
        </w:rPr>
        <w:t>C</w:t>
      </w:r>
      <w:r w:rsidRPr="00745F05">
        <w:rPr>
          <w:rFonts w:ascii="Arial" w:hAnsi="Arial" w:cs="Arial"/>
          <w:sz w:val="24"/>
          <w:szCs w:val="24"/>
        </w:rPr>
        <w:t>ontables de ANCAP requiere el previo dictamen de auditoría del Tribunal de Cuentas y éste aún no se ha expedido al respecto;</w:t>
      </w:r>
    </w:p>
    <w:p w:rsidR="007C27E1" w:rsidRDefault="00745F05" w:rsidP="004D3B9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45F05">
        <w:rPr>
          <w:rFonts w:ascii="Arial" w:hAnsi="Arial" w:cs="Arial"/>
          <w:sz w:val="24"/>
          <w:szCs w:val="24"/>
        </w:rPr>
        <w:t xml:space="preserve"> </w:t>
      </w:r>
      <w:r w:rsidRPr="007C27E1">
        <w:rPr>
          <w:rFonts w:ascii="Arial" w:hAnsi="Arial" w:cs="Arial"/>
          <w:b/>
          <w:sz w:val="24"/>
          <w:szCs w:val="24"/>
        </w:rPr>
        <w:t>ATENTO:</w:t>
      </w:r>
      <w:r w:rsidRPr="00745F05">
        <w:rPr>
          <w:rFonts w:ascii="Arial" w:hAnsi="Arial" w:cs="Arial"/>
          <w:sz w:val="24"/>
          <w:szCs w:val="24"/>
        </w:rPr>
        <w:t xml:space="preserve"> a lo dispuesto en los Artículos 25 y 26 de la Ley 17.555 y al Artículo 211, Literal E) de l</w:t>
      </w:r>
      <w:r w:rsidR="004D3B92">
        <w:rPr>
          <w:rFonts w:ascii="Arial" w:hAnsi="Arial" w:cs="Arial"/>
          <w:sz w:val="24"/>
          <w:szCs w:val="24"/>
        </w:rPr>
        <w:t>a Constitución de la República;</w:t>
      </w:r>
    </w:p>
    <w:p w:rsidR="007C27E1" w:rsidRPr="007C27E1" w:rsidRDefault="00745F05" w:rsidP="004D3B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t>EL TRIBUNAL ACUERDA</w:t>
      </w:r>
    </w:p>
    <w:p w:rsidR="007C27E1" w:rsidRDefault="00745F05" w:rsidP="004D3B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t>1)</w:t>
      </w:r>
      <w:r w:rsidRPr="00745F05">
        <w:rPr>
          <w:rFonts w:ascii="Arial" w:hAnsi="Arial" w:cs="Arial"/>
          <w:sz w:val="24"/>
          <w:szCs w:val="24"/>
        </w:rPr>
        <w:t xml:space="preserve"> Expedirse en los términos expre</w:t>
      </w:r>
      <w:r w:rsidR="004D3B92">
        <w:rPr>
          <w:rFonts w:ascii="Arial" w:hAnsi="Arial" w:cs="Arial"/>
          <w:sz w:val="24"/>
          <w:szCs w:val="24"/>
        </w:rPr>
        <w:t>sados en los precedentes;</w:t>
      </w:r>
    </w:p>
    <w:p w:rsidR="007C27E1" w:rsidRDefault="00745F05" w:rsidP="004D3B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t>2)</w:t>
      </w:r>
      <w:r w:rsidR="004D3B92">
        <w:rPr>
          <w:rFonts w:ascii="Arial" w:hAnsi="Arial" w:cs="Arial"/>
          <w:sz w:val="24"/>
          <w:szCs w:val="24"/>
        </w:rPr>
        <w:t xml:space="preserve"> Comunicar al Poder Ejecutivo;</w:t>
      </w:r>
    </w:p>
    <w:p w:rsidR="007C27E1" w:rsidRDefault="00745F05" w:rsidP="004D3B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t>3)</w:t>
      </w:r>
      <w:r w:rsidRPr="00745F05">
        <w:rPr>
          <w:rFonts w:ascii="Arial" w:hAnsi="Arial" w:cs="Arial"/>
          <w:sz w:val="24"/>
          <w:szCs w:val="24"/>
        </w:rPr>
        <w:t xml:space="preserve"> Dar cuenta a la Asamblea General</w:t>
      </w:r>
      <w:r w:rsidR="004D3B92">
        <w:rPr>
          <w:rFonts w:ascii="Arial" w:hAnsi="Arial" w:cs="Arial"/>
          <w:sz w:val="24"/>
          <w:szCs w:val="24"/>
        </w:rPr>
        <w:t>; y</w:t>
      </w:r>
    </w:p>
    <w:p w:rsidR="0062403A" w:rsidRDefault="00745F05" w:rsidP="004D3B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27E1">
        <w:rPr>
          <w:rFonts w:ascii="Arial" w:hAnsi="Arial" w:cs="Arial"/>
          <w:b/>
          <w:sz w:val="24"/>
          <w:szCs w:val="24"/>
        </w:rPr>
        <w:t>4)</w:t>
      </w:r>
      <w:r w:rsidRPr="00745F05">
        <w:rPr>
          <w:rFonts w:ascii="Arial" w:hAnsi="Arial" w:cs="Arial"/>
          <w:sz w:val="24"/>
          <w:szCs w:val="24"/>
        </w:rPr>
        <w:t xml:space="preserve"> Devolver estos antecedentes a la Oficina de Planeamiento y Presupuesto.</w:t>
      </w:r>
    </w:p>
    <w:p w:rsidR="004D3B92" w:rsidRPr="00745F05" w:rsidRDefault="004D3B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CLC</w:t>
      </w:r>
    </w:p>
    <w:sectPr w:rsidR="004D3B92" w:rsidRPr="00745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05"/>
    <w:rsid w:val="00154579"/>
    <w:rsid w:val="004D3B92"/>
    <w:rsid w:val="0062403A"/>
    <w:rsid w:val="00745F05"/>
    <w:rsid w:val="00777EE9"/>
    <w:rsid w:val="007C27E1"/>
    <w:rsid w:val="00B4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dcterms:created xsi:type="dcterms:W3CDTF">2017-08-08T17:00:00Z</dcterms:created>
  <dcterms:modified xsi:type="dcterms:W3CDTF">2017-08-08T17:45:00Z</dcterms:modified>
</cp:coreProperties>
</file>