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267" w:rsidRPr="00C61614" w:rsidRDefault="00F46267" w:rsidP="00F46267">
      <w:pPr>
        <w:tabs>
          <w:tab w:val="center" w:pos="4253"/>
        </w:tabs>
        <w:spacing w:after="0"/>
        <w:jc w:val="right"/>
        <w:rPr>
          <w:rFonts w:ascii="Arial" w:hAnsi="Arial" w:cs="Arial"/>
          <w:b/>
          <w:sz w:val="28"/>
          <w:szCs w:val="28"/>
          <w:lang w:val="es-ES_tradnl"/>
        </w:rPr>
      </w:pPr>
      <w:r>
        <w:rPr>
          <w:rFonts w:ascii="Arial" w:hAnsi="Arial" w:cs="Arial"/>
          <w:b/>
          <w:sz w:val="28"/>
          <w:szCs w:val="28"/>
          <w:lang w:val="es-ES_tradnl"/>
        </w:rPr>
        <w:t xml:space="preserve">RES. </w:t>
      </w:r>
      <w:r w:rsidR="00680171">
        <w:rPr>
          <w:rFonts w:ascii="Arial" w:hAnsi="Arial" w:cs="Arial"/>
          <w:b/>
          <w:sz w:val="28"/>
          <w:szCs w:val="28"/>
          <w:lang w:val="es-ES_tradnl"/>
        </w:rPr>
        <w:t>1600</w:t>
      </w:r>
      <w:r>
        <w:rPr>
          <w:rFonts w:ascii="Arial" w:hAnsi="Arial" w:cs="Arial"/>
          <w:b/>
          <w:sz w:val="28"/>
          <w:szCs w:val="28"/>
          <w:lang w:val="es-ES_tradnl"/>
        </w:rPr>
        <w:t>/17</w:t>
      </w:r>
    </w:p>
    <w:p w:rsidR="00F46267" w:rsidRDefault="00F46267" w:rsidP="00F46267">
      <w:pPr>
        <w:tabs>
          <w:tab w:val="center" w:pos="4253"/>
        </w:tabs>
        <w:spacing w:after="0"/>
        <w:jc w:val="center"/>
        <w:rPr>
          <w:rFonts w:ascii="Arial" w:hAnsi="Arial" w:cs="Arial"/>
          <w:b/>
          <w:lang w:val="es-ES_tradnl"/>
        </w:rPr>
      </w:pPr>
    </w:p>
    <w:p w:rsidR="00F46267" w:rsidRPr="002F1C25" w:rsidRDefault="00F46267" w:rsidP="002F1C25">
      <w:pPr>
        <w:tabs>
          <w:tab w:val="center" w:pos="4253"/>
        </w:tabs>
        <w:spacing w:after="0" w:line="240" w:lineRule="auto"/>
        <w:jc w:val="center"/>
        <w:rPr>
          <w:rFonts w:ascii="Helvetica" w:hAnsi="Helvetica"/>
          <w:b/>
          <w:sz w:val="24"/>
          <w:szCs w:val="24"/>
          <w:lang w:val="es-ES_tradnl"/>
        </w:rPr>
      </w:pPr>
      <w:r w:rsidRPr="002F1C25">
        <w:rPr>
          <w:rFonts w:ascii="Helvetica" w:hAnsi="Helvetica"/>
          <w:b/>
          <w:sz w:val="24"/>
          <w:szCs w:val="24"/>
          <w:lang w:val="es-ES_tradnl"/>
        </w:rPr>
        <w:t>RESOLUCION ADOPTADA POR EL</w:t>
      </w:r>
    </w:p>
    <w:p w:rsidR="00F46267" w:rsidRPr="002F1C25" w:rsidRDefault="00F46267" w:rsidP="002F1C25">
      <w:pPr>
        <w:tabs>
          <w:tab w:val="left" w:pos="-720"/>
        </w:tabs>
        <w:spacing w:after="0" w:line="240" w:lineRule="auto"/>
        <w:jc w:val="center"/>
        <w:rPr>
          <w:rFonts w:ascii="Helvetica" w:hAnsi="Helvetica"/>
          <w:b/>
          <w:sz w:val="24"/>
          <w:szCs w:val="24"/>
          <w:lang w:val="es-ES_tradnl"/>
        </w:rPr>
      </w:pPr>
    </w:p>
    <w:p w:rsidR="00F46267" w:rsidRPr="002F1C25" w:rsidRDefault="00F46267" w:rsidP="002F1C25">
      <w:pPr>
        <w:tabs>
          <w:tab w:val="center" w:pos="4253"/>
        </w:tabs>
        <w:spacing w:after="0" w:line="240" w:lineRule="auto"/>
        <w:jc w:val="center"/>
        <w:rPr>
          <w:rFonts w:ascii="Helvetica" w:hAnsi="Helvetica"/>
          <w:b/>
          <w:sz w:val="24"/>
          <w:szCs w:val="24"/>
          <w:lang w:val="es-ES_tradnl"/>
        </w:rPr>
      </w:pPr>
      <w:r w:rsidRPr="002F1C25">
        <w:rPr>
          <w:rFonts w:ascii="Helvetica" w:hAnsi="Helvetica"/>
          <w:b/>
          <w:sz w:val="24"/>
          <w:szCs w:val="24"/>
          <w:lang w:val="es-ES_tradnl"/>
        </w:rPr>
        <w:t>TRIBUNAL DE CUENTAS</w:t>
      </w:r>
    </w:p>
    <w:p w:rsidR="00F46267" w:rsidRPr="002F1C25" w:rsidRDefault="00F46267" w:rsidP="002F1C25">
      <w:pPr>
        <w:tabs>
          <w:tab w:val="left" w:pos="-720"/>
        </w:tabs>
        <w:spacing w:after="0" w:line="240" w:lineRule="auto"/>
        <w:jc w:val="center"/>
        <w:rPr>
          <w:rFonts w:ascii="Helvetica" w:hAnsi="Helvetica"/>
          <w:b/>
          <w:sz w:val="24"/>
          <w:szCs w:val="24"/>
          <w:lang w:val="es-ES_tradnl"/>
        </w:rPr>
      </w:pPr>
    </w:p>
    <w:p w:rsidR="00F46267" w:rsidRPr="002F1C25" w:rsidRDefault="00F46267" w:rsidP="002F1C25">
      <w:pPr>
        <w:tabs>
          <w:tab w:val="center" w:pos="4253"/>
        </w:tabs>
        <w:spacing w:after="0" w:line="240" w:lineRule="auto"/>
        <w:jc w:val="center"/>
        <w:rPr>
          <w:rFonts w:ascii="Helvetica" w:hAnsi="Helvetica"/>
          <w:b/>
          <w:sz w:val="24"/>
          <w:szCs w:val="24"/>
          <w:lang w:val="es-ES_tradnl"/>
        </w:rPr>
      </w:pPr>
      <w:r w:rsidRPr="002F1C25">
        <w:rPr>
          <w:rFonts w:ascii="Helvetica" w:hAnsi="Helvetica"/>
          <w:b/>
          <w:sz w:val="24"/>
          <w:szCs w:val="24"/>
          <w:lang w:val="es-ES_tradnl"/>
        </w:rPr>
        <w:t>EN SESION DE FECHA 25 DE MAYO DE 2017</w:t>
      </w:r>
    </w:p>
    <w:p w:rsidR="00F46267" w:rsidRPr="002F1C25" w:rsidRDefault="00F46267" w:rsidP="002F1C25">
      <w:pPr>
        <w:tabs>
          <w:tab w:val="center" w:pos="4253"/>
        </w:tabs>
        <w:spacing w:after="0" w:line="240" w:lineRule="auto"/>
        <w:jc w:val="center"/>
        <w:rPr>
          <w:rFonts w:ascii="Helvetica" w:hAnsi="Helvetica"/>
          <w:b/>
          <w:sz w:val="24"/>
          <w:szCs w:val="24"/>
          <w:lang w:val="es-ES_tradnl"/>
        </w:rPr>
      </w:pPr>
    </w:p>
    <w:p w:rsidR="00F46267" w:rsidRPr="002F1C25" w:rsidRDefault="00F46267" w:rsidP="002F1C25">
      <w:pPr>
        <w:tabs>
          <w:tab w:val="center" w:pos="4253"/>
        </w:tabs>
        <w:spacing w:after="0" w:line="240" w:lineRule="auto"/>
        <w:jc w:val="center"/>
        <w:rPr>
          <w:rFonts w:ascii="Helvetica" w:hAnsi="Helvetica"/>
          <w:b/>
          <w:sz w:val="24"/>
          <w:szCs w:val="24"/>
        </w:rPr>
      </w:pPr>
      <w:r w:rsidRPr="002F1C25">
        <w:rPr>
          <w:rFonts w:ascii="Helvetica" w:hAnsi="Helvetica"/>
          <w:b/>
          <w:sz w:val="24"/>
          <w:szCs w:val="24"/>
        </w:rPr>
        <w:t>(E. E. Nº 201</w:t>
      </w:r>
      <w:r w:rsidR="00BB0395" w:rsidRPr="002F1C25">
        <w:rPr>
          <w:rFonts w:ascii="Helvetica" w:hAnsi="Helvetica"/>
          <w:b/>
          <w:sz w:val="24"/>
          <w:szCs w:val="24"/>
        </w:rPr>
        <w:t>7</w:t>
      </w:r>
      <w:r w:rsidRPr="002F1C25">
        <w:rPr>
          <w:rFonts w:ascii="Helvetica" w:hAnsi="Helvetica"/>
          <w:b/>
          <w:sz w:val="24"/>
          <w:szCs w:val="24"/>
        </w:rPr>
        <w:t>-17-1-000</w:t>
      </w:r>
      <w:r w:rsidR="00BB0395" w:rsidRPr="002F1C25">
        <w:rPr>
          <w:rFonts w:ascii="Helvetica" w:hAnsi="Helvetica"/>
          <w:b/>
          <w:sz w:val="24"/>
          <w:szCs w:val="24"/>
        </w:rPr>
        <w:t>2224</w:t>
      </w:r>
      <w:r w:rsidRPr="002F1C25">
        <w:rPr>
          <w:rFonts w:ascii="Helvetica" w:hAnsi="Helvetica"/>
          <w:b/>
          <w:sz w:val="24"/>
          <w:szCs w:val="24"/>
        </w:rPr>
        <w:t xml:space="preserve">, </w:t>
      </w:r>
      <w:proofErr w:type="spellStart"/>
      <w:r w:rsidRPr="002F1C25">
        <w:rPr>
          <w:rFonts w:ascii="Helvetica" w:hAnsi="Helvetica"/>
          <w:b/>
          <w:sz w:val="24"/>
          <w:szCs w:val="24"/>
        </w:rPr>
        <w:t>Ent</w:t>
      </w:r>
      <w:proofErr w:type="spellEnd"/>
      <w:r w:rsidRPr="002F1C25">
        <w:rPr>
          <w:rFonts w:ascii="Helvetica" w:hAnsi="Helvetica"/>
          <w:b/>
          <w:sz w:val="24"/>
          <w:szCs w:val="24"/>
        </w:rPr>
        <w:t xml:space="preserve">. N° </w:t>
      </w:r>
      <w:r w:rsidR="00BB0395" w:rsidRPr="002F1C25">
        <w:rPr>
          <w:rFonts w:ascii="Helvetica" w:hAnsi="Helvetica"/>
          <w:b/>
          <w:sz w:val="24"/>
          <w:szCs w:val="24"/>
        </w:rPr>
        <w:t>1718</w:t>
      </w:r>
      <w:r w:rsidRPr="002F1C25">
        <w:rPr>
          <w:rFonts w:ascii="Helvetica" w:hAnsi="Helvetica"/>
          <w:b/>
          <w:sz w:val="24"/>
          <w:szCs w:val="24"/>
        </w:rPr>
        <w:t>/</w:t>
      </w:r>
      <w:r w:rsidR="00BB0395" w:rsidRPr="002F1C25">
        <w:rPr>
          <w:rFonts w:ascii="Helvetica" w:hAnsi="Helvetica"/>
          <w:b/>
          <w:sz w:val="24"/>
          <w:szCs w:val="24"/>
        </w:rPr>
        <w:t>17</w:t>
      </w:r>
      <w:r w:rsidRPr="002F1C25">
        <w:rPr>
          <w:rFonts w:ascii="Helvetica" w:hAnsi="Helvetica"/>
          <w:b/>
          <w:sz w:val="24"/>
          <w:szCs w:val="24"/>
        </w:rPr>
        <w:t>)</w:t>
      </w:r>
    </w:p>
    <w:p w:rsidR="00F46267" w:rsidRPr="00BB0395" w:rsidRDefault="00F46267">
      <w:pPr>
        <w:tabs>
          <w:tab w:val="center" w:pos="4253"/>
        </w:tabs>
        <w:jc w:val="center"/>
        <w:rPr>
          <w:rFonts w:ascii="Arial" w:hAnsi="Arial" w:cs="Arial"/>
          <w:b/>
        </w:rPr>
      </w:pPr>
    </w:p>
    <w:p w:rsidR="005A68FE" w:rsidRDefault="0026752C" w:rsidP="00F53311">
      <w:pPr>
        <w:spacing w:after="0" w:line="360" w:lineRule="auto"/>
        <w:ind w:firstLine="851"/>
        <w:jc w:val="both"/>
      </w:pPr>
      <w:r>
        <w:rPr>
          <w:rFonts w:ascii="Arial" w:hAnsi="Arial" w:cs="Arial"/>
          <w:b/>
          <w:sz w:val="24"/>
          <w:szCs w:val="24"/>
          <w:lang w:val="es-ES"/>
        </w:rPr>
        <w:t>VISTO:</w:t>
      </w:r>
      <w:r w:rsidR="00D8144F">
        <w:rPr>
          <w:rFonts w:ascii="Arial" w:hAnsi="Arial" w:cs="Arial"/>
          <w:b/>
          <w:sz w:val="24"/>
          <w:szCs w:val="24"/>
          <w:lang w:val="es-ES"/>
        </w:rPr>
        <w:t xml:space="preserve"> </w:t>
      </w:r>
      <w:r w:rsidR="00D8144F">
        <w:rPr>
          <w:rFonts w:ascii="Arial" w:hAnsi="Arial" w:cs="Arial"/>
          <w:sz w:val="24"/>
          <w:szCs w:val="24"/>
          <w:lang w:val="es-ES"/>
        </w:rPr>
        <w:t xml:space="preserve">la consulta formulada por el Contador Delegado destacado ante la Administración Nacional de Combustibles, Alcohol y Portland, relacionada con el convenio firmado entre ANCAP y SOCIO ESPECTACULAR; </w:t>
      </w:r>
    </w:p>
    <w:p w:rsidR="005A68FE" w:rsidRPr="00617EC4" w:rsidRDefault="00D8144F" w:rsidP="00F53311">
      <w:pPr>
        <w:spacing w:after="0" w:line="360" w:lineRule="auto"/>
        <w:ind w:firstLine="851"/>
        <w:jc w:val="both"/>
        <w:rPr>
          <w:rFonts w:ascii="Arial" w:hAnsi="Arial" w:cs="Arial"/>
          <w:b/>
          <w:sz w:val="24"/>
          <w:szCs w:val="24"/>
          <w:lang w:val="es-ES"/>
        </w:rPr>
      </w:pPr>
      <w:r>
        <w:rPr>
          <w:rFonts w:ascii="Arial" w:hAnsi="Arial" w:cs="Arial"/>
          <w:b/>
          <w:sz w:val="24"/>
          <w:szCs w:val="24"/>
          <w:lang w:val="es-ES"/>
        </w:rPr>
        <w:t xml:space="preserve">RESULTANDO: 1) </w:t>
      </w:r>
      <w:r w:rsidR="00BB046B">
        <w:rPr>
          <w:rFonts w:ascii="Arial" w:hAnsi="Arial" w:cs="Arial"/>
          <w:sz w:val="24"/>
          <w:szCs w:val="24"/>
          <w:lang w:val="es-ES"/>
        </w:rPr>
        <w:t>que de acuerdo con el  informe de fecha 9/12/16, el C</w:t>
      </w:r>
      <w:r>
        <w:rPr>
          <w:rFonts w:ascii="Arial" w:hAnsi="Arial" w:cs="Arial"/>
          <w:sz w:val="24"/>
          <w:szCs w:val="24"/>
          <w:lang w:val="es-ES"/>
        </w:rPr>
        <w:t xml:space="preserve">onvenio original fue firmado el 30/11/2007, rigiendo en forma retroactiva desde el 1/10/2007, hasta el 20/11/2008, renovándose  automáticamente hasta la fecha. Se propuso un ajuste del convenio para la firma el 16/10/2009, pero no se llegó a suscribir; </w:t>
      </w:r>
    </w:p>
    <w:p w:rsidR="005A68FE" w:rsidRDefault="00D8144F" w:rsidP="00F53311">
      <w:pPr>
        <w:spacing w:after="0" w:line="360" w:lineRule="auto"/>
        <w:ind w:firstLine="2694"/>
        <w:jc w:val="both"/>
      </w:pPr>
      <w:r>
        <w:rPr>
          <w:rFonts w:ascii="Arial" w:hAnsi="Arial" w:cs="Arial"/>
          <w:b/>
          <w:sz w:val="24"/>
          <w:szCs w:val="24"/>
          <w:lang w:val="es-ES"/>
        </w:rPr>
        <w:t xml:space="preserve">2) </w:t>
      </w:r>
      <w:r>
        <w:rPr>
          <w:rFonts w:ascii="Arial" w:hAnsi="Arial" w:cs="Arial"/>
          <w:sz w:val="24"/>
          <w:szCs w:val="24"/>
          <w:lang w:val="es-ES"/>
        </w:rPr>
        <w:t>que con fechas 24/11/16, 1/12/16, 8/12/16, 15/12/16, fue aplazado por el Directorio el tratamiento del tema, hasta que el 22/12/16, el Directorio por Resolución No. 1151/12/2016 de fecha 22/12/16</w:t>
      </w:r>
      <w:r w:rsidR="00BB046B">
        <w:rPr>
          <w:rFonts w:ascii="Arial" w:hAnsi="Arial" w:cs="Arial"/>
          <w:sz w:val="24"/>
          <w:szCs w:val="24"/>
          <w:lang w:val="es-ES"/>
        </w:rPr>
        <w:t>, dispuso aprobar la suscripción de un nuevo C</w:t>
      </w:r>
      <w:r>
        <w:rPr>
          <w:rFonts w:ascii="Arial" w:hAnsi="Arial" w:cs="Arial"/>
          <w:sz w:val="24"/>
          <w:szCs w:val="24"/>
          <w:lang w:val="es-ES"/>
        </w:rPr>
        <w:t xml:space="preserve">onvenio con la Institución Socio Espectacular, fundando dicha contratación </w:t>
      </w:r>
      <w:r w:rsidR="00BB046B">
        <w:rPr>
          <w:rFonts w:ascii="Arial" w:hAnsi="Arial" w:cs="Arial"/>
          <w:sz w:val="24"/>
          <w:szCs w:val="24"/>
          <w:lang w:val="es-ES"/>
        </w:rPr>
        <w:t xml:space="preserve">en lo establecido por la </w:t>
      </w:r>
      <w:r w:rsidR="00F53311">
        <w:rPr>
          <w:rFonts w:ascii="Arial" w:hAnsi="Arial" w:cs="Arial"/>
          <w:sz w:val="24"/>
          <w:szCs w:val="24"/>
          <w:lang w:val="es-ES"/>
        </w:rPr>
        <w:t xml:space="preserve">                               L</w:t>
      </w:r>
      <w:r w:rsidR="00BB046B">
        <w:rPr>
          <w:rFonts w:ascii="Arial" w:hAnsi="Arial" w:cs="Arial"/>
          <w:sz w:val="24"/>
          <w:szCs w:val="24"/>
          <w:lang w:val="es-ES"/>
        </w:rPr>
        <w:t>ey Nº</w:t>
      </w:r>
      <w:r>
        <w:rPr>
          <w:rFonts w:ascii="Arial" w:hAnsi="Arial" w:cs="Arial"/>
          <w:sz w:val="24"/>
          <w:szCs w:val="24"/>
          <w:lang w:val="es-ES"/>
        </w:rPr>
        <w:t xml:space="preserve"> 17.071 de 28/12/1998; </w:t>
      </w:r>
    </w:p>
    <w:p w:rsidR="005A68FE" w:rsidRDefault="00D8144F" w:rsidP="00F53311">
      <w:pPr>
        <w:spacing w:after="0" w:line="360" w:lineRule="auto"/>
        <w:ind w:firstLine="2694"/>
        <w:jc w:val="both"/>
      </w:pPr>
      <w:r>
        <w:rPr>
          <w:rFonts w:ascii="Arial" w:hAnsi="Arial" w:cs="Arial"/>
          <w:b/>
          <w:sz w:val="24"/>
          <w:szCs w:val="24"/>
          <w:lang w:val="es-ES"/>
        </w:rPr>
        <w:t xml:space="preserve">3) </w:t>
      </w:r>
      <w:proofErr w:type="gramStart"/>
      <w:r>
        <w:rPr>
          <w:rFonts w:ascii="Arial" w:hAnsi="Arial" w:cs="Arial"/>
          <w:sz w:val="24"/>
          <w:szCs w:val="24"/>
          <w:lang w:val="es-ES"/>
        </w:rPr>
        <w:t>que</w:t>
      </w:r>
      <w:proofErr w:type="gramEnd"/>
      <w:r>
        <w:rPr>
          <w:rFonts w:ascii="Arial" w:hAnsi="Arial" w:cs="Arial"/>
          <w:sz w:val="24"/>
          <w:szCs w:val="24"/>
          <w:lang w:val="es-ES"/>
        </w:rPr>
        <w:t xml:space="preserve"> el Contador Delegado con fecha 17/1/17  insistió en la necesidad de rectificar el informe de disponibilidad, y la Gerencia Económico Financiera con fecha 20/1/17, entendió que el gasto corresponde imputarlo al Rubro 2, por tratarse de una contratación de servicios, lo que no fue compartido por el Contador Delegado, en su informe de fecha 23/1/17; </w:t>
      </w:r>
    </w:p>
    <w:p w:rsidR="005A68FE" w:rsidRDefault="00D8144F" w:rsidP="00F53311">
      <w:pPr>
        <w:spacing w:after="0" w:line="360" w:lineRule="auto"/>
        <w:ind w:firstLine="2694"/>
        <w:jc w:val="both"/>
      </w:pPr>
      <w:r>
        <w:rPr>
          <w:rFonts w:ascii="Arial" w:hAnsi="Arial" w:cs="Arial"/>
          <w:b/>
          <w:sz w:val="24"/>
          <w:szCs w:val="24"/>
          <w:lang w:val="es-ES"/>
        </w:rPr>
        <w:t xml:space="preserve">4) </w:t>
      </w:r>
      <w:r>
        <w:rPr>
          <w:rFonts w:ascii="Arial" w:hAnsi="Arial" w:cs="Arial"/>
          <w:sz w:val="24"/>
          <w:szCs w:val="24"/>
          <w:lang w:val="es-ES"/>
        </w:rPr>
        <w:t>que la Gerencia de Relaciones Institucionales (GRI), con fecha 25/1/17, gestionó el dictado de una nueva resolución del Directorio, modificando la fundamentación jurídica de la Resolución anterior, en lo que re</w:t>
      </w:r>
      <w:r w:rsidR="004908BE">
        <w:rPr>
          <w:rFonts w:ascii="Arial" w:hAnsi="Arial" w:cs="Arial"/>
          <w:sz w:val="24"/>
          <w:szCs w:val="24"/>
          <w:lang w:val="es-ES"/>
        </w:rPr>
        <w:t xml:space="preserve">fiere a la mención de la </w:t>
      </w:r>
      <w:r w:rsidR="00F53311">
        <w:rPr>
          <w:rFonts w:ascii="Arial" w:hAnsi="Arial" w:cs="Arial"/>
          <w:sz w:val="24"/>
          <w:szCs w:val="24"/>
          <w:lang w:val="es-ES"/>
        </w:rPr>
        <w:t>L</w:t>
      </w:r>
      <w:r w:rsidR="004908BE">
        <w:rPr>
          <w:rFonts w:ascii="Arial" w:hAnsi="Arial" w:cs="Arial"/>
          <w:sz w:val="24"/>
          <w:szCs w:val="24"/>
          <w:lang w:val="es-ES"/>
        </w:rPr>
        <w:t>ey Nº</w:t>
      </w:r>
      <w:r>
        <w:rPr>
          <w:rFonts w:ascii="Arial" w:hAnsi="Arial" w:cs="Arial"/>
          <w:sz w:val="24"/>
          <w:szCs w:val="24"/>
          <w:lang w:val="es-ES"/>
        </w:rPr>
        <w:t xml:space="preserve"> 17.071, así como también sobre el informe de disponibilida</w:t>
      </w:r>
      <w:r w:rsidR="004908BE">
        <w:rPr>
          <w:rFonts w:ascii="Arial" w:hAnsi="Arial" w:cs="Arial"/>
          <w:sz w:val="24"/>
          <w:szCs w:val="24"/>
          <w:lang w:val="es-ES"/>
        </w:rPr>
        <w:t>d. El Directorio, de acuerdo con</w:t>
      </w:r>
      <w:r>
        <w:rPr>
          <w:rFonts w:ascii="Arial" w:hAnsi="Arial" w:cs="Arial"/>
          <w:sz w:val="24"/>
          <w:szCs w:val="24"/>
          <w:lang w:val="es-ES"/>
        </w:rPr>
        <w:t xml:space="preserve"> lo </w:t>
      </w:r>
      <w:r w:rsidR="004908BE">
        <w:rPr>
          <w:rFonts w:ascii="Arial" w:hAnsi="Arial" w:cs="Arial"/>
          <w:sz w:val="24"/>
          <w:szCs w:val="24"/>
          <w:lang w:val="es-ES"/>
        </w:rPr>
        <w:t>propuesto, dictó la Resolución Nº</w:t>
      </w:r>
      <w:r>
        <w:rPr>
          <w:rFonts w:ascii="Arial" w:hAnsi="Arial" w:cs="Arial"/>
          <w:sz w:val="24"/>
          <w:szCs w:val="24"/>
          <w:lang w:val="es-ES"/>
        </w:rPr>
        <w:t xml:space="preserve"> 88/2/2017 de fecha 2/2/17; </w:t>
      </w:r>
    </w:p>
    <w:p w:rsidR="005A68FE" w:rsidRDefault="00D8144F" w:rsidP="00F53311">
      <w:pPr>
        <w:spacing w:after="0" w:line="360" w:lineRule="auto"/>
        <w:ind w:firstLine="2694"/>
        <w:jc w:val="both"/>
      </w:pPr>
      <w:r>
        <w:rPr>
          <w:rFonts w:ascii="Arial" w:hAnsi="Arial" w:cs="Arial"/>
          <w:b/>
          <w:sz w:val="24"/>
          <w:szCs w:val="24"/>
          <w:lang w:val="es-ES"/>
        </w:rPr>
        <w:lastRenderedPageBreak/>
        <w:t xml:space="preserve">5) </w:t>
      </w:r>
      <w:r w:rsidR="004908BE">
        <w:rPr>
          <w:rFonts w:ascii="Arial" w:hAnsi="Arial" w:cs="Arial"/>
          <w:sz w:val="24"/>
          <w:szCs w:val="24"/>
          <w:lang w:val="es-ES"/>
        </w:rPr>
        <w:t>que el C</w:t>
      </w:r>
      <w:r>
        <w:rPr>
          <w:rFonts w:ascii="Arial" w:hAnsi="Arial" w:cs="Arial"/>
          <w:sz w:val="24"/>
          <w:szCs w:val="24"/>
          <w:lang w:val="es-ES"/>
        </w:rPr>
        <w:t>onvenio fue suscrito el 20/3/17, por el plazo de un año, retroactivo al 1/10/16. Del texto del referido convenio surge que las obligaciones d</w:t>
      </w:r>
      <w:r w:rsidR="004908BE">
        <w:rPr>
          <w:rFonts w:ascii="Arial" w:hAnsi="Arial" w:cs="Arial"/>
          <w:sz w:val="24"/>
          <w:szCs w:val="24"/>
          <w:lang w:val="es-ES"/>
        </w:rPr>
        <w:t>e las partes son: a) Socio Espectacular debe</w:t>
      </w:r>
      <w:r>
        <w:rPr>
          <w:rFonts w:ascii="Arial" w:hAnsi="Arial" w:cs="Arial"/>
          <w:sz w:val="24"/>
          <w:szCs w:val="24"/>
          <w:lang w:val="es-ES"/>
        </w:rPr>
        <w:t xml:space="preserve"> otorgar varios  beneficios a todos los </w:t>
      </w:r>
      <w:r w:rsidR="004908BE">
        <w:rPr>
          <w:rFonts w:ascii="Arial" w:hAnsi="Arial" w:cs="Arial"/>
          <w:sz w:val="24"/>
          <w:szCs w:val="24"/>
          <w:lang w:val="es-ES"/>
        </w:rPr>
        <w:t xml:space="preserve">funcionarios de </w:t>
      </w:r>
      <w:proofErr w:type="spellStart"/>
      <w:r w:rsidR="004908BE">
        <w:rPr>
          <w:rFonts w:ascii="Arial" w:hAnsi="Arial" w:cs="Arial"/>
          <w:sz w:val="24"/>
          <w:szCs w:val="24"/>
          <w:lang w:val="es-ES"/>
        </w:rPr>
        <w:t>Ancap</w:t>
      </w:r>
      <w:proofErr w:type="spellEnd"/>
      <w:r w:rsidR="004908BE">
        <w:rPr>
          <w:rFonts w:ascii="Arial" w:hAnsi="Arial" w:cs="Arial"/>
          <w:sz w:val="24"/>
          <w:szCs w:val="24"/>
          <w:lang w:val="es-ES"/>
        </w:rPr>
        <w:t xml:space="preserve">, como el </w:t>
      </w:r>
      <w:r>
        <w:rPr>
          <w:rFonts w:ascii="Arial" w:hAnsi="Arial" w:cs="Arial"/>
          <w:sz w:val="24"/>
          <w:szCs w:val="24"/>
          <w:lang w:val="es-ES"/>
        </w:rPr>
        <w:t xml:space="preserve">acceso libre a los espectáculos de algunos teatros, a producciones del </w:t>
      </w:r>
      <w:proofErr w:type="spellStart"/>
      <w:r>
        <w:rPr>
          <w:rFonts w:ascii="Arial" w:hAnsi="Arial" w:cs="Arial"/>
          <w:sz w:val="24"/>
          <w:szCs w:val="24"/>
          <w:lang w:val="es-ES"/>
        </w:rPr>
        <w:t>Sodre</w:t>
      </w:r>
      <w:proofErr w:type="spellEnd"/>
      <w:r>
        <w:rPr>
          <w:rFonts w:ascii="Arial" w:hAnsi="Arial" w:cs="Arial"/>
          <w:sz w:val="24"/>
          <w:szCs w:val="24"/>
          <w:lang w:val="es-ES"/>
        </w:rPr>
        <w:t xml:space="preserve"> y conciertos de la Filarmónica de Montevideo, al Campeonato Uruguayo </w:t>
      </w:r>
      <w:r w:rsidR="004908BE">
        <w:rPr>
          <w:rFonts w:ascii="Arial" w:hAnsi="Arial" w:cs="Arial"/>
          <w:sz w:val="24"/>
          <w:szCs w:val="24"/>
          <w:lang w:val="es-ES"/>
        </w:rPr>
        <w:t xml:space="preserve">de Futbol, </w:t>
      </w:r>
      <w:proofErr w:type="spellStart"/>
      <w:r w:rsidR="004908BE">
        <w:rPr>
          <w:rFonts w:ascii="Arial" w:hAnsi="Arial" w:cs="Arial"/>
          <w:sz w:val="24"/>
          <w:szCs w:val="24"/>
          <w:lang w:val="es-ES"/>
        </w:rPr>
        <w:t>etc</w:t>
      </w:r>
      <w:proofErr w:type="spellEnd"/>
      <w:r w:rsidR="004908BE">
        <w:rPr>
          <w:rFonts w:ascii="Arial" w:hAnsi="Arial" w:cs="Arial"/>
          <w:sz w:val="24"/>
          <w:szCs w:val="24"/>
          <w:lang w:val="es-ES"/>
        </w:rPr>
        <w:t xml:space="preserve">;  </w:t>
      </w:r>
      <w:r w:rsidR="00F53311">
        <w:rPr>
          <w:rFonts w:ascii="Arial" w:hAnsi="Arial" w:cs="Arial"/>
          <w:sz w:val="24"/>
          <w:szCs w:val="24"/>
          <w:lang w:val="es-ES"/>
        </w:rPr>
        <w:t xml:space="preserve">                          </w:t>
      </w:r>
      <w:r w:rsidR="004908BE">
        <w:rPr>
          <w:rFonts w:ascii="Arial" w:hAnsi="Arial" w:cs="Arial"/>
          <w:sz w:val="24"/>
          <w:szCs w:val="24"/>
          <w:lang w:val="es-ES"/>
        </w:rPr>
        <w:t xml:space="preserve">b) </w:t>
      </w:r>
      <w:proofErr w:type="spellStart"/>
      <w:r w:rsidR="004908BE">
        <w:rPr>
          <w:rFonts w:ascii="Arial" w:hAnsi="Arial" w:cs="Arial"/>
          <w:sz w:val="24"/>
          <w:szCs w:val="24"/>
          <w:lang w:val="es-ES"/>
        </w:rPr>
        <w:t>Ancap</w:t>
      </w:r>
      <w:proofErr w:type="spellEnd"/>
      <w:r w:rsidR="004908BE">
        <w:rPr>
          <w:rFonts w:ascii="Arial" w:hAnsi="Arial" w:cs="Arial"/>
          <w:sz w:val="24"/>
          <w:szCs w:val="24"/>
          <w:lang w:val="es-ES"/>
        </w:rPr>
        <w:t xml:space="preserve">, tiene una </w:t>
      </w:r>
      <w:r>
        <w:rPr>
          <w:rFonts w:ascii="Arial" w:hAnsi="Arial" w:cs="Arial"/>
          <w:sz w:val="24"/>
          <w:szCs w:val="24"/>
          <w:lang w:val="es-ES"/>
        </w:rPr>
        <w:t>única contraprestación</w:t>
      </w:r>
      <w:r w:rsidR="004908BE">
        <w:rPr>
          <w:rFonts w:ascii="Arial" w:hAnsi="Arial" w:cs="Arial"/>
          <w:sz w:val="24"/>
          <w:szCs w:val="24"/>
          <w:lang w:val="es-ES"/>
        </w:rPr>
        <w:t>: abonar a Socio</w:t>
      </w:r>
      <w:r>
        <w:rPr>
          <w:rFonts w:ascii="Arial" w:hAnsi="Arial" w:cs="Arial"/>
          <w:sz w:val="24"/>
          <w:szCs w:val="24"/>
          <w:lang w:val="es-ES"/>
        </w:rPr>
        <w:t xml:space="preserve"> Espectacular la suma de $1.588.624 en una sola partida</w:t>
      </w:r>
      <w:r w:rsidR="004908BE">
        <w:rPr>
          <w:rFonts w:ascii="Arial" w:hAnsi="Arial" w:cs="Arial"/>
          <w:sz w:val="24"/>
          <w:szCs w:val="24"/>
          <w:lang w:val="es-ES"/>
        </w:rPr>
        <w:t>;</w:t>
      </w:r>
      <w:r>
        <w:rPr>
          <w:rFonts w:ascii="Arial" w:hAnsi="Arial" w:cs="Arial"/>
          <w:sz w:val="24"/>
          <w:szCs w:val="24"/>
          <w:lang w:val="es-ES"/>
        </w:rPr>
        <w:t xml:space="preserve"> </w:t>
      </w:r>
    </w:p>
    <w:p w:rsidR="005A68FE" w:rsidRDefault="00D8144F" w:rsidP="00F53311">
      <w:pPr>
        <w:spacing w:after="0" w:line="360" w:lineRule="auto"/>
        <w:ind w:firstLine="2694"/>
        <w:jc w:val="both"/>
      </w:pPr>
      <w:r>
        <w:rPr>
          <w:rFonts w:ascii="Arial" w:hAnsi="Arial" w:cs="Arial"/>
          <w:b/>
          <w:sz w:val="24"/>
          <w:szCs w:val="24"/>
          <w:lang w:val="es-ES"/>
        </w:rPr>
        <w:t xml:space="preserve">6) </w:t>
      </w:r>
      <w:r>
        <w:rPr>
          <w:rFonts w:ascii="Arial" w:hAnsi="Arial" w:cs="Arial"/>
          <w:sz w:val="24"/>
          <w:szCs w:val="24"/>
          <w:lang w:val="es-ES"/>
        </w:rPr>
        <w:t xml:space="preserve">que el Contador Delegado, intervino preventivamente el gasto dispuesto por la resolución del Directorio </w:t>
      </w:r>
      <w:r w:rsidR="00F53311">
        <w:rPr>
          <w:rFonts w:ascii="Arial" w:hAnsi="Arial" w:cs="Arial"/>
          <w:sz w:val="24"/>
          <w:szCs w:val="24"/>
          <w:lang w:val="es-ES"/>
        </w:rPr>
        <w:t xml:space="preserve">                              </w:t>
      </w:r>
      <w:r>
        <w:rPr>
          <w:rFonts w:ascii="Arial" w:hAnsi="Arial" w:cs="Arial"/>
          <w:sz w:val="24"/>
          <w:szCs w:val="24"/>
          <w:lang w:val="es-ES"/>
        </w:rPr>
        <w:t>No. 1151/12/2016 del 22/12/16, modificada por Resolución N</w:t>
      </w:r>
      <w:r w:rsidR="004908BE">
        <w:rPr>
          <w:rFonts w:ascii="Arial" w:hAnsi="Arial" w:cs="Arial"/>
          <w:sz w:val="24"/>
          <w:szCs w:val="24"/>
          <w:lang w:val="es-ES"/>
        </w:rPr>
        <w:t>o. 88/2/2017 del 2/2/2017</w:t>
      </w:r>
      <w:r>
        <w:rPr>
          <w:rFonts w:ascii="Arial" w:hAnsi="Arial" w:cs="Arial"/>
          <w:sz w:val="24"/>
          <w:szCs w:val="24"/>
          <w:lang w:val="es-ES"/>
        </w:rPr>
        <w:t xml:space="preserve">; </w:t>
      </w:r>
    </w:p>
    <w:p w:rsidR="005A68FE" w:rsidRDefault="00D8144F" w:rsidP="00F53311">
      <w:pPr>
        <w:spacing w:after="0" w:line="360" w:lineRule="auto"/>
        <w:ind w:firstLine="2694"/>
        <w:jc w:val="both"/>
      </w:pPr>
      <w:r>
        <w:rPr>
          <w:rFonts w:ascii="Arial" w:hAnsi="Arial" w:cs="Arial"/>
          <w:b/>
          <w:sz w:val="24"/>
          <w:szCs w:val="24"/>
          <w:lang w:val="es-ES"/>
        </w:rPr>
        <w:t xml:space="preserve">7) </w:t>
      </w:r>
      <w:r>
        <w:rPr>
          <w:rFonts w:ascii="Arial" w:hAnsi="Arial" w:cs="Arial"/>
          <w:sz w:val="24"/>
          <w:szCs w:val="24"/>
          <w:lang w:val="es-ES"/>
        </w:rPr>
        <w:t xml:space="preserve">que   por nota de fecha 31 de marzo de 2017, el Contador Delegado formula consulta, relacionada con el convenio suscrito con SOCIO ESPECTACULAR, </w:t>
      </w:r>
      <w:r w:rsidR="00D64DC4">
        <w:rPr>
          <w:rFonts w:ascii="Arial" w:hAnsi="Arial" w:cs="Arial"/>
          <w:sz w:val="24"/>
          <w:szCs w:val="24"/>
          <w:lang w:val="es-ES"/>
        </w:rPr>
        <w:t xml:space="preserve">señalando: a) </w:t>
      </w:r>
      <w:r w:rsidR="00D64DC4" w:rsidRPr="00D64DC4">
        <w:rPr>
          <w:rFonts w:ascii="Arial" w:hAnsi="Arial" w:cs="Arial"/>
          <w:sz w:val="24"/>
          <w:szCs w:val="24"/>
          <w:lang w:val="es-ES"/>
        </w:rPr>
        <w:t>el borrador de contrato remitido para su intervención, tenía la vigencia en blanco y no establecía que se aplicaría en forma retroactiva</w:t>
      </w:r>
      <w:r w:rsidR="00D64DC4">
        <w:rPr>
          <w:rFonts w:ascii="Arial" w:hAnsi="Arial" w:cs="Arial"/>
          <w:sz w:val="24"/>
          <w:szCs w:val="24"/>
          <w:lang w:val="es-ES"/>
        </w:rPr>
        <w:t>;</w:t>
      </w:r>
      <w:r>
        <w:rPr>
          <w:rFonts w:ascii="Arial" w:hAnsi="Arial" w:cs="Arial"/>
          <w:sz w:val="24"/>
          <w:szCs w:val="24"/>
          <w:lang w:val="es-ES"/>
        </w:rPr>
        <w:t xml:space="preserve">  </w:t>
      </w:r>
      <w:r w:rsidR="00D64DC4">
        <w:rPr>
          <w:rFonts w:ascii="Arial" w:hAnsi="Arial" w:cs="Arial"/>
          <w:sz w:val="24"/>
          <w:szCs w:val="24"/>
          <w:lang w:val="es-ES"/>
        </w:rPr>
        <w:t xml:space="preserve">b) </w:t>
      </w:r>
      <w:r>
        <w:rPr>
          <w:rFonts w:ascii="Arial" w:hAnsi="Arial" w:cs="Arial"/>
          <w:sz w:val="24"/>
          <w:szCs w:val="24"/>
          <w:lang w:val="es-ES"/>
        </w:rPr>
        <w:t xml:space="preserve">que </w:t>
      </w:r>
      <w:r w:rsidR="00D64DC4">
        <w:rPr>
          <w:rFonts w:ascii="Arial" w:hAnsi="Arial" w:cs="Arial"/>
          <w:sz w:val="24"/>
          <w:szCs w:val="24"/>
          <w:lang w:val="es-ES"/>
        </w:rPr>
        <w:t xml:space="preserve">a los gastos emergentes del mismo </w:t>
      </w:r>
      <w:r>
        <w:rPr>
          <w:rFonts w:ascii="Arial" w:hAnsi="Arial" w:cs="Arial"/>
          <w:sz w:val="24"/>
          <w:szCs w:val="24"/>
          <w:lang w:val="es-ES"/>
        </w:rPr>
        <w:t>se le</w:t>
      </w:r>
      <w:r w:rsidR="00D64DC4">
        <w:rPr>
          <w:rFonts w:ascii="Arial" w:hAnsi="Arial" w:cs="Arial"/>
          <w:sz w:val="24"/>
          <w:szCs w:val="24"/>
          <w:lang w:val="es-ES"/>
        </w:rPr>
        <w:t>s</w:t>
      </w:r>
      <w:r>
        <w:rPr>
          <w:rFonts w:ascii="Arial" w:hAnsi="Arial" w:cs="Arial"/>
          <w:sz w:val="24"/>
          <w:szCs w:val="24"/>
          <w:lang w:val="es-ES"/>
        </w:rPr>
        <w:t xml:space="preserve"> dio tratamiento como gasto</w:t>
      </w:r>
      <w:r w:rsidR="00D64DC4">
        <w:rPr>
          <w:rFonts w:ascii="Arial" w:hAnsi="Arial" w:cs="Arial"/>
          <w:sz w:val="24"/>
          <w:szCs w:val="24"/>
          <w:lang w:val="es-ES"/>
        </w:rPr>
        <w:t>s</w:t>
      </w:r>
      <w:r>
        <w:rPr>
          <w:rFonts w:ascii="Arial" w:hAnsi="Arial" w:cs="Arial"/>
          <w:sz w:val="24"/>
          <w:szCs w:val="24"/>
          <w:lang w:val="es-ES"/>
        </w:rPr>
        <w:t xml:space="preserve"> de funcionamiento, cuando en los hechos el Ente no recibe ninguna contraprestación, sino que ésta es recibida </w:t>
      </w:r>
      <w:r w:rsidR="00D64DC4">
        <w:rPr>
          <w:rFonts w:ascii="Arial" w:hAnsi="Arial" w:cs="Arial"/>
          <w:sz w:val="24"/>
          <w:szCs w:val="24"/>
          <w:lang w:val="es-ES"/>
        </w:rPr>
        <w:t xml:space="preserve">por sus funcionarios. Sostiene que el gasto </w:t>
      </w:r>
      <w:r>
        <w:rPr>
          <w:rFonts w:ascii="Arial" w:hAnsi="Arial" w:cs="Arial"/>
          <w:sz w:val="24"/>
          <w:szCs w:val="24"/>
          <w:lang w:val="es-ES"/>
        </w:rPr>
        <w:t>debería ser tratado como una donación, o, en caso co</w:t>
      </w:r>
      <w:r w:rsidR="00D64DC4">
        <w:rPr>
          <w:rFonts w:ascii="Arial" w:hAnsi="Arial" w:cs="Arial"/>
          <w:sz w:val="24"/>
          <w:szCs w:val="24"/>
          <w:lang w:val="es-ES"/>
        </w:rPr>
        <w:t>ntrario, debería ser imputado a</w:t>
      </w:r>
      <w:r>
        <w:rPr>
          <w:rFonts w:ascii="Arial" w:hAnsi="Arial" w:cs="Arial"/>
          <w:sz w:val="24"/>
          <w:szCs w:val="24"/>
          <w:lang w:val="es-ES"/>
        </w:rPr>
        <w:t xml:space="preserve"> retribuciones, particularmente a Servicios Personales, como otro beneficio otorgado a los funcionarios de ANCAP, como lo es la guardería, etc.;    </w:t>
      </w:r>
    </w:p>
    <w:p w:rsidR="005A68FE" w:rsidRDefault="00D8144F" w:rsidP="00F53311">
      <w:pPr>
        <w:spacing w:after="0" w:line="360" w:lineRule="auto"/>
        <w:ind w:firstLine="851"/>
        <w:jc w:val="both"/>
      </w:pPr>
      <w:r>
        <w:rPr>
          <w:rFonts w:ascii="Arial" w:hAnsi="Arial" w:cs="Arial"/>
          <w:b/>
          <w:bCs/>
          <w:sz w:val="24"/>
          <w:szCs w:val="24"/>
        </w:rPr>
        <w:t>CONSIDERANDO: 1</w:t>
      </w:r>
      <w:r w:rsidR="00D64DC4">
        <w:rPr>
          <w:rFonts w:ascii="Arial" w:hAnsi="Arial" w:cs="Arial"/>
          <w:b/>
          <w:bCs/>
          <w:sz w:val="24"/>
          <w:szCs w:val="24"/>
        </w:rPr>
        <w:t xml:space="preserve">) </w:t>
      </w:r>
      <w:r>
        <w:rPr>
          <w:rFonts w:ascii="Arial" w:hAnsi="Arial" w:cs="Arial"/>
          <w:sz w:val="24"/>
          <w:szCs w:val="24"/>
        </w:rPr>
        <w:t>que el gasto emergent</w:t>
      </w:r>
      <w:r w:rsidR="00BB046B">
        <w:rPr>
          <w:rFonts w:ascii="Arial" w:hAnsi="Arial" w:cs="Arial"/>
          <w:sz w:val="24"/>
          <w:szCs w:val="24"/>
        </w:rPr>
        <w:t>e del convenio ya suscrito, debió</w:t>
      </w:r>
      <w:r>
        <w:rPr>
          <w:rFonts w:ascii="Arial" w:hAnsi="Arial" w:cs="Arial"/>
          <w:sz w:val="24"/>
          <w:szCs w:val="24"/>
        </w:rPr>
        <w:t xml:space="preserve"> ser observado en r</w:t>
      </w:r>
      <w:r w:rsidR="00D64DC4">
        <w:rPr>
          <w:rFonts w:ascii="Arial" w:hAnsi="Arial" w:cs="Arial"/>
          <w:sz w:val="24"/>
          <w:szCs w:val="24"/>
        </w:rPr>
        <w:t>azón de las causales que se expresan en los considerandos siguientes;</w:t>
      </w:r>
      <w:r>
        <w:rPr>
          <w:rFonts w:ascii="Arial" w:hAnsi="Arial" w:cs="Arial"/>
          <w:sz w:val="24"/>
          <w:szCs w:val="24"/>
        </w:rPr>
        <w:t xml:space="preserve"> </w:t>
      </w:r>
    </w:p>
    <w:p w:rsidR="005A68FE" w:rsidRDefault="00D64DC4" w:rsidP="00C14E36">
      <w:pPr>
        <w:spacing w:after="0" w:line="360" w:lineRule="auto"/>
        <w:ind w:firstLine="2977"/>
        <w:jc w:val="both"/>
      </w:pPr>
      <w:r>
        <w:rPr>
          <w:rFonts w:ascii="Arial" w:hAnsi="Arial" w:cs="Arial"/>
          <w:b/>
          <w:sz w:val="24"/>
          <w:szCs w:val="24"/>
        </w:rPr>
        <w:t xml:space="preserve">2) </w:t>
      </w:r>
      <w:r>
        <w:rPr>
          <w:rFonts w:ascii="Arial" w:hAnsi="Arial" w:cs="Arial"/>
          <w:sz w:val="24"/>
          <w:szCs w:val="24"/>
        </w:rPr>
        <w:t>de acuerdo con</w:t>
      </w:r>
      <w:r w:rsidR="00D8144F">
        <w:rPr>
          <w:rFonts w:ascii="Arial" w:hAnsi="Arial" w:cs="Arial"/>
          <w:sz w:val="24"/>
          <w:szCs w:val="24"/>
        </w:rPr>
        <w:t xml:space="preserve"> la fecha de </w:t>
      </w:r>
      <w:r>
        <w:rPr>
          <w:rFonts w:ascii="Arial" w:hAnsi="Arial" w:cs="Arial"/>
          <w:sz w:val="24"/>
          <w:szCs w:val="24"/>
        </w:rPr>
        <w:t>suscripción del nuevo Convenio (</w:t>
      </w:r>
      <w:r w:rsidR="00D8144F">
        <w:rPr>
          <w:rFonts w:ascii="Arial" w:hAnsi="Arial" w:cs="Arial"/>
          <w:sz w:val="24"/>
          <w:szCs w:val="24"/>
        </w:rPr>
        <w:t>20/3/2017</w:t>
      </w:r>
      <w:r>
        <w:rPr>
          <w:rFonts w:ascii="Arial" w:hAnsi="Arial" w:cs="Arial"/>
          <w:sz w:val="24"/>
          <w:szCs w:val="24"/>
        </w:rPr>
        <w:t>)</w:t>
      </w:r>
      <w:r w:rsidR="00D8144F">
        <w:rPr>
          <w:rFonts w:ascii="Arial" w:hAnsi="Arial" w:cs="Arial"/>
          <w:sz w:val="24"/>
          <w:szCs w:val="24"/>
        </w:rPr>
        <w:t xml:space="preserve"> y a</w:t>
      </w:r>
      <w:r>
        <w:rPr>
          <w:rFonts w:ascii="Arial" w:hAnsi="Arial" w:cs="Arial"/>
          <w:sz w:val="24"/>
          <w:szCs w:val="24"/>
        </w:rPr>
        <w:t>l  plazo de vigenc</w:t>
      </w:r>
      <w:r w:rsidR="00BB046B">
        <w:rPr>
          <w:rFonts w:ascii="Arial" w:hAnsi="Arial" w:cs="Arial"/>
          <w:sz w:val="24"/>
          <w:szCs w:val="24"/>
        </w:rPr>
        <w:t>ia del mismo, su monto</w:t>
      </w:r>
      <w:r>
        <w:rPr>
          <w:rFonts w:ascii="Arial" w:hAnsi="Arial" w:cs="Arial"/>
          <w:sz w:val="24"/>
          <w:szCs w:val="24"/>
        </w:rPr>
        <w:t xml:space="preserve"> asciende a la suma de $</w:t>
      </w:r>
      <w:r w:rsidR="00BB046B">
        <w:rPr>
          <w:rFonts w:ascii="Arial" w:hAnsi="Arial" w:cs="Arial"/>
          <w:sz w:val="24"/>
          <w:szCs w:val="24"/>
        </w:rPr>
        <w:t xml:space="preserve"> 1.588.824, superando los topes</w:t>
      </w:r>
      <w:r>
        <w:rPr>
          <w:rFonts w:ascii="Arial" w:hAnsi="Arial" w:cs="Arial"/>
          <w:sz w:val="24"/>
          <w:szCs w:val="24"/>
        </w:rPr>
        <w:t xml:space="preserve"> máximos previstos para la contratación directa ampliada</w:t>
      </w:r>
      <w:r w:rsidR="00BB046B">
        <w:rPr>
          <w:rFonts w:ascii="Arial" w:hAnsi="Arial" w:cs="Arial"/>
          <w:sz w:val="24"/>
          <w:szCs w:val="24"/>
        </w:rPr>
        <w:t xml:space="preserve"> </w:t>
      </w:r>
      <w:r>
        <w:rPr>
          <w:rFonts w:ascii="Arial" w:hAnsi="Arial" w:cs="Arial"/>
          <w:sz w:val="24"/>
          <w:szCs w:val="24"/>
        </w:rPr>
        <w:t>(</w:t>
      </w:r>
      <w:r w:rsidR="00D8144F">
        <w:rPr>
          <w:rFonts w:ascii="Arial" w:hAnsi="Arial" w:cs="Arial"/>
          <w:sz w:val="24"/>
          <w:szCs w:val="24"/>
        </w:rPr>
        <w:t xml:space="preserve">$ 1:138.000, para el Ejercicio 2016 y </w:t>
      </w:r>
      <w:r w:rsidR="00C14E36">
        <w:rPr>
          <w:rFonts w:ascii="Arial" w:hAnsi="Arial" w:cs="Arial"/>
          <w:sz w:val="24"/>
          <w:szCs w:val="24"/>
        </w:rPr>
        <w:t xml:space="preserve">                           </w:t>
      </w:r>
      <w:r w:rsidR="00D8144F">
        <w:rPr>
          <w:rFonts w:ascii="Arial" w:hAnsi="Arial" w:cs="Arial"/>
          <w:sz w:val="24"/>
          <w:szCs w:val="24"/>
        </w:rPr>
        <w:t>$ 1:230.000, en el 2017</w:t>
      </w:r>
      <w:r>
        <w:rPr>
          <w:rFonts w:ascii="Arial" w:hAnsi="Arial" w:cs="Arial"/>
          <w:sz w:val="24"/>
          <w:szCs w:val="24"/>
        </w:rPr>
        <w:t>). En consecuencia, d</w:t>
      </w:r>
      <w:r w:rsidR="00BB046B">
        <w:rPr>
          <w:rFonts w:ascii="Arial" w:hAnsi="Arial" w:cs="Arial"/>
          <w:sz w:val="24"/>
          <w:szCs w:val="24"/>
        </w:rPr>
        <w:t>ebió seguirse el</w:t>
      </w:r>
      <w:r w:rsidR="00D8144F">
        <w:rPr>
          <w:rFonts w:ascii="Arial" w:hAnsi="Arial" w:cs="Arial"/>
          <w:sz w:val="24"/>
          <w:szCs w:val="24"/>
        </w:rPr>
        <w:t xml:space="preserve"> procedimiento competitivo de contratación</w:t>
      </w:r>
      <w:r>
        <w:rPr>
          <w:rFonts w:ascii="Arial" w:hAnsi="Arial" w:cs="Arial"/>
          <w:sz w:val="24"/>
          <w:szCs w:val="24"/>
        </w:rPr>
        <w:t xml:space="preserve"> que corresponde en atención al monto del gasto</w:t>
      </w:r>
      <w:r w:rsidR="00D8144F">
        <w:rPr>
          <w:rFonts w:ascii="Arial" w:hAnsi="Arial" w:cs="Arial"/>
          <w:sz w:val="24"/>
          <w:szCs w:val="24"/>
        </w:rPr>
        <w:t xml:space="preserve">, o </w:t>
      </w:r>
      <w:r w:rsidR="00D8144F">
        <w:rPr>
          <w:rFonts w:ascii="Arial" w:hAnsi="Arial" w:cs="Arial"/>
          <w:sz w:val="24"/>
          <w:szCs w:val="24"/>
        </w:rPr>
        <w:lastRenderedPageBreak/>
        <w:t xml:space="preserve">encuadrar la contratación en alguna de las causales de excepción previstas en el </w:t>
      </w:r>
      <w:r w:rsidR="00C14E36">
        <w:rPr>
          <w:rFonts w:ascii="Arial" w:hAnsi="Arial" w:cs="Arial"/>
          <w:sz w:val="24"/>
          <w:szCs w:val="24"/>
        </w:rPr>
        <w:t>A</w:t>
      </w:r>
      <w:r w:rsidR="00D8144F">
        <w:rPr>
          <w:rFonts w:ascii="Arial" w:hAnsi="Arial" w:cs="Arial"/>
          <w:sz w:val="24"/>
          <w:szCs w:val="24"/>
        </w:rPr>
        <w:t xml:space="preserve">rtículo 33 </w:t>
      </w:r>
      <w:r w:rsidR="00C14E36">
        <w:rPr>
          <w:rFonts w:ascii="Arial" w:hAnsi="Arial" w:cs="Arial"/>
          <w:sz w:val="24"/>
          <w:szCs w:val="24"/>
        </w:rPr>
        <w:t>L</w:t>
      </w:r>
      <w:r w:rsidR="00D8144F">
        <w:rPr>
          <w:rFonts w:ascii="Arial" w:hAnsi="Arial" w:cs="Arial"/>
          <w:sz w:val="24"/>
          <w:szCs w:val="24"/>
        </w:rPr>
        <w:t>iteral C) del TOCAF;</w:t>
      </w:r>
    </w:p>
    <w:p w:rsidR="005A68FE" w:rsidRDefault="001C4B53" w:rsidP="00C14E36">
      <w:pPr>
        <w:spacing w:after="0" w:line="360" w:lineRule="auto"/>
        <w:ind w:firstLine="2977"/>
        <w:jc w:val="both"/>
      </w:pPr>
      <w:r>
        <w:rPr>
          <w:rFonts w:ascii="Arial" w:hAnsi="Arial" w:cs="Arial"/>
          <w:b/>
          <w:sz w:val="24"/>
          <w:szCs w:val="24"/>
        </w:rPr>
        <w:t xml:space="preserve">3) </w:t>
      </w:r>
      <w:r>
        <w:rPr>
          <w:rFonts w:ascii="Arial" w:hAnsi="Arial" w:cs="Arial"/>
          <w:sz w:val="24"/>
          <w:szCs w:val="24"/>
        </w:rPr>
        <w:t xml:space="preserve">que </w:t>
      </w:r>
      <w:r w:rsidR="00D8144F">
        <w:rPr>
          <w:rFonts w:ascii="Arial" w:hAnsi="Arial" w:cs="Arial"/>
          <w:sz w:val="24"/>
          <w:szCs w:val="24"/>
        </w:rPr>
        <w:t>la naturaleza de la prest</w:t>
      </w:r>
      <w:r w:rsidR="00BB046B">
        <w:rPr>
          <w:rFonts w:ascii="Arial" w:hAnsi="Arial" w:cs="Arial"/>
          <w:sz w:val="24"/>
          <w:szCs w:val="24"/>
        </w:rPr>
        <w:t>aciones emergentes del contrato</w:t>
      </w:r>
      <w:r w:rsidR="00D8144F">
        <w:rPr>
          <w:rFonts w:ascii="Arial" w:hAnsi="Arial" w:cs="Arial"/>
          <w:sz w:val="24"/>
          <w:szCs w:val="24"/>
        </w:rPr>
        <w:t xml:space="preserve"> sólo posee relevancia</w:t>
      </w:r>
      <w:r>
        <w:rPr>
          <w:rFonts w:ascii="Arial" w:hAnsi="Arial" w:cs="Arial"/>
          <w:sz w:val="24"/>
          <w:szCs w:val="24"/>
        </w:rPr>
        <w:t xml:space="preserve"> a los efectos contables, en tanto</w:t>
      </w:r>
      <w:r w:rsidR="00D8144F">
        <w:rPr>
          <w:rFonts w:ascii="Arial" w:hAnsi="Arial" w:cs="Arial"/>
          <w:sz w:val="24"/>
          <w:szCs w:val="24"/>
        </w:rPr>
        <w:t xml:space="preserve"> la suscripción </w:t>
      </w:r>
      <w:r w:rsidR="00D8144F">
        <w:rPr>
          <w:rFonts w:ascii="Arial" w:hAnsi="Arial" w:cs="Arial"/>
          <w:sz w:val="24"/>
          <w:szCs w:val="24"/>
          <w:lang w:val="es-ES"/>
        </w:rPr>
        <w:t>de</w:t>
      </w:r>
      <w:r>
        <w:rPr>
          <w:rFonts w:ascii="Arial" w:hAnsi="Arial" w:cs="Arial"/>
          <w:sz w:val="24"/>
          <w:szCs w:val="24"/>
          <w:lang w:val="es-ES"/>
        </w:rPr>
        <w:t>l Convenio</w:t>
      </w:r>
      <w:r w:rsidR="00D8144F">
        <w:rPr>
          <w:rFonts w:ascii="Arial" w:hAnsi="Arial" w:cs="Arial"/>
          <w:sz w:val="24"/>
          <w:szCs w:val="24"/>
          <w:lang w:val="es-ES"/>
        </w:rPr>
        <w:t xml:space="preserve"> con SOC</w:t>
      </w:r>
      <w:r>
        <w:rPr>
          <w:rFonts w:ascii="Arial" w:hAnsi="Arial" w:cs="Arial"/>
          <w:sz w:val="24"/>
          <w:szCs w:val="24"/>
          <w:lang w:val="es-ES"/>
        </w:rPr>
        <w:t>IO ESPECTACULAR, con el objeto</w:t>
      </w:r>
      <w:r w:rsidR="00D8144F">
        <w:rPr>
          <w:rFonts w:ascii="Arial" w:hAnsi="Arial" w:cs="Arial"/>
          <w:sz w:val="24"/>
          <w:szCs w:val="24"/>
          <w:lang w:val="es-ES"/>
        </w:rPr>
        <w:t xml:space="preserve"> de otorgar a los funcionarios de ANCAP el acceso a espectáculos culturales y d</w:t>
      </w:r>
      <w:r w:rsidR="00BB046B">
        <w:rPr>
          <w:rFonts w:ascii="Arial" w:hAnsi="Arial" w:cs="Arial"/>
          <w:sz w:val="24"/>
          <w:szCs w:val="24"/>
          <w:lang w:val="es-ES"/>
        </w:rPr>
        <w:t>eportivos</w:t>
      </w:r>
      <w:r w:rsidR="00D8144F">
        <w:rPr>
          <w:rFonts w:ascii="Arial" w:hAnsi="Arial" w:cs="Arial"/>
          <w:sz w:val="24"/>
          <w:szCs w:val="24"/>
          <w:lang w:val="es-ES"/>
        </w:rPr>
        <w:t xml:space="preserve"> en el marco de la implementación de </w:t>
      </w:r>
      <w:r>
        <w:rPr>
          <w:rFonts w:ascii="Arial" w:hAnsi="Arial" w:cs="Arial"/>
          <w:sz w:val="24"/>
          <w:szCs w:val="24"/>
          <w:lang w:val="es-ES"/>
        </w:rPr>
        <w:t xml:space="preserve">la </w:t>
      </w:r>
      <w:r w:rsidR="00D8144F">
        <w:rPr>
          <w:rFonts w:ascii="Arial" w:hAnsi="Arial" w:cs="Arial"/>
          <w:sz w:val="24"/>
          <w:szCs w:val="24"/>
          <w:lang w:val="es-ES"/>
        </w:rPr>
        <w:t>responsabilidad social empresaria</w:t>
      </w:r>
      <w:r>
        <w:rPr>
          <w:rFonts w:ascii="Arial" w:hAnsi="Arial" w:cs="Arial"/>
          <w:sz w:val="24"/>
          <w:szCs w:val="24"/>
          <w:lang w:val="es-ES"/>
        </w:rPr>
        <w:t>l</w:t>
      </w:r>
      <w:r w:rsidR="00D8144F">
        <w:rPr>
          <w:rFonts w:ascii="Arial" w:hAnsi="Arial" w:cs="Arial"/>
          <w:sz w:val="24"/>
          <w:szCs w:val="24"/>
          <w:lang w:val="es-ES"/>
        </w:rPr>
        <w:t>, requiere norma habilitante, la que en el caso no se invoca</w:t>
      </w:r>
      <w:r>
        <w:rPr>
          <w:rFonts w:ascii="Arial" w:hAnsi="Arial" w:cs="Arial"/>
          <w:sz w:val="24"/>
          <w:szCs w:val="24"/>
          <w:lang w:val="es-ES"/>
        </w:rPr>
        <w:t>;</w:t>
      </w:r>
    </w:p>
    <w:p w:rsidR="005A68FE" w:rsidRDefault="001C4B53" w:rsidP="00C14E36">
      <w:pPr>
        <w:spacing w:after="0" w:line="360" w:lineRule="auto"/>
        <w:ind w:firstLine="2977"/>
        <w:jc w:val="both"/>
      </w:pPr>
      <w:r w:rsidRPr="00437F09">
        <w:rPr>
          <w:rFonts w:ascii="Arial" w:hAnsi="Arial" w:cs="Arial"/>
          <w:b/>
          <w:sz w:val="24"/>
          <w:szCs w:val="24"/>
        </w:rPr>
        <w:t>4)</w:t>
      </w:r>
      <w:r>
        <w:rPr>
          <w:rFonts w:ascii="Arial" w:hAnsi="Arial" w:cs="Arial"/>
          <w:sz w:val="24"/>
          <w:szCs w:val="24"/>
        </w:rPr>
        <w:t xml:space="preserve"> que </w:t>
      </w:r>
      <w:r w:rsidR="00D8144F">
        <w:rPr>
          <w:rFonts w:ascii="Arial" w:hAnsi="Arial" w:cs="Arial"/>
          <w:sz w:val="24"/>
          <w:szCs w:val="24"/>
        </w:rPr>
        <w:t xml:space="preserve">con carácter general debe afirmarse, que cuando la Administración decide suscribir un convenio de tracto sucesivo como el que nos ocupa, </w:t>
      </w:r>
      <w:r>
        <w:rPr>
          <w:rFonts w:ascii="Arial" w:hAnsi="Arial" w:cs="Arial"/>
          <w:sz w:val="24"/>
          <w:szCs w:val="24"/>
        </w:rPr>
        <w:t xml:space="preserve">por razones de buena administración </w:t>
      </w:r>
      <w:r w:rsidR="00437F09">
        <w:rPr>
          <w:rFonts w:ascii="Arial" w:hAnsi="Arial" w:cs="Arial"/>
          <w:sz w:val="24"/>
          <w:szCs w:val="24"/>
        </w:rPr>
        <w:t>debe garantizar</w:t>
      </w:r>
      <w:r w:rsidR="00BB046B">
        <w:rPr>
          <w:rFonts w:ascii="Arial" w:hAnsi="Arial" w:cs="Arial"/>
          <w:sz w:val="24"/>
          <w:szCs w:val="24"/>
        </w:rPr>
        <w:t xml:space="preserve"> el cumplimiento del mismo</w:t>
      </w:r>
      <w:r w:rsidR="00D8144F">
        <w:rPr>
          <w:rFonts w:ascii="Arial" w:hAnsi="Arial" w:cs="Arial"/>
          <w:sz w:val="24"/>
          <w:szCs w:val="24"/>
        </w:rPr>
        <w:t xml:space="preserve"> con diversos instrumentos, entre los cuales se encuentra el control</w:t>
      </w:r>
      <w:r w:rsidR="00437F09">
        <w:rPr>
          <w:rFonts w:ascii="Arial" w:hAnsi="Arial" w:cs="Arial"/>
          <w:sz w:val="24"/>
          <w:szCs w:val="24"/>
        </w:rPr>
        <w:t xml:space="preserve"> de que quien suscribe posee personería jurídica</w:t>
      </w:r>
      <w:r w:rsidR="00D8144F">
        <w:rPr>
          <w:rFonts w:ascii="Arial" w:hAnsi="Arial" w:cs="Arial"/>
          <w:sz w:val="24"/>
          <w:szCs w:val="24"/>
        </w:rPr>
        <w:t xml:space="preserve">, sin perjuicio de lo establecido por el </w:t>
      </w:r>
      <w:r w:rsidR="00C14E36">
        <w:rPr>
          <w:rFonts w:ascii="Arial" w:hAnsi="Arial" w:cs="Arial"/>
          <w:sz w:val="24"/>
          <w:szCs w:val="24"/>
        </w:rPr>
        <w:t>A</w:t>
      </w:r>
      <w:r w:rsidR="00D8144F">
        <w:rPr>
          <w:rFonts w:ascii="Arial" w:hAnsi="Arial" w:cs="Arial"/>
          <w:sz w:val="24"/>
          <w:szCs w:val="24"/>
        </w:rPr>
        <w:t>rtículo 46 del TOCAF;</w:t>
      </w:r>
    </w:p>
    <w:p w:rsidR="005A68FE" w:rsidRDefault="00437F09" w:rsidP="00C14E36">
      <w:pPr>
        <w:spacing w:after="0" w:line="360" w:lineRule="auto"/>
        <w:ind w:firstLine="2977"/>
        <w:jc w:val="both"/>
      </w:pPr>
      <w:r>
        <w:rPr>
          <w:rFonts w:ascii="Arial" w:hAnsi="Arial" w:cs="Arial"/>
          <w:b/>
          <w:sz w:val="24"/>
          <w:szCs w:val="24"/>
        </w:rPr>
        <w:t xml:space="preserve">5) </w:t>
      </w:r>
      <w:r>
        <w:rPr>
          <w:rFonts w:ascii="Arial" w:hAnsi="Arial" w:cs="Arial"/>
          <w:sz w:val="24"/>
          <w:szCs w:val="24"/>
        </w:rPr>
        <w:t xml:space="preserve">que </w:t>
      </w:r>
      <w:r>
        <w:rPr>
          <w:rFonts w:ascii="Arial" w:hAnsi="Arial" w:cs="Arial"/>
          <w:sz w:val="24"/>
          <w:szCs w:val="24"/>
          <w:lang w:val="es-ES"/>
        </w:rPr>
        <w:t>al haber</w:t>
      </w:r>
      <w:r w:rsidR="001B2C2E">
        <w:rPr>
          <w:rFonts w:ascii="Arial" w:hAnsi="Arial" w:cs="Arial"/>
          <w:sz w:val="24"/>
          <w:szCs w:val="24"/>
          <w:lang w:val="es-ES"/>
        </w:rPr>
        <w:t xml:space="preserve"> sido suscrito el</w:t>
      </w:r>
      <w:r w:rsidR="00D8144F">
        <w:rPr>
          <w:rFonts w:ascii="Arial" w:hAnsi="Arial" w:cs="Arial"/>
          <w:sz w:val="24"/>
          <w:szCs w:val="24"/>
          <w:lang w:val="es-ES"/>
        </w:rPr>
        <w:t xml:space="preserve"> convenio con vigencia retroactiva, la contratación posee principio de ejecución, contraviniéndose el carácter preventivo de la intervención de este Tribunal (</w:t>
      </w:r>
      <w:r w:rsidR="00C14E36">
        <w:rPr>
          <w:rFonts w:ascii="Arial" w:hAnsi="Arial" w:cs="Arial"/>
          <w:sz w:val="24"/>
          <w:szCs w:val="24"/>
          <w:lang w:val="es-ES"/>
        </w:rPr>
        <w:t>A</w:t>
      </w:r>
      <w:r w:rsidR="00D8144F">
        <w:rPr>
          <w:rFonts w:ascii="Arial" w:hAnsi="Arial" w:cs="Arial"/>
          <w:sz w:val="24"/>
          <w:szCs w:val="24"/>
          <w:lang w:val="es-ES"/>
        </w:rPr>
        <w:t xml:space="preserve">rtículo 211 </w:t>
      </w:r>
      <w:r w:rsidR="00C14E36">
        <w:rPr>
          <w:rFonts w:ascii="Arial" w:hAnsi="Arial" w:cs="Arial"/>
          <w:sz w:val="24"/>
          <w:szCs w:val="24"/>
          <w:lang w:val="es-ES"/>
        </w:rPr>
        <w:t>L</w:t>
      </w:r>
      <w:r w:rsidR="00D8144F">
        <w:rPr>
          <w:rFonts w:ascii="Arial" w:hAnsi="Arial" w:cs="Arial"/>
          <w:sz w:val="24"/>
          <w:szCs w:val="24"/>
          <w:lang w:val="es-ES"/>
        </w:rPr>
        <w:t>iteral B) de la Constitució</w:t>
      </w:r>
      <w:r>
        <w:rPr>
          <w:rFonts w:ascii="Arial" w:hAnsi="Arial" w:cs="Arial"/>
          <w:sz w:val="24"/>
          <w:szCs w:val="24"/>
          <w:lang w:val="es-ES"/>
        </w:rPr>
        <w:t>n de la República</w:t>
      </w:r>
      <w:r w:rsidR="001B2C2E">
        <w:rPr>
          <w:rFonts w:ascii="Arial" w:hAnsi="Arial" w:cs="Arial"/>
          <w:sz w:val="24"/>
          <w:szCs w:val="24"/>
          <w:lang w:val="es-ES"/>
        </w:rPr>
        <w:t>)</w:t>
      </w:r>
      <w:r w:rsidR="00D8144F">
        <w:rPr>
          <w:rFonts w:ascii="Arial" w:hAnsi="Arial" w:cs="Arial"/>
          <w:sz w:val="24"/>
          <w:szCs w:val="24"/>
          <w:lang w:val="es-ES"/>
        </w:rPr>
        <w:t xml:space="preserve">; </w:t>
      </w:r>
    </w:p>
    <w:p w:rsidR="005A68FE" w:rsidRDefault="00D8144F" w:rsidP="002F1C25">
      <w:pPr>
        <w:spacing w:after="0" w:line="360" w:lineRule="auto"/>
        <w:ind w:firstLine="851"/>
        <w:jc w:val="both"/>
      </w:pPr>
      <w:r>
        <w:rPr>
          <w:rFonts w:ascii="Arial" w:hAnsi="Arial" w:cs="Arial"/>
          <w:b/>
          <w:sz w:val="24"/>
          <w:szCs w:val="24"/>
          <w:lang w:val="es-ES"/>
        </w:rPr>
        <w:t>ATENTO</w:t>
      </w:r>
      <w:r w:rsidR="002F1C25">
        <w:rPr>
          <w:rFonts w:ascii="Arial" w:hAnsi="Arial" w:cs="Arial"/>
          <w:b/>
          <w:sz w:val="24"/>
          <w:szCs w:val="24"/>
          <w:lang w:val="es-ES"/>
        </w:rPr>
        <w:t>:</w:t>
      </w:r>
      <w:r>
        <w:rPr>
          <w:rFonts w:ascii="Arial" w:hAnsi="Arial" w:cs="Arial"/>
          <w:sz w:val="24"/>
          <w:szCs w:val="24"/>
          <w:lang w:val="es-ES"/>
        </w:rPr>
        <w:t xml:space="preserve"> a lo precedentemente expuesto; </w:t>
      </w:r>
    </w:p>
    <w:p w:rsidR="002F1C25" w:rsidRDefault="002F1C25" w:rsidP="007D125C">
      <w:pPr>
        <w:spacing w:after="0" w:line="360" w:lineRule="auto"/>
        <w:jc w:val="center"/>
        <w:rPr>
          <w:rFonts w:ascii="Arial" w:hAnsi="Arial" w:cs="Arial"/>
          <w:b/>
          <w:sz w:val="24"/>
          <w:szCs w:val="24"/>
          <w:lang w:val="es-ES"/>
        </w:rPr>
      </w:pPr>
    </w:p>
    <w:p w:rsidR="002F1C25" w:rsidRDefault="002F1C25" w:rsidP="007D125C">
      <w:pPr>
        <w:spacing w:after="0" w:line="360" w:lineRule="auto"/>
        <w:jc w:val="center"/>
        <w:rPr>
          <w:rFonts w:ascii="Arial" w:hAnsi="Arial" w:cs="Arial"/>
          <w:b/>
          <w:sz w:val="24"/>
          <w:szCs w:val="24"/>
          <w:lang w:val="es-ES"/>
        </w:rPr>
      </w:pPr>
    </w:p>
    <w:p w:rsidR="002F1C25" w:rsidRDefault="002F1C25" w:rsidP="007D125C">
      <w:pPr>
        <w:spacing w:after="0" w:line="360" w:lineRule="auto"/>
        <w:jc w:val="center"/>
        <w:rPr>
          <w:rFonts w:ascii="Arial" w:hAnsi="Arial" w:cs="Arial"/>
          <w:b/>
          <w:sz w:val="24"/>
          <w:szCs w:val="24"/>
          <w:lang w:val="es-ES"/>
        </w:rPr>
      </w:pPr>
    </w:p>
    <w:p w:rsidR="002F1C25" w:rsidRDefault="002F1C25" w:rsidP="007D125C">
      <w:pPr>
        <w:spacing w:after="0" w:line="360" w:lineRule="auto"/>
        <w:jc w:val="center"/>
        <w:rPr>
          <w:rFonts w:ascii="Arial" w:hAnsi="Arial" w:cs="Arial"/>
          <w:b/>
          <w:sz w:val="24"/>
          <w:szCs w:val="24"/>
          <w:lang w:val="es-ES"/>
        </w:rPr>
      </w:pPr>
    </w:p>
    <w:p w:rsidR="005A68FE" w:rsidRDefault="002F1C25" w:rsidP="007D125C">
      <w:pPr>
        <w:spacing w:after="0" w:line="360" w:lineRule="auto"/>
        <w:jc w:val="center"/>
        <w:rPr>
          <w:rFonts w:ascii="Arial" w:hAnsi="Arial" w:cs="Arial"/>
          <w:b/>
          <w:sz w:val="24"/>
          <w:szCs w:val="24"/>
          <w:lang w:val="es-ES"/>
        </w:rPr>
      </w:pPr>
      <w:r>
        <w:rPr>
          <w:rFonts w:ascii="Arial" w:hAnsi="Arial" w:cs="Arial"/>
          <w:b/>
          <w:sz w:val="24"/>
          <w:szCs w:val="24"/>
          <w:lang w:val="es-ES"/>
        </w:rPr>
        <w:t xml:space="preserve"> </w:t>
      </w:r>
      <w:r w:rsidR="00D8144F">
        <w:rPr>
          <w:rFonts w:ascii="Arial" w:hAnsi="Arial" w:cs="Arial"/>
          <w:b/>
          <w:sz w:val="24"/>
          <w:szCs w:val="24"/>
          <w:lang w:val="es-ES"/>
        </w:rPr>
        <w:t>EL TRIBUINAL ACUERDA</w:t>
      </w:r>
    </w:p>
    <w:p w:rsidR="005A68FE" w:rsidRDefault="00C14E36" w:rsidP="00C14E36">
      <w:pPr>
        <w:pStyle w:val="Prrafodelista"/>
        <w:suppressAutoHyphens w:val="0"/>
        <w:spacing w:after="0" w:line="360" w:lineRule="auto"/>
        <w:ind w:left="284" w:hanging="284"/>
        <w:jc w:val="both"/>
        <w:textAlignment w:val="auto"/>
        <w:rPr>
          <w:rFonts w:ascii="Arial" w:hAnsi="Arial" w:cs="Arial"/>
          <w:sz w:val="24"/>
          <w:szCs w:val="24"/>
          <w:lang w:val="es-ES"/>
        </w:rPr>
      </w:pPr>
      <w:r w:rsidRPr="00C14E36">
        <w:rPr>
          <w:rFonts w:ascii="Arial" w:hAnsi="Arial" w:cs="Arial"/>
          <w:b/>
          <w:sz w:val="24"/>
          <w:szCs w:val="24"/>
          <w:lang w:val="es-ES"/>
        </w:rPr>
        <w:t>1)</w:t>
      </w:r>
      <w:r>
        <w:rPr>
          <w:rFonts w:ascii="Arial" w:hAnsi="Arial" w:cs="Arial"/>
          <w:sz w:val="24"/>
          <w:szCs w:val="24"/>
          <w:lang w:val="es-ES"/>
        </w:rPr>
        <w:t xml:space="preserve"> </w:t>
      </w:r>
      <w:r w:rsidR="00D8144F">
        <w:rPr>
          <w:rFonts w:ascii="Arial" w:hAnsi="Arial" w:cs="Arial"/>
          <w:sz w:val="24"/>
          <w:szCs w:val="24"/>
          <w:lang w:val="es-ES"/>
        </w:rPr>
        <w:t>Evacuar la consulta formulada en los términos de los “consideran</w:t>
      </w:r>
      <w:r w:rsidR="001B2C2E">
        <w:rPr>
          <w:rFonts w:ascii="Arial" w:hAnsi="Arial" w:cs="Arial"/>
          <w:sz w:val="24"/>
          <w:szCs w:val="24"/>
          <w:lang w:val="es-ES"/>
        </w:rPr>
        <w:t>dos” de l</w:t>
      </w:r>
      <w:r w:rsidR="0026752C">
        <w:rPr>
          <w:rFonts w:ascii="Arial" w:hAnsi="Arial" w:cs="Arial"/>
          <w:sz w:val="24"/>
          <w:szCs w:val="24"/>
          <w:lang w:val="es-ES"/>
        </w:rPr>
        <w:t xml:space="preserve">a presente Resolución y señalar al Contador delegado ante ANCAP que </w:t>
      </w:r>
      <w:r>
        <w:rPr>
          <w:rFonts w:ascii="Arial" w:hAnsi="Arial" w:cs="Arial"/>
          <w:sz w:val="24"/>
          <w:szCs w:val="24"/>
          <w:lang w:val="es-ES"/>
        </w:rPr>
        <w:t xml:space="preserve">                       </w:t>
      </w:r>
      <w:r w:rsidR="0026752C">
        <w:rPr>
          <w:rFonts w:ascii="Arial" w:hAnsi="Arial" w:cs="Arial"/>
          <w:sz w:val="24"/>
          <w:szCs w:val="24"/>
          <w:lang w:val="es-ES"/>
        </w:rPr>
        <w:t>deberá atenerse a los criterios establecidos en los mismos;</w:t>
      </w:r>
      <w:r w:rsidR="00D8144F">
        <w:rPr>
          <w:rFonts w:ascii="Arial" w:hAnsi="Arial" w:cs="Arial"/>
          <w:sz w:val="24"/>
          <w:szCs w:val="24"/>
          <w:lang w:val="es-ES"/>
        </w:rPr>
        <w:t xml:space="preserve"> </w:t>
      </w:r>
    </w:p>
    <w:p w:rsidR="005A68FE" w:rsidRDefault="00C14E36" w:rsidP="00C14E36">
      <w:pPr>
        <w:pStyle w:val="Prrafodelista"/>
        <w:suppressAutoHyphens w:val="0"/>
        <w:spacing w:after="0" w:line="360" w:lineRule="auto"/>
        <w:ind w:left="284" w:hanging="284"/>
        <w:jc w:val="both"/>
        <w:textAlignment w:val="auto"/>
        <w:rPr>
          <w:rFonts w:ascii="Arial" w:hAnsi="Arial" w:cs="Arial"/>
          <w:sz w:val="24"/>
          <w:szCs w:val="24"/>
          <w:lang w:val="es-ES"/>
        </w:rPr>
      </w:pPr>
      <w:r w:rsidRPr="00C14E36">
        <w:rPr>
          <w:rFonts w:ascii="Arial" w:hAnsi="Arial" w:cs="Arial"/>
          <w:b/>
          <w:sz w:val="24"/>
          <w:szCs w:val="24"/>
          <w:lang w:val="es-ES"/>
        </w:rPr>
        <w:t>2)</w:t>
      </w:r>
      <w:r>
        <w:rPr>
          <w:rFonts w:ascii="Arial" w:hAnsi="Arial" w:cs="Arial"/>
          <w:sz w:val="24"/>
          <w:szCs w:val="24"/>
          <w:lang w:val="es-ES"/>
        </w:rPr>
        <w:t xml:space="preserve"> </w:t>
      </w:r>
      <w:r w:rsidR="0026752C">
        <w:rPr>
          <w:rFonts w:ascii="Arial" w:hAnsi="Arial" w:cs="Arial"/>
          <w:sz w:val="24"/>
          <w:szCs w:val="24"/>
          <w:lang w:val="es-ES"/>
        </w:rPr>
        <w:t xml:space="preserve">Comunicar la presente Resolución al organismo actuante y al Contador </w:t>
      </w:r>
      <w:r>
        <w:rPr>
          <w:rFonts w:ascii="Arial" w:hAnsi="Arial" w:cs="Arial"/>
          <w:sz w:val="24"/>
          <w:szCs w:val="24"/>
          <w:lang w:val="es-ES"/>
        </w:rPr>
        <w:t xml:space="preserve">                    </w:t>
      </w:r>
      <w:r w:rsidR="0026752C">
        <w:rPr>
          <w:rFonts w:ascii="Arial" w:hAnsi="Arial" w:cs="Arial"/>
          <w:sz w:val="24"/>
          <w:szCs w:val="24"/>
          <w:lang w:val="es-ES"/>
        </w:rPr>
        <w:t>D</w:t>
      </w:r>
      <w:r w:rsidR="0026752C">
        <w:rPr>
          <w:rFonts w:ascii="Arial" w:hAnsi="Arial" w:cs="Arial"/>
          <w:sz w:val="24"/>
          <w:szCs w:val="24"/>
          <w:lang w:val="es-ES"/>
        </w:rPr>
        <w:t>e</w:t>
      </w:r>
      <w:r w:rsidR="0026752C">
        <w:rPr>
          <w:rFonts w:ascii="Arial" w:hAnsi="Arial" w:cs="Arial"/>
          <w:sz w:val="24"/>
          <w:szCs w:val="24"/>
          <w:lang w:val="es-ES"/>
        </w:rPr>
        <w:t>le</w:t>
      </w:r>
      <w:r>
        <w:rPr>
          <w:rFonts w:ascii="Arial" w:hAnsi="Arial" w:cs="Arial"/>
          <w:sz w:val="24"/>
          <w:szCs w:val="24"/>
          <w:lang w:val="es-ES"/>
        </w:rPr>
        <w:t>gado.</w:t>
      </w:r>
    </w:p>
    <w:p w:rsidR="00C14E36" w:rsidRDefault="00C14E36" w:rsidP="00C14E36">
      <w:pPr>
        <w:pStyle w:val="Prrafodelista"/>
        <w:suppressAutoHyphens w:val="0"/>
        <w:spacing w:after="0" w:line="360" w:lineRule="auto"/>
        <w:ind w:left="284" w:hanging="284"/>
        <w:jc w:val="both"/>
        <w:textAlignment w:val="auto"/>
        <w:rPr>
          <w:rFonts w:ascii="Arial" w:hAnsi="Arial" w:cs="Arial"/>
          <w:sz w:val="24"/>
          <w:szCs w:val="24"/>
          <w:lang w:val="es-ES"/>
        </w:rPr>
      </w:pPr>
    </w:p>
    <w:p w:rsidR="00C14E36" w:rsidRDefault="00C14E36" w:rsidP="00C14E36">
      <w:pPr>
        <w:pStyle w:val="Prrafodelista"/>
        <w:suppressAutoHyphens w:val="0"/>
        <w:spacing w:after="0" w:line="360" w:lineRule="auto"/>
        <w:ind w:left="284" w:hanging="284"/>
        <w:jc w:val="both"/>
        <w:textAlignment w:val="auto"/>
        <w:rPr>
          <w:rFonts w:ascii="Arial" w:hAnsi="Arial" w:cs="Arial"/>
          <w:sz w:val="24"/>
          <w:szCs w:val="24"/>
          <w:lang w:val="es-ES"/>
        </w:rPr>
      </w:pPr>
      <w:r>
        <w:rPr>
          <w:rFonts w:ascii="Arial" w:hAnsi="Arial" w:cs="Arial"/>
          <w:sz w:val="24"/>
          <w:szCs w:val="24"/>
          <w:lang w:val="es-ES"/>
        </w:rPr>
        <w:t>ag</w:t>
      </w:r>
      <w:bookmarkStart w:id="0" w:name="_GoBack"/>
      <w:bookmarkEnd w:id="0"/>
    </w:p>
    <w:p w:rsidR="005A68FE" w:rsidRDefault="005A68FE">
      <w:pPr>
        <w:suppressAutoHyphens w:val="0"/>
        <w:spacing w:line="360" w:lineRule="auto"/>
        <w:jc w:val="both"/>
        <w:textAlignment w:val="auto"/>
        <w:rPr>
          <w:rFonts w:ascii="Arial" w:hAnsi="Arial" w:cs="Arial"/>
          <w:sz w:val="24"/>
          <w:szCs w:val="24"/>
          <w:lang w:val="es-ES"/>
        </w:rPr>
      </w:pPr>
    </w:p>
    <w:p w:rsidR="005A68FE" w:rsidRDefault="005A68FE">
      <w:pPr>
        <w:suppressAutoHyphens w:val="0"/>
        <w:spacing w:line="360" w:lineRule="auto"/>
        <w:jc w:val="both"/>
        <w:textAlignment w:val="auto"/>
        <w:rPr>
          <w:rFonts w:ascii="Arial" w:hAnsi="Arial" w:cs="Arial"/>
          <w:sz w:val="24"/>
          <w:szCs w:val="24"/>
          <w:lang w:val="es-ES"/>
        </w:rPr>
      </w:pPr>
    </w:p>
    <w:sectPr w:rsidR="005A68FE" w:rsidSect="00F46267">
      <w:pgSz w:w="11906" w:h="16838" w:code="9"/>
      <w:pgMar w:top="3289" w:right="1701" w:bottom="1418"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171" w:rsidRDefault="00680171">
      <w:pPr>
        <w:spacing w:after="0" w:line="240" w:lineRule="auto"/>
      </w:pPr>
      <w:r>
        <w:separator/>
      </w:r>
    </w:p>
  </w:endnote>
  <w:endnote w:type="continuationSeparator" w:id="0">
    <w:p w:rsidR="00680171" w:rsidRDefault="0068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171" w:rsidRDefault="00680171">
      <w:pPr>
        <w:spacing w:after="0" w:line="240" w:lineRule="auto"/>
      </w:pPr>
      <w:r>
        <w:rPr>
          <w:color w:val="000000"/>
        </w:rPr>
        <w:separator/>
      </w:r>
    </w:p>
  </w:footnote>
  <w:footnote w:type="continuationSeparator" w:id="0">
    <w:p w:rsidR="00680171" w:rsidRDefault="00680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03F26"/>
    <w:multiLevelType w:val="multilevel"/>
    <w:tmpl w:val="D032A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A68FE"/>
    <w:rsid w:val="00151541"/>
    <w:rsid w:val="001B2C2E"/>
    <w:rsid w:val="001C4B53"/>
    <w:rsid w:val="0026752C"/>
    <w:rsid w:val="002F1C25"/>
    <w:rsid w:val="00437F09"/>
    <w:rsid w:val="004908BE"/>
    <w:rsid w:val="005A68FE"/>
    <w:rsid w:val="00617EC4"/>
    <w:rsid w:val="00680171"/>
    <w:rsid w:val="007D125C"/>
    <w:rsid w:val="00BB0395"/>
    <w:rsid w:val="00BB046B"/>
    <w:rsid w:val="00C14E36"/>
    <w:rsid w:val="00D64DC4"/>
    <w:rsid w:val="00D7287F"/>
    <w:rsid w:val="00D8144F"/>
    <w:rsid w:val="00EF529D"/>
    <w:rsid w:val="00F46267"/>
    <w:rsid w:val="00F53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UY"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UY"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859</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EDUARDO MAESO RUIZ</dc:creator>
  <cp:lastModifiedBy>Andrea Gerner</cp:lastModifiedBy>
  <cp:revision>7</cp:revision>
  <cp:lastPrinted>2017-05-10T18:21:00Z</cp:lastPrinted>
  <dcterms:created xsi:type="dcterms:W3CDTF">2017-05-29T18:37:00Z</dcterms:created>
  <dcterms:modified xsi:type="dcterms:W3CDTF">2017-05-30T16:24:00Z</dcterms:modified>
</cp:coreProperties>
</file>