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2A" w:rsidRPr="00786EEB" w:rsidRDefault="00872D2A" w:rsidP="005C46FC">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1911/17</w:t>
      </w:r>
    </w:p>
    <w:p w:rsidR="00872D2A" w:rsidRDefault="00872D2A" w:rsidP="005C46FC">
      <w:pPr>
        <w:keepNext/>
        <w:widowControl w:val="0"/>
        <w:tabs>
          <w:tab w:val="center" w:pos="4253"/>
        </w:tabs>
        <w:jc w:val="right"/>
        <w:rPr>
          <w:rFonts w:cs="Arial"/>
          <w:b/>
          <w:lang w:val="es-ES_tradnl"/>
        </w:rPr>
      </w:pPr>
    </w:p>
    <w:p w:rsidR="00872D2A" w:rsidRPr="00762B34" w:rsidRDefault="00872D2A" w:rsidP="005C46FC">
      <w:pPr>
        <w:keepNext/>
        <w:widowControl w:val="0"/>
        <w:tabs>
          <w:tab w:val="center" w:pos="4253"/>
        </w:tabs>
        <w:jc w:val="center"/>
        <w:rPr>
          <w:rFonts w:cs="Arial"/>
          <w:b/>
          <w:lang w:val="es-ES_tradnl"/>
        </w:rPr>
      </w:pPr>
      <w:r w:rsidRPr="00762B34">
        <w:rPr>
          <w:rFonts w:cs="Arial"/>
          <w:b/>
          <w:lang w:val="es-ES_tradnl"/>
        </w:rPr>
        <w:t>RESOLUCION ADOPTADA POR EL</w:t>
      </w:r>
    </w:p>
    <w:p w:rsidR="00872D2A" w:rsidRPr="00762B34" w:rsidRDefault="00872D2A" w:rsidP="005C46FC">
      <w:pPr>
        <w:keepNext/>
        <w:widowControl w:val="0"/>
        <w:tabs>
          <w:tab w:val="left" w:pos="-720"/>
        </w:tabs>
        <w:jc w:val="center"/>
        <w:rPr>
          <w:rFonts w:cs="Arial"/>
          <w:b/>
          <w:lang w:val="es-ES_tradnl"/>
        </w:rPr>
      </w:pPr>
    </w:p>
    <w:p w:rsidR="00872D2A" w:rsidRDefault="00872D2A" w:rsidP="005C46FC">
      <w:pPr>
        <w:keepNext/>
        <w:widowControl w:val="0"/>
        <w:tabs>
          <w:tab w:val="center" w:pos="4253"/>
        </w:tabs>
        <w:jc w:val="center"/>
        <w:rPr>
          <w:rFonts w:cs="Arial"/>
          <w:b/>
          <w:lang w:val="es-ES_tradnl"/>
        </w:rPr>
      </w:pPr>
      <w:r w:rsidRPr="00762B34">
        <w:rPr>
          <w:rFonts w:cs="Arial"/>
          <w:b/>
          <w:lang w:val="es-ES_tradnl"/>
        </w:rPr>
        <w:t>TRIBUNAL DE CUENTAS</w:t>
      </w:r>
    </w:p>
    <w:p w:rsidR="006959AF" w:rsidRPr="00762B34" w:rsidRDefault="006959AF" w:rsidP="005C46FC">
      <w:pPr>
        <w:keepNext/>
        <w:widowControl w:val="0"/>
        <w:tabs>
          <w:tab w:val="center" w:pos="4253"/>
        </w:tabs>
        <w:jc w:val="center"/>
        <w:rPr>
          <w:rFonts w:cs="Arial"/>
          <w:b/>
          <w:lang w:val="es-ES_tradnl"/>
        </w:rPr>
      </w:pPr>
    </w:p>
    <w:p w:rsidR="00872D2A" w:rsidRPr="00762B34" w:rsidRDefault="00872D2A" w:rsidP="005C46FC">
      <w:pPr>
        <w:keepNext/>
        <w:widowControl w:val="0"/>
        <w:tabs>
          <w:tab w:val="left" w:pos="-720"/>
        </w:tabs>
        <w:jc w:val="center"/>
        <w:rPr>
          <w:rFonts w:cs="Arial"/>
          <w:b/>
          <w:lang w:val="es-ES_tradnl"/>
        </w:rPr>
      </w:pPr>
      <w:r w:rsidRPr="00762B34">
        <w:rPr>
          <w:rFonts w:cs="Arial"/>
          <w:b/>
          <w:lang w:val="es-ES_tradnl"/>
        </w:rPr>
        <w:t xml:space="preserve">EN SESION DE FECHA </w:t>
      </w:r>
      <w:r>
        <w:rPr>
          <w:rFonts w:cs="Arial"/>
          <w:b/>
          <w:lang w:val="es-ES_tradnl"/>
        </w:rPr>
        <w:t xml:space="preserve">22 DE JUNIO </w:t>
      </w:r>
      <w:r>
        <w:rPr>
          <w:rFonts w:ascii="Helvetica" w:hAnsi="Helvetica"/>
          <w:b/>
          <w:lang w:val="es-ES_tradnl"/>
        </w:rPr>
        <w:t>DE 2017</w:t>
      </w:r>
    </w:p>
    <w:p w:rsidR="00872D2A" w:rsidRPr="00762B34" w:rsidRDefault="00872D2A" w:rsidP="005C46FC">
      <w:pPr>
        <w:keepNext/>
        <w:widowControl w:val="0"/>
        <w:tabs>
          <w:tab w:val="center" w:pos="4253"/>
        </w:tabs>
        <w:jc w:val="center"/>
        <w:rPr>
          <w:rFonts w:cs="Arial"/>
          <w:b/>
          <w:lang w:val="es-ES_tradnl"/>
        </w:rPr>
      </w:pPr>
    </w:p>
    <w:p w:rsidR="00872D2A" w:rsidRPr="00DE488E" w:rsidRDefault="00872D2A" w:rsidP="005C46FC">
      <w:pPr>
        <w:keepNext/>
        <w:widowControl w:val="0"/>
        <w:tabs>
          <w:tab w:val="center" w:pos="4253"/>
        </w:tabs>
        <w:jc w:val="center"/>
        <w:rPr>
          <w:rFonts w:cs="Arial"/>
          <w:b/>
          <w:lang w:val="es-UY"/>
        </w:rPr>
      </w:pPr>
      <w:r w:rsidRPr="00DE488E">
        <w:rPr>
          <w:rFonts w:cs="Arial"/>
          <w:b/>
          <w:lang w:val="es-UY"/>
        </w:rPr>
        <w:t xml:space="preserve">(E. E. Nº 2017-17-1-0002802, </w:t>
      </w:r>
      <w:proofErr w:type="spellStart"/>
      <w:r w:rsidRPr="00DE488E">
        <w:rPr>
          <w:rFonts w:cs="Arial"/>
          <w:b/>
          <w:lang w:val="es-UY"/>
        </w:rPr>
        <w:t>Ent</w:t>
      </w:r>
      <w:proofErr w:type="spellEnd"/>
      <w:r w:rsidRPr="00DE488E">
        <w:rPr>
          <w:rFonts w:cs="Arial"/>
          <w:b/>
          <w:lang w:val="es-UY"/>
        </w:rPr>
        <w:t>. N° 2151/17)</w:t>
      </w:r>
    </w:p>
    <w:p w:rsidR="00872D2A" w:rsidRDefault="00872D2A" w:rsidP="005C46FC">
      <w:pPr>
        <w:keepNext/>
        <w:widowControl w:val="0"/>
        <w:tabs>
          <w:tab w:val="left" w:pos="0"/>
        </w:tabs>
        <w:autoSpaceDE w:val="0"/>
        <w:autoSpaceDN w:val="0"/>
        <w:adjustRightInd w:val="0"/>
        <w:spacing w:line="360" w:lineRule="auto"/>
        <w:jc w:val="both"/>
        <w:rPr>
          <w:rFonts w:cs="Arial"/>
          <w:b/>
          <w:bCs/>
          <w:spacing w:val="-3"/>
          <w:lang w:val="es" w:eastAsia="es-AR"/>
        </w:rPr>
      </w:pPr>
    </w:p>
    <w:p w:rsidR="00872D2A" w:rsidRDefault="00872D2A" w:rsidP="005C46FC">
      <w:pPr>
        <w:keepNext/>
        <w:widowControl w:val="0"/>
        <w:tabs>
          <w:tab w:val="left" w:pos="0"/>
        </w:tabs>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VISTO:</w:t>
      </w:r>
      <w:r>
        <w:rPr>
          <w:rFonts w:cs="Arial"/>
          <w:spacing w:val="-3"/>
          <w:lang w:val="es" w:eastAsia="es-AR"/>
        </w:rPr>
        <w:t xml:space="preserve"> que este Tribunal ha examinado el</w:t>
      </w:r>
      <w:r>
        <w:rPr>
          <w:rFonts w:cs="Arial"/>
          <w:lang w:val="es" w:eastAsia="es-AR"/>
        </w:rPr>
        <w:t xml:space="preserve"> “Estado de Efectivo Recibido y Desembolsos Efectuados”, el “Estado de Inversiones Acumuladas”, el “Estado de Activos y Pasivos”</w:t>
      </w:r>
      <w:r>
        <w:rPr>
          <w:rFonts w:cs="Arial"/>
          <w:spacing w:val="-3"/>
          <w:lang w:val="es" w:eastAsia="es-AR"/>
        </w:rPr>
        <w:t xml:space="preserve"> y las Notas que los acompañan, el "Estado de Justificaciones de Anticipos Financieros", el “Estado de la Cuenta Designada” y el “Cumplimiento de las Cláusulas Contractuales”, por el período comprendido entre el 1º de enero de 2016 y el 31 de diciembre de 2016, formulados en dólares estadounidenses por la Administración de las Obras Sanitarias del Estado, correspondientes a la ejecución del “</w:t>
      </w:r>
      <w:r>
        <w:rPr>
          <w:rFonts w:cs="Arial"/>
          <w:lang w:val="es" w:eastAsia="es-AR"/>
        </w:rPr>
        <w:t>Proyecto OSE Sustentable y Eficiente</w:t>
      </w:r>
      <w:r>
        <w:rPr>
          <w:rFonts w:cs="Arial"/>
          <w:spacing w:val="-3"/>
          <w:lang w:val="es" w:eastAsia="es-AR"/>
        </w:rPr>
        <w:t>” financiado parcialmente con recursos del Contrato de Préstamo BIRF N° 8183-UY;</w:t>
      </w:r>
    </w:p>
    <w:p w:rsidR="00872D2A" w:rsidRDefault="00872D2A" w:rsidP="005C46FC">
      <w:pPr>
        <w:keepNext/>
        <w:widowControl w:val="0"/>
        <w:tabs>
          <w:tab w:val="left" w:pos="0"/>
        </w:tabs>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RESULTANDO:</w:t>
      </w:r>
      <w:r>
        <w:rPr>
          <w:rFonts w:cs="Arial"/>
          <w:spacing w:val="-3"/>
          <w:lang w:val="es" w:eastAsia="es-AR"/>
        </w:rPr>
        <w:t xml:space="preserve"> </w:t>
      </w:r>
      <w:r>
        <w:rPr>
          <w:rFonts w:cs="Arial"/>
          <w:lang w:val="es" w:eastAsia="es-AR"/>
        </w:rPr>
        <w:t>que el examen practicado se efectuó mediante la aplicación de los Principios Fundamentales de Auditoría (ISSAI 100 y 200) y las Directrices de Auditoría Financiera de la Organización Internacional de Entidades Fiscalizadoras Superiores (INTOSAI), y con los requerimientos de auditoría independiente emitidos por</w:t>
      </w:r>
      <w:r>
        <w:rPr>
          <w:rFonts w:cs="Arial"/>
          <w:spacing w:val="-3"/>
          <w:lang w:val="es" w:eastAsia="es-AR"/>
        </w:rPr>
        <w:t xml:space="preserve"> el Banco Mundial (BM);</w:t>
      </w:r>
    </w:p>
    <w:p w:rsidR="00872D2A" w:rsidRDefault="00872D2A" w:rsidP="005C46FC">
      <w:pPr>
        <w:keepNext/>
        <w:widowControl w:val="0"/>
        <w:tabs>
          <w:tab w:val="left" w:pos="0"/>
        </w:tabs>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CONSIDERANDO:</w:t>
      </w:r>
      <w:r>
        <w:rPr>
          <w:rFonts w:cs="Arial"/>
          <w:spacing w:val="-3"/>
          <w:lang w:val="es" w:eastAsia="es-AR"/>
        </w:rPr>
        <w:t xml:space="preserve"> que las conclusiones y evidencias obtenidas son las que se expresan en el Informe de Auditoría, que incluye Dictámenes e Informe a la Administración;</w:t>
      </w:r>
    </w:p>
    <w:p w:rsidR="00872D2A" w:rsidRDefault="00872D2A" w:rsidP="005C46FC">
      <w:pPr>
        <w:keepNext/>
        <w:widowControl w:val="0"/>
        <w:tabs>
          <w:tab w:val="left" w:pos="0"/>
        </w:tabs>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 xml:space="preserve">ATENTO: </w:t>
      </w:r>
      <w:r>
        <w:rPr>
          <w:rFonts w:cs="Arial"/>
          <w:spacing w:val="-3"/>
          <w:lang w:val="es" w:eastAsia="es-AR"/>
        </w:rPr>
        <w:t xml:space="preserve">a lo establecido por la Sección 5.09 (b) de las Condiciones Generales para Préstamos financiados por el Banco Internacional de Reconstrucción y Fomento (BIRF), del Convenio de Préstamo BIRF N° 8183-UY </w:t>
      </w:r>
      <w:r>
        <w:rPr>
          <w:rFonts w:cs="Arial"/>
          <w:spacing w:val="-3"/>
          <w:lang w:val="es" w:eastAsia="es-AR"/>
        </w:rPr>
        <w:lastRenderedPageBreak/>
        <w:t>firmado el 11 de diciembre de 2012 por la Administración de las Obras Sanitarias del Estado y el Banco Internacional de Reconstrucción y Fomento;</w:t>
      </w:r>
    </w:p>
    <w:p w:rsidR="00872D2A" w:rsidRPr="00872D2A" w:rsidRDefault="00872D2A" w:rsidP="005C46FC">
      <w:pPr>
        <w:keepNext/>
        <w:widowControl w:val="0"/>
        <w:autoSpaceDE w:val="0"/>
        <w:autoSpaceDN w:val="0"/>
        <w:adjustRightInd w:val="0"/>
        <w:spacing w:line="360" w:lineRule="auto"/>
        <w:jc w:val="center"/>
        <w:rPr>
          <w:rFonts w:cs="Arial"/>
          <w:b/>
          <w:bCs/>
          <w:lang w:val="es" w:eastAsia="es-AR"/>
        </w:rPr>
      </w:pPr>
      <w:r w:rsidRPr="00872D2A">
        <w:rPr>
          <w:rFonts w:cs="Arial"/>
          <w:b/>
          <w:bCs/>
          <w:lang w:val="es" w:eastAsia="es-AR"/>
        </w:rPr>
        <w:t>EL TRIBUNAL ACUERDA</w:t>
      </w:r>
    </w:p>
    <w:p w:rsidR="00872D2A" w:rsidRDefault="00872D2A" w:rsidP="005C46FC">
      <w:pPr>
        <w:keepNext/>
        <w:widowControl w:val="0"/>
        <w:numPr>
          <w:ilvl w:val="0"/>
          <w:numId w:val="2"/>
        </w:numPr>
        <w:tabs>
          <w:tab w:val="left" w:pos="0"/>
        </w:tabs>
        <w:autoSpaceDE w:val="0"/>
        <w:autoSpaceDN w:val="0"/>
        <w:adjustRightInd w:val="0"/>
        <w:spacing w:line="360" w:lineRule="auto"/>
        <w:ind w:left="360" w:hanging="360"/>
        <w:jc w:val="both"/>
        <w:rPr>
          <w:rFonts w:cs="Arial"/>
          <w:spacing w:val="-3"/>
          <w:lang w:val="es" w:eastAsia="es-AR"/>
        </w:rPr>
      </w:pPr>
      <w:r>
        <w:rPr>
          <w:rFonts w:cs="Arial"/>
          <w:spacing w:val="-3"/>
          <w:lang w:val="es" w:eastAsia="es-AR"/>
        </w:rPr>
        <w:t>Expedirse en  los términos del Informe de Auditoría que se adjunta;</w:t>
      </w:r>
    </w:p>
    <w:p w:rsidR="00872D2A" w:rsidRDefault="00872D2A" w:rsidP="005C46FC">
      <w:pPr>
        <w:keepNext/>
        <w:widowControl w:val="0"/>
        <w:numPr>
          <w:ilvl w:val="0"/>
          <w:numId w:val="2"/>
        </w:numPr>
        <w:tabs>
          <w:tab w:val="left" w:pos="0"/>
        </w:tabs>
        <w:autoSpaceDE w:val="0"/>
        <w:autoSpaceDN w:val="0"/>
        <w:adjustRightInd w:val="0"/>
        <w:spacing w:line="360" w:lineRule="auto"/>
        <w:ind w:left="360" w:hanging="360"/>
        <w:jc w:val="both"/>
        <w:rPr>
          <w:rFonts w:cs="Arial"/>
          <w:spacing w:val="-3"/>
          <w:lang w:val="es" w:eastAsia="es-AR"/>
        </w:rPr>
      </w:pPr>
      <w:r>
        <w:rPr>
          <w:rFonts w:cs="Arial"/>
          <w:spacing w:val="-3"/>
          <w:lang w:val="es" w:eastAsia="es-AR"/>
        </w:rPr>
        <w:t>Remitir el Informe de Auditoría al BIRF y a OSE;</w:t>
      </w:r>
    </w:p>
    <w:p w:rsidR="00872D2A" w:rsidRPr="00872D2A" w:rsidRDefault="00872D2A" w:rsidP="005C46FC">
      <w:pPr>
        <w:keepNext/>
        <w:widowControl w:val="0"/>
        <w:numPr>
          <w:ilvl w:val="0"/>
          <w:numId w:val="2"/>
        </w:numPr>
        <w:tabs>
          <w:tab w:val="left" w:pos="0"/>
        </w:tabs>
        <w:autoSpaceDE w:val="0"/>
        <w:autoSpaceDN w:val="0"/>
        <w:adjustRightInd w:val="0"/>
        <w:spacing w:line="360" w:lineRule="auto"/>
        <w:ind w:left="360" w:hanging="360"/>
        <w:jc w:val="both"/>
        <w:rPr>
          <w:lang w:val="es"/>
        </w:rPr>
      </w:pPr>
      <w:r>
        <w:rPr>
          <w:rFonts w:cs="Arial"/>
          <w:spacing w:val="-3"/>
          <w:lang w:val="es" w:eastAsia="es-AR"/>
        </w:rPr>
        <w:t>Dar cuenta a la Asamblea General.</w:t>
      </w:r>
    </w:p>
    <w:p w:rsidR="00872D2A" w:rsidRDefault="00872D2A" w:rsidP="005C46FC">
      <w:pPr>
        <w:keepNext/>
        <w:widowControl w:val="0"/>
        <w:tabs>
          <w:tab w:val="left" w:pos="0"/>
        </w:tabs>
        <w:autoSpaceDE w:val="0"/>
        <w:autoSpaceDN w:val="0"/>
        <w:adjustRightInd w:val="0"/>
        <w:spacing w:line="360" w:lineRule="auto"/>
        <w:jc w:val="both"/>
        <w:rPr>
          <w:rFonts w:cs="Arial"/>
          <w:spacing w:val="-3"/>
          <w:lang w:val="es" w:eastAsia="es-AR"/>
        </w:rPr>
      </w:pPr>
    </w:p>
    <w:p w:rsidR="00F86359" w:rsidRDefault="00872D2A" w:rsidP="005C46FC">
      <w:pPr>
        <w:keepNext/>
        <w:widowControl w:val="0"/>
        <w:tabs>
          <w:tab w:val="left" w:pos="0"/>
        </w:tabs>
        <w:autoSpaceDE w:val="0"/>
        <w:autoSpaceDN w:val="0"/>
        <w:adjustRightInd w:val="0"/>
        <w:spacing w:line="360" w:lineRule="auto"/>
        <w:ind w:hanging="426"/>
        <w:jc w:val="both"/>
        <w:rPr>
          <w:lang w:val="es"/>
        </w:rPr>
      </w:pPr>
      <w:proofErr w:type="gramStart"/>
      <w:r>
        <w:rPr>
          <w:rFonts w:cs="Arial"/>
          <w:spacing w:val="-3"/>
          <w:lang w:val="es" w:eastAsia="es-AR"/>
        </w:rPr>
        <w:t>dc</w:t>
      </w:r>
      <w:proofErr w:type="gramEnd"/>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DE488E" w:rsidRDefault="00DE488E" w:rsidP="005C46FC">
      <w:pPr>
        <w:keepNext/>
        <w:widowControl w:val="0"/>
        <w:autoSpaceDE w:val="0"/>
        <w:autoSpaceDN w:val="0"/>
        <w:adjustRightInd w:val="0"/>
        <w:spacing w:line="360" w:lineRule="auto"/>
        <w:jc w:val="center"/>
        <w:rPr>
          <w:rFonts w:cs="Arial"/>
          <w:b/>
          <w:bCs/>
          <w:lang w:val="es" w:eastAsia="es-AR"/>
        </w:rPr>
      </w:pPr>
      <w:r>
        <w:rPr>
          <w:rFonts w:cs="Arial"/>
          <w:b/>
          <w:bCs/>
          <w:lang w:val="es" w:eastAsia="es-AR"/>
        </w:rPr>
        <w:lastRenderedPageBreak/>
        <w:t>DICTAMEN</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El Tribunal de Cuentas ha examinado los estados financieros básicos del “Proyecto OSE Sustentable y Eficiente”, financiado parcialmente con recursos del Préstamo del Banco Mundial N° 8183-UY, ejecutado por OSE, que comprenden el “Estado de Efectivo Recibido y Desembolsos Efectuados” del período 01/01/2016 al 31/12/2016, el “Estado de Inversiones Acumuladas” y el “Estado de Activos y Pasivos” al 31/12/2016, formulados en dólares estadouni</w:t>
      </w:r>
      <w:r>
        <w:rPr>
          <w:rFonts w:cs="Arial"/>
          <w:lang w:val="es" w:eastAsia="es-AR"/>
        </w:rPr>
        <w:softHyphen/>
        <w:t>denses y las Notas que los acompañan.</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Responsabilidad de la Dirección</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La Gerencia de PFE, unidad de la Administración de las Obras Sanitarias del Estado, es responsable por la preparación y la razonable presentación de estos estados financieros de acuerdo con los requerimientos de auditoría indepen</w:t>
      </w:r>
      <w:r>
        <w:rPr>
          <w:rFonts w:cs="Arial"/>
          <w:lang w:val="es" w:eastAsia="es-AR"/>
        </w:rPr>
        <w:softHyphen/>
        <w:t>diente emitidos por el Banco Mundial (BM).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Responsabilidad del Auditor</w:t>
      </w:r>
    </w:p>
    <w:p w:rsidR="00DE488E" w:rsidRDefault="00DE488E" w:rsidP="005C46FC">
      <w:pPr>
        <w:keepNext/>
        <w:widowControl w:val="0"/>
        <w:autoSpaceDE w:val="0"/>
        <w:autoSpaceDN w:val="0"/>
        <w:adjustRightInd w:val="0"/>
        <w:spacing w:line="360" w:lineRule="auto"/>
        <w:jc w:val="both"/>
        <w:rPr>
          <w:rFonts w:cs="Arial"/>
          <w:spacing w:val="-3"/>
          <w:lang w:val="es" w:eastAsia="es-AR"/>
        </w:rPr>
      </w:pPr>
      <w:r>
        <w:rPr>
          <w:rFonts w:cs="Arial"/>
          <w:spacing w:val="-3"/>
          <w:lang w:val="es" w:eastAsia="es-AR"/>
        </w:rPr>
        <w:t xml:space="preserve">La responsabilidad del Tribunal de Cuentas es expresar una opinión sobre dichos estados financieros basada en la auditoría. Esta auditoria fue practicada de acuerdo con </w:t>
      </w:r>
      <w:r>
        <w:rPr>
          <w:rFonts w:cs="Arial"/>
          <w:lang w:val="es" w:eastAsia="es-AR"/>
        </w:rPr>
        <w:t xml:space="preserve">los Principios Fundamentales de Auditoría (ISSAI 100 y 200) y las Directrices de Auditoría Financiera de la Organización Internacional de Entidades Fiscalizadoras Superiores (INTOSAI) </w:t>
      </w:r>
      <w:r>
        <w:rPr>
          <w:rFonts w:cs="Arial"/>
          <w:spacing w:val="-3"/>
          <w:lang w:val="es" w:eastAsia="es-AR"/>
        </w:rPr>
        <w:t xml:space="preserve">y con los requerimientos de auditoría independiente emitidos por el Banco Mundial (BM). Estas normas </w:t>
      </w:r>
      <w:r>
        <w:rPr>
          <w:rFonts w:cs="Arial"/>
          <w:spacing w:val="-3"/>
          <w:lang w:val="es" w:eastAsia="es-AR"/>
        </w:rPr>
        <w:lastRenderedPageBreak/>
        <w:t>requieren que se cumpla con requisitos éticos, se planifique y se realice la auditoría para obtener seguridad razonable acerca de si los estados financieros están libres de errores significativos.</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Se considera que la evidencia de auditoría obtenida brinda una base suficiente y apropiada para sustentar la opinión.</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tabs>
          <w:tab w:val="right" w:pos="7938"/>
        </w:tabs>
        <w:autoSpaceDE w:val="0"/>
        <w:autoSpaceDN w:val="0"/>
        <w:adjustRightInd w:val="0"/>
        <w:spacing w:line="360" w:lineRule="auto"/>
        <w:jc w:val="both"/>
        <w:rPr>
          <w:rFonts w:cs="Arial"/>
          <w:b/>
          <w:bCs/>
          <w:lang w:val="es" w:eastAsia="es-AR"/>
        </w:rPr>
      </w:pPr>
      <w:r>
        <w:rPr>
          <w:rFonts w:cs="Arial"/>
          <w:b/>
          <w:bCs/>
          <w:lang w:val="es" w:eastAsia="es-AR"/>
        </w:rPr>
        <w:t>Opinión</w:t>
      </w:r>
    </w:p>
    <w:p w:rsidR="00DE488E" w:rsidRDefault="00DE488E" w:rsidP="005C46FC">
      <w:pPr>
        <w:keepNext/>
        <w:widowControl w:val="0"/>
        <w:tabs>
          <w:tab w:val="right" w:pos="7938"/>
        </w:tabs>
        <w:autoSpaceDE w:val="0"/>
        <w:autoSpaceDN w:val="0"/>
        <w:adjustRightInd w:val="0"/>
        <w:spacing w:line="360" w:lineRule="auto"/>
        <w:jc w:val="both"/>
        <w:rPr>
          <w:rFonts w:cs="Arial"/>
          <w:lang w:val="es" w:eastAsia="es-AR"/>
        </w:rPr>
      </w:pPr>
      <w:r>
        <w:rPr>
          <w:rFonts w:cs="Arial"/>
          <w:lang w:val="es" w:eastAsia="es-AR"/>
        </w:rPr>
        <w:t>En opinión del Tribunal de Cuentas, los estados financieros referidos preceden</w:t>
      </w:r>
      <w:r>
        <w:rPr>
          <w:rFonts w:cs="Arial"/>
          <w:lang w:val="es" w:eastAsia="es-AR"/>
        </w:rPr>
        <w:softHyphen/>
        <w:t>temente presentan razonablemente en todos sus aspectos importantes, los flujos de efectivo y las inversiones del “Proyecto OSE Sustentable y Eficiente” del Ejercicio anual finalizado al 31/12/2016 y del período comprendido entre el 01/01/2013 y el 31/12/2016, la situación de los activos y pasivos al 31/12/2016, de acuerdo con los requerimientos de auditoría independiente emitidos por el Banco Mundial (BM).</w:t>
      </w:r>
    </w:p>
    <w:p w:rsidR="00DE488E" w:rsidRDefault="0065734A" w:rsidP="005C46FC">
      <w:pPr>
        <w:keepNext/>
        <w:widowControl w:val="0"/>
        <w:tabs>
          <w:tab w:val="right" w:pos="7938"/>
        </w:tabs>
        <w:autoSpaceDE w:val="0"/>
        <w:autoSpaceDN w:val="0"/>
        <w:adjustRightInd w:val="0"/>
        <w:spacing w:line="360" w:lineRule="auto"/>
        <w:jc w:val="right"/>
        <w:rPr>
          <w:rFonts w:cs="Arial"/>
          <w:lang w:val="es" w:eastAsia="es-AR"/>
        </w:rPr>
      </w:pPr>
      <w:r>
        <w:rPr>
          <w:rFonts w:cs="Arial"/>
          <w:lang w:val="es" w:eastAsia="es-AR"/>
        </w:rPr>
        <w:t>Montevideo, 9  de junio de 2017</w:t>
      </w:r>
    </w:p>
    <w:p w:rsidR="00DE488E" w:rsidRDefault="00DE488E" w:rsidP="005C46FC">
      <w:pPr>
        <w:keepNext/>
        <w:widowControl w:val="0"/>
        <w:autoSpaceDE w:val="0"/>
        <w:autoSpaceDN w:val="0"/>
        <w:adjustRightInd w:val="0"/>
        <w:spacing w:line="360" w:lineRule="auto"/>
        <w:jc w:val="center"/>
        <w:rPr>
          <w:rFonts w:cs="Arial"/>
          <w:b/>
          <w:bCs/>
          <w:lang w:val="es" w:eastAsia="es-AR"/>
        </w:rPr>
      </w:pPr>
      <w:r>
        <w:rPr>
          <w:rFonts w:cs="Arial"/>
          <w:b/>
          <w:bCs/>
          <w:lang w:val="es" w:eastAsia="es-AR"/>
        </w:rPr>
        <w:lastRenderedPageBreak/>
        <w:t>DICTAMEN</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El Tribunal de Cuentas ha examinado la información presentada en el “Estado de Justificaciones de Anticipos Financieros” del período 01/01/2016 al 31/12/2016 del “Proyecto OSE Sustentable y Eficiente”, financiado parcial</w:t>
      </w:r>
      <w:r>
        <w:rPr>
          <w:rFonts w:cs="Arial"/>
          <w:lang w:val="es" w:eastAsia="es-AR"/>
        </w:rPr>
        <w:softHyphen/>
        <w:t>mente con fondos del Préstamo Nº 8183-UY del Banco Mundial y ejecutado por OSE. Dicha información comprende las justificaciones de anticipos de fondos Nº 9, N° 10 y N° 12.</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Responsabilidad de la Dirección</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La Gerencia de PFE, unidad de la Administración de las Obras Sanitarias del Estado, es responsable por la preparación y la razonable presentación de este estado financiero de acuerdo con los requerimientos de auditoría independiente emitidos por el Banco Mundial (BM)</w:t>
      </w:r>
      <w:r>
        <w:rPr>
          <w:rFonts w:cs="Arial"/>
          <w:i/>
          <w:iCs/>
          <w:lang w:val="es" w:eastAsia="es-AR"/>
        </w:rPr>
        <w:t xml:space="preserve">. </w:t>
      </w:r>
      <w:r>
        <w:rPr>
          <w:rFonts w:cs="Arial"/>
          <w:lang w:val="es" w:eastAsia="es-AR"/>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Responsabilidad del Auditor</w:t>
      </w:r>
    </w:p>
    <w:p w:rsidR="00DE488E" w:rsidRDefault="00DE488E" w:rsidP="005C46FC">
      <w:pPr>
        <w:keepNext/>
        <w:widowControl w:val="0"/>
        <w:autoSpaceDE w:val="0"/>
        <w:autoSpaceDN w:val="0"/>
        <w:adjustRightInd w:val="0"/>
        <w:spacing w:line="360" w:lineRule="auto"/>
        <w:jc w:val="both"/>
        <w:rPr>
          <w:rFonts w:cs="Arial"/>
          <w:spacing w:val="-3"/>
          <w:lang w:val="es" w:eastAsia="es-AR"/>
        </w:rPr>
      </w:pPr>
      <w:r>
        <w:rPr>
          <w:rFonts w:cs="Arial"/>
          <w:spacing w:val="-3"/>
          <w:lang w:val="es" w:eastAsia="es-AR"/>
        </w:rPr>
        <w:t xml:space="preserve">La responsabilidad del Tribunal de Cuentas es expresar una opinión sobre el “Estado de Justificaciones de Anticipos Financieros” basada en la auditoría. Esta auditoria fue practicada de acuerdo con </w:t>
      </w:r>
      <w:r>
        <w:rPr>
          <w:rFonts w:cs="Arial"/>
          <w:lang w:val="es" w:eastAsia="es-AR"/>
        </w:rPr>
        <w:t xml:space="preserve">los Principios Fundamentales de Auditoría (ISSAI 100 y 200) y las Directrices de Auditoría Financiera de la Organización Internacional de Entidades Fiscalizadoras Superiores (INTOSAI) </w:t>
      </w:r>
      <w:r>
        <w:rPr>
          <w:rFonts w:cs="Arial"/>
          <w:spacing w:val="-3"/>
          <w:lang w:val="es" w:eastAsia="es-AR"/>
        </w:rPr>
        <w:t xml:space="preserve">y con los requerimientos de auditoría independiente emitidos por el Banco Mundial (BM). Estas normas requieren que se cumpla con requisitos éticos, se </w:t>
      </w:r>
      <w:r>
        <w:rPr>
          <w:rFonts w:cs="Arial"/>
          <w:spacing w:val="-3"/>
          <w:lang w:val="es" w:eastAsia="es-AR"/>
        </w:rPr>
        <w:lastRenderedPageBreak/>
        <w:t>planifique y se realice la auditoría para obtener seguridad razonable acerca de si los estados financieros están libres de errores significativos.</w:t>
      </w:r>
    </w:p>
    <w:p w:rsidR="00DE488E" w:rsidRDefault="00DE488E" w:rsidP="005C46FC">
      <w:pPr>
        <w:keepNext/>
        <w:widowControl w:val="0"/>
        <w:autoSpaceDE w:val="0"/>
        <w:autoSpaceDN w:val="0"/>
        <w:adjustRightInd w:val="0"/>
        <w:spacing w:line="360" w:lineRule="auto"/>
        <w:jc w:val="both"/>
        <w:rPr>
          <w:rFonts w:cs="Arial"/>
          <w:spacing w:val="-3"/>
          <w:lang w:val="es" w:eastAsia="es-AR"/>
        </w:rPr>
      </w:pPr>
      <w:r>
        <w:rPr>
          <w:rFonts w:cs="Arial"/>
          <w:spacing w:val="-3"/>
          <w:lang w:val="es" w:eastAsia="es-AR"/>
        </w:rPr>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w:t>
      </w:r>
      <w:r w:rsidR="0065734A">
        <w:rPr>
          <w:rFonts w:cs="Arial"/>
          <w:spacing w:val="-3"/>
          <w:lang w:val="es" w:eastAsia="es-AR"/>
        </w:rPr>
        <w:t xml:space="preserve"> control interno de la entidad.</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Se considera que la evidencia de auditoría obtenida brinda una base suficiente y apropiada para sustentar la opinión.</w:t>
      </w:r>
    </w:p>
    <w:p w:rsidR="00DE488E" w:rsidRDefault="00DE488E" w:rsidP="005C46FC">
      <w:pPr>
        <w:keepNext/>
        <w:widowControl w:val="0"/>
        <w:autoSpaceDE w:val="0"/>
        <w:autoSpaceDN w:val="0"/>
        <w:adjustRightInd w:val="0"/>
        <w:spacing w:line="360" w:lineRule="auto"/>
        <w:jc w:val="both"/>
        <w:rPr>
          <w:rFonts w:cs="Arial"/>
          <w:b/>
          <w:bCs/>
          <w:lang w:val="es" w:eastAsia="es-AR"/>
        </w:rPr>
      </w:pP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b/>
          <w:bCs/>
          <w:lang w:val="es" w:eastAsia="es-AR"/>
        </w:rPr>
        <w:t>Opinión</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En opinión del Tribunal de Cuentas, el “Estado de Justificaciones de Anticipos Financieros” por el período comprendido entre el 01/01/2016 al 31/12/2016, la información y anexos que lo respaldan, junto con los controles internos utilizados en su preparación, son razonables para sustentar las solicitudes de anticipos y las justificaciones de gastos incurridos, de conformidad con los requisitos establecidos por el Banco Mundial (BM) y dichos gastos son elegibles para el financiam</w:t>
      </w:r>
      <w:r w:rsidR="0065734A">
        <w:rPr>
          <w:rFonts w:cs="Arial"/>
          <w:lang w:val="es" w:eastAsia="es-AR"/>
        </w:rPr>
        <w:t>iento del Contrato de Préstamo.</w:t>
      </w:r>
    </w:p>
    <w:p w:rsidR="00DE488E" w:rsidRDefault="0065734A" w:rsidP="005C46FC">
      <w:pPr>
        <w:keepNext/>
        <w:widowControl w:val="0"/>
        <w:autoSpaceDE w:val="0"/>
        <w:autoSpaceDN w:val="0"/>
        <w:adjustRightInd w:val="0"/>
        <w:spacing w:line="360" w:lineRule="auto"/>
        <w:ind w:firstLine="2160"/>
        <w:jc w:val="right"/>
        <w:rPr>
          <w:rFonts w:cs="Arial"/>
          <w:lang w:val="es" w:eastAsia="es-AR"/>
        </w:rPr>
      </w:pPr>
      <w:r>
        <w:rPr>
          <w:rFonts w:cs="Arial"/>
          <w:lang w:val="es" w:eastAsia="es-AR"/>
        </w:rPr>
        <w:t>Montevideo, 9 de junio de 2017</w:t>
      </w:r>
    </w:p>
    <w:p w:rsidR="00DE488E" w:rsidRDefault="00DE488E" w:rsidP="005C46FC">
      <w:pPr>
        <w:keepNext/>
        <w:widowControl w:val="0"/>
        <w:autoSpaceDE w:val="0"/>
        <w:autoSpaceDN w:val="0"/>
        <w:adjustRightInd w:val="0"/>
        <w:spacing w:line="360" w:lineRule="auto"/>
        <w:ind w:hanging="426"/>
      </w:pPr>
      <w:proofErr w:type="gramStart"/>
      <w:r>
        <w:rPr>
          <w:rFonts w:cs="Arial"/>
          <w:lang w:val="es" w:eastAsia="es-AR"/>
        </w:rPr>
        <w:t>dc</w:t>
      </w:r>
      <w:proofErr w:type="gramEnd"/>
    </w:p>
    <w:p w:rsidR="00DE488E" w:rsidRDefault="00DE488E" w:rsidP="005C46FC">
      <w:pPr>
        <w:keepNext/>
        <w:widowControl w:val="0"/>
        <w:tabs>
          <w:tab w:val="left" w:pos="0"/>
        </w:tabs>
        <w:autoSpaceDE w:val="0"/>
        <w:autoSpaceDN w:val="0"/>
        <w:adjustRightInd w:val="0"/>
        <w:spacing w:line="360" w:lineRule="auto"/>
        <w:ind w:hanging="426"/>
        <w:jc w:val="both"/>
        <w:rPr>
          <w:lang w:val="es"/>
        </w:rPr>
      </w:pPr>
    </w:p>
    <w:p w:rsidR="00DE488E" w:rsidRDefault="00DE488E" w:rsidP="005C46FC">
      <w:pPr>
        <w:keepNext/>
        <w:widowControl w:val="0"/>
        <w:autoSpaceDE w:val="0"/>
        <w:autoSpaceDN w:val="0"/>
        <w:adjustRightInd w:val="0"/>
        <w:spacing w:line="360" w:lineRule="auto"/>
        <w:jc w:val="center"/>
        <w:rPr>
          <w:rFonts w:cs="Arial"/>
          <w:b/>
          <w:bCs/>
          <w:lang w:val="es" w:eastAsia="es-AR"/>
        </w:rPr>
      </w:pPr>
      <w:r>
        <w:rPr>
          <w:rFonts w:cs="Arial"/>
          <w:b/>
          <w:bCs/>
          <w:lang w:val="es" w:eastAsia="es-AR"/>
        </w:rPr>
        <w:lastRenderedPageBreak/>
        <w:t>DICTAMEN</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El Tribunal de Cuentas ha examinado el “Estado de la Cuenta Designada” N°240100264 correspondiente al “Proyecto OSE Sustentable y Eficiente”, financiado parcialmente por el préstamo del Banco Mundial N° 8183-UY, ejecutado por la Administración de las Obras Sanitarias del Estado (OSE), correspondiente al Ejercicio comprendido entre el 1º de enero de 2016 y el 31 de diciembre de 2016.</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Responsabilidad de la Dirección</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La Gerencia de PFE, unidad de la Administración de las Obras Sanitarias del Estado, es responsable por la preparación y la razonable presentación de este estado financiero de acuerdo con los requerimientos de auditoría independiente emitidos por el Banco Mundial (BM)</w:t>
      </w:r>
      <w:r>
        <w:rPr>
          <w:rFonts w:cs="Arial"/>
          <w:i/>
          <w:iCs/>
          <w:lang w:val="es" w:eastAsia="es-AR"/>
        </w:rPr>
        <w:t xml:space="preserve">. </w:t>
      </w:r>
      <w:r>
        <w:rPr>
          <w:rFonts w:cs="Arial"/>
          <w:lang w:val="es" w:eastAsia="es-AR"/>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E488E" w:rsidRDefault="00DE488E" w:rsidP="005C46FC">
      <w:pPr>
        <w:keepNext/>
        <w:widowControl w:val="0"/>
        <w:autoSpaceDE w:val="0"/>
        <w:autoSpaceDN w:val="0"/>
        <w:adjustRightInd w:val="0"/>
        <w:spacing w:line="360" w:lineRule="auto"/>
        <w:jc w:val="both"/>
        <w:rPr>
          <w:rFonts w:cs="Arial"/>
          <w:b/>
          <w:bCs/>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Responsabilidad del auditor</w:t>
      </w:r>
    </w:p>
    <w:p w:rsidR="00DE488E" w:rsidRDefault="00DE488E" w:rsidP="005C46FC">
      <w:pPr>
        <w:keepNext/>
        <w:widowControl w:val="0"/>
        <w:autoSpaceDE w:val="0"/>
        <w:autoSpaceDN w:val="0"/>
        <w:adjustRightInd w:val="0"/>
        <w:spacing w:line="360" w:lineRule="auto"/>
        <w:jc w:val="both"/>
        <w:rPr>
          <w:rFonts w:cs="Arial"/>
          <w:spacing w:val="-3"/>
          <w:lang w:val="es" w:eastAsia="es-AR"/>
        </w:rPr>
      </w:pPr>
      <w:r>
        <w:rPr>
          <w:rFonts w:cs="Arial"/>
          <w:spacing w:val="-3"/>
          <w:lang w:val="es" w:eastAsia="es-AR"/>
        </w:rPr>
        <w:t xml:space="preserve">La responsabilidad del Tribunal de Cuentas es expresar una opinión sobre el “Estado de la Cuenta Designada” basada en la auditoría. Esta auditoria fue practicada de acuerdo con </w:t>
      </w:r>
      <w:r>
        <w:rPr>
          <w:rFonts w:cs="Arial"/>
          <w:lang w:val="es" w:eastAsia="es-AR"/>
        </w:rPr>
        <w:t xml:space="preserve">los Principios Fundamentales de Auditoría (ISSAI 100 y 200) y las Directrices de Auditoría Financiera (ISSAI 1000 a 1810) de la Organización Internacional de Entidades Fiscalizadoras Superiores (INTOSAI) </w:t>
      </w:r>
      <w:r>
        <w:rPr>
          <w:rFonts w:cs="Arial"/>
          <w:spacing w:val="-3"/>
          <w:lang w:val="es" w:eastAsia="es-AR"/>
        </w:rPr>
        <w:t xml:space="preserve">y con los requerimientos de auditoría independiente emitidos por el Banco Mundial (BM). Estas normas requieren que se cumpla con requisitos éticos, se </w:t>
      </w:r>
      <w:r>
        <w:rPr>
          <w:rFonts w:cs="Arial"/>
          <w:spacing w:val="-3"/>
          <w:lang w:val="es" w:eastAsia="es-AR"/>
        </w:rPr>
        <w:lastRenderedPageBreak/>
        <w:t>planifique y se realice la auditoría para obtener seguridad razonable acerca de si los estados financieros están libres de errores significativos.</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Se considera que la evidencia de auditoría obtenida brinda una base suficiente y apropiada para sustentar la opinión.</w:t>
      </w:r>
    </w:p>
    <w:p w:rsidR="00DE488E" w:rsidRDefault="00DE488E" w:rsidP="005C46FC">
      <w:pPr>
        <w:keepNext/>
        <w:widowControl w:val="0"/>
        <w:autoSpaceDE w:val="0"/>
        <w:autoSpaceDN w:val="0"/>
        <w:adjustRightInd w:val="0"/>
        <w:spacing w:line="360" w:lineRule="auto"/>
        <w:ind w:firstLine="720"/>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Opinión</w:t>
      </w:r>
    </w:p>
    <w:p w:rsidR="00DE488E" w:rsidRDefault="00DE488E" w:rsidP="005C46FC">
      <w:pPr>
        <w:keepNext/>
        <w:widowControl w:val="0"/>
        <w:tabs>
          <w:tab w:val="right" w:pos="7938"/>
        </w:tabs>
        <w:autoSpaceDE w:val="0"/>
        <w:autoSpaceDN w:val="0"/>
        <w:adjustRightInd w:val="0"/>
        <w:spacing w:line="360" w:lineRule="auto"/>
        <w:jc w:val="both"/>
        <w:rPr>
          <w:rFonts w:cs="Arial"/>
          <w:lang w:val="es" w:eastAsia="es-AR"/>
        </w:rPr>
      </w:pPr>
      <w:r>
        <w:rPr>
          <w:rFonts w:cs="Arial"/>
          <w:lang w:val="es" w:eastAsia="es-AR"/>
        </w:rPr>
        <w:t>En opinión del Tribunal de Cuentas, el “Estado de la Cuenta Designada” presenta razonablemente, en todos sus aspectos importantes, el saldo de la Cuenta Designada al 31 de diciembre de 2016 y el origen y la aplicación de fondos de dicha cuenta durante el Ejercicio terminado en esa fecha, de acuerdo con los requerimientos de auditoría independiente emitidos por el Banco Mundial (BM).</w:t>
      </w:r>
    </w:p>
    <w:p w:rsidR="00DE488E" w:rsidRDefault="0065734A" w:rsidP="005C46FC">
      <w:pPr>
        <w:keepNext/>
        <w:widowControl w:val="0"/>
        <w:tabs>
          <w:tab w:val="right" w:pos="7938"/>
        </w:tabs>
        <w:autoSpaceDE w:val="0"/>
        <w:autoSpaceDN w:val="0"/>
        <w:adjustRightInd w:val="0"/>
        <w:spacing w:line="360" w:lineRule="auto"/>
        <w:jc w:val="right"/>
        <w:rPr>
          <w:rFonts w:cs="Arial"/>
          <w:lang w:val="es" w:eastAsia="es-AR"/>
        </w:rPr>
      </w:pPr>
      <w:r>
        <w:rPr>
          <w:rFonts w:cs="Arial"/>
          <w:lang w:val="es" w:eastAsia="es-AR"/>
        </w:rPr>
        <w:t>Montevideo, 9 de junio de 2017</w:t>
      </w:r>
    </w:p>
    <w:p w:rsidR="00DE488E" w:rsidRDefault="00DE488E" w:rsidP="005C46FC">
      <w:pPr>
        <w:keepNext/>
        <w:widowControl w:val="0"/>
        <w:tabs>
          <w:tab w:val="right" w:pos="7938"/>
        </w:tabs>
        <w:autoSpaceDE w:val="0"/>
        <w:autoSpaceDN w:val="0"/>
        <w:adjustRightInd w:val="0"/>
        <w:spacing w:line="360" w:lineRule="auto"/>
        <w:jc w:val="right"/>
        <w:rPr>
          <w:rFonts w:cs="Arial"/>
          <w:lang w:val="es" w:eastAsia="es-AR"/>
        </w:rPr>
      </w:pPr>
    </w:p>
    <w:p w:rsidR="00DE488E" w:rsidRDefault="00DE488E" w:rsidP="005C46FC">
      <w:pPr>
        <w:keepNext/>
        <w:widowControl w:val="0"/>
        <w:tabs>
          <w:tab w:val="right" w:pos="7938"/>
        </w:tabs>
        <w:autoSpaceDE w:val="0"/>
        <w:autoSpaceDN w:val="0"/>
        <w:adjustRightInd w:val="0"/>
        <w:spacing w:line="360" w:lineRule="auto"/>
        <w:jc w:val="right"/>
        <w:rPr>
          <w:rFonts w:cs="Arial"/>
          <w:lang w:val="es" w:eastAsia="es-AR"/>
        </w:rPr>
      </w:pPr>
    </w:p>
    <w:p w:rsidR="00DE488E" w:rsidRDefault="00DE488E" w:rsidP="005C46FC">
      <w:pPr>
        <w:keepNext/>
        <w:widowControl w:val="0"/>
        <w:tabs>
          <w:tab w:val="right" w:pos="7938"/>
        </w:tabs>
        <w:autoSpaceDE w:val="0"/>
        <w:autoSpaceDN w:val="0"/>
        <w:adjustRightInd w:val="0"/>
        <w:spacing w:line="360" w:lineRule="auto"/>
        <w:jc w:val="right"/>
        <w:rPr>
          <w:rFonts w:cs="Arial"/>
          <w:lang w:val="es" w:eastAsia="es-AR"/>
        </w:rPr>
      </w:pPr>
    </w:p>
    <w:p w:rsidR="00DE488E" w:rsidRDefault="00DE488E" w:rsidP="005C46FC">
      <w:pPr>
        <w:keepNext/>
        <w:widowControl w:val="0"/>
        <w:tabs>
          <w:tab w:val="right" w:pos="7938"/>
        </w:tabs>
        <w:autoSpaceDE w:val="0"/>
        <w:autoSpaceDN w:val="0"/>
        <w:adjustRightInd w:val="0"/>
        <w:spacing w:line="360" w:lineRule="auto"/>
        <w:ind w:hanging="284"/>
      </w:pPr>
      <w:proofErr w:type="gramStart"/>
      <w:r>
        <w:rPr>
          <w:rFonts w:cs="Arial"/>
          <w:lang w:val="es" w:eastAsia="es-AR"/>
        </w:rPr>
        <w:t>dc</w:t>
      </w:r>
      <w:proofErr w:type="gramEnd"/>
    </w:p>
    <w:p w:rsidR="00DE488E" w:rsidRDefault="00DE488E"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DE488E" w:rsidRDefault="00DE488E"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65734A" w:rsidRDefault="0065734A" w:rsidP="005C46FC">
      <w:pPr>
        <w:keepNext/>
        <w:widowControl w:val="0"/>
        <w:tabs>
          <w:tab w:val="left" w:pos="0"/>
        </w:tabs>
        <w:autoSpaceDE w:val="0"/>
        <w:autoSpaceDN w:val="0"/>
        <w:adjustRightInd w:val="0"/>
        <w:spacing w:line="360" w:lineRule="auto"/>
        <w:ind w:hanging="426"/>
        <w:jc w:val="both"/>
        <w:rPr>
          <w:lang w:val="es"/>
        </w:rPr>
      </w:pPr>
    </w:p>
    <w:p w:rsidR="00DE488E" w:rsidRDefault="00DE488E" w:rsidP="005C46FC">
      <w:pPr>
        <w:keepNext/>
        <w:widowControl w:val="0"/>
        <w:autoSpaceDE w:val="0"/>
        <w:autoSpaceDN w:val="0"/>
        <w:adjustRightInd w:val="0"/>
        <w:spacing w:line="360" w:lineRule="auto"/>
        <w:jc w:val="center"/>
        <w:rPr>
          <w:rFonts w:cs="Arial"/>
          <w:b/>
          <w:bCs/>
          <w:lang w:val="es" w:eastAsia="es-AR"/>
        </w:rPr>
      </w:pPr>
      <w:r>
        <w:rPr>
          <w:rFonts w:cs="Arial"/>
          <w:b/>
          <w:bCs/>
          <w:lang w:val="es" w:eastAsia="es-AR"/>
        </w:rPr>
        <w:lastRenderedPageBreak/>
        <w:t>DICTAMEN</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El Tribunal de Cuentas ha examinado el cumplimiento de las disposiciones contractuales de carácter contable y financiero por parte de OSE, identificadas en el Anexo "Cumplimiento de las Cláusulas Contractuales" correspondientes al Convenio de Préstamo N° 8183-UY firmado entre el Banco Mundial y la Administración de las Obras Sanitarias del Estado, que financian el “Proyecto OSE Sustentable y Eficiente” durante el ejercicio finalizado el 31/12/2016.</w:t>
      </w:r>
    </w:p>
    <w:p w:rsidR="00DE488E" w:rsidRDefault="00DE488E" w:rsidP="005C46FC">
      <w:pPr>
        <w:keepNext/>
        <w:widowControl w:val="0"/>
        <w:tabs>
          <w:tab w:val="left" w:pos="4252"/>
          <w:tab w:val="left" w:pos="8504"/>
        </w:tabs>
        <w:autoSpaceDE w:val="0"/>
        <w:autoSpaceDN w:val="0"/>
        <w:adjustRightInd w:val="0"/>
        <w:spacing w:line="360" w:lineRule="auto"/>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Responsabilidad de la Dirección</w:t>
      </w: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t>La Gerencia de PFE, unidad de la Administración de las Obras Sanitarias del Estado, es responsable del cumplimiento de las cláusulas contractuales correspondientes al Convenio de Préstamo BIRF N° 8183-UY, durante el Ejercicio finalizado el 31 de diciembre de 2016. Esta responsabilidad incluye diseñar, implementar y mantener un sistema de control interno adecuado para asegurar el cumplimiento de las mismas.</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Responsabilidad del auditor</w:t>
      </w:r>
    </w:p>
    <w:p w:rsidR="00DE488E" w:rsidRDefault="00DE488E" w:rsidP="005C46FC">
      <w:pPr>
        <w:keepNext/>
        <w:widowControl w:val="0"/>
        <w:autoSpaceDE w:val="0"/>
        <w:autoSpaceDN w:val="0"/>
        <w:adjustRightInd w:val="0"/>
        <w:spacing w:line="360" w:lineRule="auto"/>
        <w:jc w:val="both"/>
        <w:rPr>
          <w:rFonts w:cs="Arial"/>
          <w:spacing w:val="-3"/>
          <w:lang w:val="es" w:eastAsia="es-AR"/>
        </w:rPr>
      </w:pPr>
      <w:r>
        <w:rPr>
          <w:rFonts w:cs="Arial"/>
          <w:spacing w:val="-3"/>
          <w:lang w:val="es" w:eastAsia="es-AR"/>
        </w:rPr>
        <w:t xml:space="preserve">La responsabilidad del Tribunal de Cuentas es expresar una opinión sobre el Anexo “Cumplimiento de las Cláusulas Contractuales” basada en la auditoría. Esta auditoria fue practicada de acuerdo con </w:t>
      </w:r>
      <w:r>
        <w:rPr>
          <w:rFonts w:cs="Arial"/>
          <w:lang w:val="es" w:eastAsia="es-AR"/>
        </w:rPr>
        <w:t xml:space="preserve">los Principios Fundamentales de Auditoría (ISSAI 100 y 400) y las Directrices de Auditoría Financiera de la Organización Internacional de Entidades Fiscalizadoras Superiores (INTOSAI) </w:t>
      </w:r>
      <w:r>
        <w:rPr>
          <w:rFonts w:cs="Arial"/>
          <w:spacing w:val="-3"/>
          <w:lang w:val="es" w:eastAsia="es-AR"/>
        </w:rPr>
        <w:t>y con los requerimientos de auditoría independiente emitidos por el Banco Mundial (BM). Estas normas requieren que se cumpla con requisitos éticos, se planifique y se realice la auditoría para obtener seguridad razonable acerca de si los estados financieros están libres de errores significativos.</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lang w:val="es" w:eastAsia="es-AR"/>
        </w:rPr>
      </w:pPr>
      <w:r>
        <w:rPr>
          <w:rFonts w:cs="Arial"/>
          <w:lang w:val="es" w:eastAsia="es-AR"/>
        </w:rPr>
        <w:lastRenderedPageBreak/>
        <w:t>Se considera que la evidencia de auditoría obtenida brinda una base suficiente y apropiada para sustentar la opinión.</w:t>
      </w:r>
    </w:p>
    <w:p w:rsidR="00DE488E" w:rsidRDefault="00DE488E" w:rsidP="005C46FC">
      <w:pPr>
        <w:keepNext/>
        <w:widowControl w:val="0"/>
        <w:autoSpaceDE w:val="0"/>
        <w:autoSpaceDN w:val="0"/>
        <w:adjustRightInd w:val="0"/>
        <w:spacing w:line="360" w:lineRule="auto"/>
        <w:jc w:val="both"/>
        <w:rPr>
          <w:rFonts w:cs="Arial"/>
          <w:lang w:val="es" w:eastAsia="es-AR"/>
        </w:rPr>
      </w:pPr>
    </w:p>
    <w:p w:rsidR="00DE488E" w:rsidRDefault="00DE488E"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Opinión</w:t>
      </w:r>
    </w:p>
    <w:p w:rsidR="00DE488E" w:rsidRDefault="00DE488E" w:rsidP="005C46FC">
      <w:pPr>
        <w:keepNext/>
        <w:widowControl w:val="0"/>
        <w:autoSpaceDE w:val="0"/>
        <w:autoSpaceDN w:val="0"/>
        <w:adjustRightInd w:val="0"/>
        <w:spacing w:line="360" w:lineRule="auto"/>
        <w:jc w:val="both"/>
        <w:rPr>
          <w:rFonts w:cs="Arial"/>
          <w:i/>
          <w:iCs/>
          <w:lang w:val="es" w:eastAsia="es-AR"/>
        </w:rPr>
      </w:pPr>
      <w:r>
        <w:rPr>
          <w:rFonts w:cs="Arial"/>
          <w:lang w:val="es" w:eastAsia="es-AR"/>
        </w:rPr>
        <w:t>En opinión del Tribunal de Cuentas, la Gerencia de PFE ha dado cumplimiento en todos sus aspectos importantes, con las disposiciones contractuales del Convenio de Préstamo BIRF N° 8183-UY identificadas en el Anexo “Cumpli</w:t>
      </w:r>
      <w:r>
        <w:rPr>
          <w:rFonts w:cs="Arial"/>
          <w:lang w:val="es" w:eastAsia="es-AR"/>
        </w:rPr>
        <w:softHyphen/>
        <w:t>miento de Cláusulas Contractuales” durante el Ejercicio finalizado el 31 de di</w:t>
      </w:r>
      <w:r>
        <w:rPr>
          <w:rFonts w:cs="Arial"/>
          <w:lang w:val="es" w:eastAsia="es-AR"/>
        </w:rPr>
        <w:softHyphen/>
        <w:t>ciembre de 2016, según los comentarios incluidos en dicho Anexo.</w:t>
      </w:r>
    </w:p>
    <w:p w:rsidR="00DE488E" w:rsidRDefault="0065734A" w:rsidP="005C46FC">
      <w:pPr>
        <w:keepNext/>
        <w:widowControl w:val="0"/>
        <w:tabs>
          <w:tab w:val="right" w:pos="7938"/>
        </w:tabs>
        <w:autoSpaceDE w:val="0"/>
        <w:autoSpaceDN w:val="0"/>
        <w:adjustRightInd w:val="0"/>
        <w:spacing w:line="360" w:lineRule="auto"/>
        <w:jc w:val="right"/>
        <w:rPr>
          <w:rFonts w:cs="Arial"/>
          <w:lang w:val="es" w:eastAsia="es-AR"/>
        </w:rPr>
      </w:pPr>
      <w:r>
        <w:rPr>
          <w:rFonts w:cs="Arial"/>
          <w:lang w:val="es" w:eastAsia="es-AR"/>
        </w:rPr>
        <w:t>Montevideo, 9 de junio de 2017</w:t>
      </w:r>
    </w:p>
    <w:p w:rsidR="00DE488E" w:rsidRDefault="00DE488E" w:rsidP="005C46FC">
      <w:pPr>
        <w:keepNext/>
        <w:widowControl w:val="0"/>
        <w:tabs>
          <w:tab w:val="right" w:pos="7938"/>
        </w:tabs>
        <w:autoSpaceDE w:val="0"/>
        <w:autoSpaceDN w:val="0"/>
        <w:adjustRightInd w:val="0"/>
        <w:spacing w:line="360" w:lineRule="auto"/>
        <w:jc w:val="right"/>
        <w:rPr>
          <w:rFonts w:cs="Arial"/>
          <w:lang w:val="es" w:eastAsia="es-AR"/>
        </w:rPr>
      </w:pPr>
    </w:p>
    <w:p w:rsidR="00DE488E" w:rsidRDefault="00DE488E" w:rsidP="005C46FC">
      <w:pPr>
        <w:keepNext/>
        <w:widowControl w:val="0"/>
        <w:tabs>
          <w:tab w:val="right" w:pos="7938"/>
        </w:tabs>
        <w:autoSpaceDE w:val="0"/>
        <w:autoSpaceDN w:val="0"/>
        <w:adjustRightInd w:val="0"/>
        <w:spacing w:line="360" w:lineRule="auto"/>
        <w:jc w:val="right"/>
        <w:rPr>
          <w:rFonts w:cs="Arial"/>
          <w:lang w:val="es" w:eastAsia="es-AR"/>
        </w:rPr>
      </w:pPr>
    </w:p>
    <w:p w:rsidR="00DE488E" w:rsidRDefault="00DE488E" w:rsidP="005C46FC">
      <w:pPr>
        <w:keepNext/>
        <w:widowControl w:val="0"/>
        <w:tabs>
          <w:tab w:val="right" w:pos="7938"/>
        </w:tabs>
        <w:autoSpaceDE w:val="0"/>
        <w:autoSpaceDN w:val="0"/>
        <w:adjustRightInd w:val="0"/>
        <w:spacing w:line="360" w:lineRule="auto"/>
        <w:jc w:val="right"/>
        <w:rPr>
          <w:rFonts w:cs="Arial"/>
          <w:lang w:val="es" w:eastAsia="es-AR"/>
        </w:rPr>
      </w:pPr>
    </w:p>
    <w:p w:rsidR="00DE488E" w:rsidRDefault="00DE488E" w:rsidP="005C46FC">
      <w:pPr>
        <w:keepNext/>
        <w:widowControl w:val="0"/>
        <w:tabs>
          <w:tab w:val="right" w:pos="7938"/>
        </w:tabs>
        <w:autoSpaceDE w:val="0"/>
        <w:autoSpaceDN w:val="0"/>
        <w:adjustRightInd w:val="0"/>
        <w:spacing w:line="360" w:lineRule="auto"/>
        <w:ind w:hanging="284"/>
        <w:rPr>
          <w:rFonts w:cs="Arial"/>
          <w:lang w:val="es" w:eastAsia="es-AR"/>
        </w:rPr>
      </w:pPr>
      <w:proofErr w:type="gramStart"/>
      <w:r>
        <w:rPr>
          <w:rFonts w:cs="Arial"/>
          <w:lang w:val="es" w:eastAsia="es-AR"/>
        </w:rPr>
        <w:t>dc</w:t>
      </w:r>
      <w:proofErr w:type="gramEnd"/>
    </w:p>
    <w:p w:rsidR="00DE488E" w:rsidRDefault="00DE488E" w:rsidP="005C46FC">
      <w:pPr>
        <w:keepNext/>
        <w:widowControl w:val="0"/>
        <w:tabs>
          <w:tab w:val="left" w:pos="0"/>
        </w:tabs>
        <w:autoSpaceDE w:val="0"/>
        <w:autoSpaceDN w:val="0"/>
        <w:adjustRightInd w:val="0"/>
        <w:spacing w:line="360" w:lineRule="auto"/>
        <w:ind w:hanging="426"/>
        <w:jc w:val="both"/>
        <w:rPr>
          <w:lang w:val="es"/>
        </w:rPr>
      </w:pPr>
    </w:p>
    <w:p w:rsidR="00DE488E" w:rsidRDefault="00DE488E"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5C46FC" w:rsidRDefault="005C46FC" w:rsidP="005C46FC">
      <w:pPr>
        <w:keepNext/>
        <w:widowControl w:val="0"/>
        <w:tabs>
          <w:tab w:val="left" w:pos="0"/>
        </w:tabs>
        <w:autoSpaceDE w:val="0"/>
        <w:autoSpaceDN w:val="0"/>
        <w:adjustRightInd w:val="0"/>
        <w:spacing w:line="360" w:lineRule="auto"/>
        <w:ind w:hanging="426"/>
        <w:jc w:val="both"/>
        <w:rPr>
          <w:lang w:val="es"/>
        </w:rPr>
      </w:pPr>
    </w:p>
    <w:p w:rsidR="00DE488E" w:rsidRDefault="00DE488E" w:rsidP="005C46FC">
      <w:pPr>
        <w:keepNext/>
        <w:widowControl w:val="0"/>
        <w:tabs>
          <w:tab w:val="left" w:pos="0"/>
        </w:tabs>
        <w:autoSpaceDE w:val="0"/>
        <w:autoSpaceDN w:val="0"/>
        <w:adjustRightInd w:val="0"/>
        <w:spacing w:line="360" w:lineRule="auto"/>
        <w:ind w:hanging="426"/>
        <w:jc w:val="both"/>
        <w:rPr>
          <w:lang w:val="es"/>
        </w:rPr>
      </w:pPr>
    </w:p>
    <w:p w:rsidR="007A4877" w:rsidRDefault="007A4877" w:rsidP="005C46FC">
      <w:pPr>
        <w:keepNext/>
        <w:widowControl w:val="0"/>
        <w:autoSpaceDE w:val="0"/>
        <w:autoSpaceDN w:val="0"/>
        <w:adjustRightInd w:val="0"/>
        <w:spacing w:line="360" w:lineRule="auto"/>
        <w:jc w:val="center"/>
        <w:rPr>
          <w:rFonts w:cs="Arial"/>
          <w:b/>
          <w:bCs/>
          <w:lang w:val="es" w:eastAsia="es-AR"/>
        </w:rPr>
      </w:pPr>
      <w:r>
        <w:rPr>
          <w:rFonts w:cs="Arial"/>
          <w:b/>
          <w:bCs/>
          <w:lang w:val="es" w:eastAsia="es-AR"/>
        </w:rPr>
        <w:lastRenderedPageBreak/>
        <w:t>INFORME A LA ADMINISTRACIÓN</w:t>
      </w:r>
    </w:p>
    <w:p w:rsidR="007A4877" w:rsidRDefault="007A4877" w:rsidP="005C46FC">
      <w:pPr>
        <w:keepNext/>
        <w:widowControl w:val="0"/>
        <w:tabs>
          <w:tab w:val="left" w:pos="2865"/>
        </w:tabs>
        <w:autoSpaceDE w:val="0"/>
        <w:autoSpaceDN w:val="0"/>
        <w:adjustRightInd w:val="0"/>
        <w:spacing w:line="360" w:lineRule="auto"/>
        <w:jc w:val="both"/>
        <w:rPr>
          <w:rFonts w:cs="Arial"/>
          <w:lang w:val="es" w:eastAsia="es-AR"/>
        </w:rPr>
      </w:pPr>
      <w:r>
        <w:rPr>
          <w:rFonts w:cs="Arial"/>
          <w:lang w:val="es" w:eastAsia="es-AR"/>
        </w:rPr>
        <w:tab/>
      </w:r>
    </w:p>
    <w:p w:rsidR="007A4877" w:rsidRDefault="007A4877" w:rsidP="005C46FC">
      <w:pPr>
        <w:keepNext/>
        <w:widowControl w:val="0"/>
        <w:autoSpaceDE w:val="0"/>
        <w:autoSpaceDN w:val="0"/>
        <w:adjustRightInd w:val="0"/>
        <w:spacing w:line="360" w:lineRule="auto"/>
        <w:jc w:val="both"/>
        <w:rPr>
          <w:rFonts w:cs="Arial"/>
          <w:lang w:val="es" w:eastAsia="es-AR"/>
        </w:rPr>
      </w:pPr>
      <w:r>
        <w:rPr>
          <w:rFonts w:cs="Arial"/>
          <w:lang w:val="es" w:eastAsia="es-AR"/>
        </w:rPr>
        <w:t>El Tribunal de Cuentas ha examinado los estados financieros correspondientes al Ejercicio comprendido entre el 1º de enero de 2016 y el 31 de diciembre de 2016 relativos al “Proyecto OSE Sustentable y Eficiente”, financiado parcialmente con recursos del Convenio de Préstamo del Banco Mundial         N° 8183-UY y ha emitido su dictamen.</w:t>
      </w:r>
    </w:p>
    <w:p w:rsidR="007A4877" w:rsidRDefault="007A4877" w:rsidP="005C46FC">
      <w:pPr>
        <w:keepNext/>
        <w:widowControl w:val="0"/>
        <w:autoSpaceDE w:val="0"/>
        <w:autoSpaceDN w:val="0"/>
        <w:adjustRightInd w:val="0"/>
        <w:spacing w:line="360" w:lineRule="auto"/>
        <w:jc w:val="both"/>
        <w:rPr>
          <w:rFonts w:cs="Arial"/>
          <w:lang w:val="es" w:eastAsia="es-AR"/>
        </w:rPr>
      </w:pPr>
      <w:r>
        <w:rPr>
          <w:rFonts w:cs="Arial"/>
          <w:lang w:val="es" w:eastAsia="es-AR"/>
        </w:rPr>
        <w:t>En este capítulo del informe se incluyen los comentarios referentes a la presentación de estados financieros así como también aspectos específicos relativos a la evaluación del sistema de control interno implementado para la administración y ejecución del mismo</w:t>
      </w:r>
      <w:r w:rsidR="006959AF">
        <w:rPr>
          <w:rFonts w:cs="Arial"/>
          <w:lang w:val="es" w:eastAsia="es-AR"/>
        </w:rPr>
        <w:t>.</w:t>
      </w:r>
    </w:p>
    <w:p w:rsidR="005C46FC" w:rsidRDefault="005C46FC" w:rsidP="005C46FC">
      <w:pPr>
        <w:keepNext/>
        <w:widowControl w:val="0"/>
        <w:autoSpaceDE w:val="0"/>
        <w:autoSpaceDN w:val="0"/>
        <w:adjustRightInd w:val="0"/>
        <w:spacing w:line="360" w:lineRule="auto"/>
        <w:jc w:val="both"/>
        <w:rPr>
          <w:rFonts w:ascii="Courier New" w:hAnsi="Courier New" w:cs="Courier New"/>
          <w:lang w:val="es" w:eastAsia="es-AR"/>
        </w:rPr>
      </w:pPr>
    </w:p>
    <w:p w:rsidR="007A4877" w:rsidRDefault="007A4877" w:rsidP="005C46FC">
      <w:pPr>
        <w:keepNext/>
        <w:widowControl w:val="0"/>
        <w:tabs>
          <w:tab w:val="left" w:pos="360"/>
        </w:tabs>
        <w:autoSpaceDE w:val="0"/>
        <w:autoSpaceDN w:val="0"/>
        <w:adjustRightInd w:val="0"/>
        <w:spacing w:line="360" w:lineRule="auto"/>
        <w:jc w:val="both"/>
        <w:rPr>
          <w:rFonts w:cs="Arial"/>
          <w:lang w:val="es" w:eastAsia="es-AR"/>
        </w:rPr>
      </w:pPr>
      <w:r>
        <w:rPr>
          <w:rFonts w:cs="Arial"/>
          <w:b/>
          <w:bCs/>
          <w:lang w:val="es" w:eastAsia="es-AR"/>
        </w:rPr>
        <w:t>1– Evaluación del Sistema de Control Interno</w:t>
      </w:r>
    </w:p>
    <w:p w:rsidR="007A4877" w:rsidRDefault="007A4877" w:rsidP="005C46FC">
      <w:pPr>
        <w:keepNext/>
        <w:widowControl w:val="0"/>
        <w:autoSpaceDE w:val="0"/>
        <w:autoSpaceDN w:val="0"/>
        <w:adjustRightInd w:val="0"/>
        <w:spacing w:line="360" w:lineRule="auto"/>
        <w:jc w:val="both"/>
        <w:rPr>
          <w:rFonts w:cs="Arial"/>
          <w:lang w:val="es" w:eastAsia="es-AR"/>
        </w:rPr>
      </w:pPr>
      <w:r>
        <w:rPr>
          <w:rFonts w:cs="Arial"/>
          <w:lang w:val="es" w:eastAsia="es-AR"/>
        </w:rPr>
        <w:t>Se ha evaluado el sistema de control interno diseñado e implementado por la Gerencia de PFE a efectos de verificar cuál es el ambiente de control, las actividades y procedimientos implementados, los sistemas de información y comunicación y el monitoreo del mismo llevado a cabo por esa Gerencia. El propósito de dicha evaluación fue determinar la confiabilidad de la información contable y el cumplimiento de las disposiciones contractuales, a efectos de determinar procedimientos de auditoría a aplicar. El sistema de control interno se considera adecuado.</w:t>
      </w:r>
    </w:p>
    <w:p w:rsidR="007A4877" w:rsidRDefault="007A4877" w:rsidP="005C46FC">
      <w:pPr>
        <w:keepNext/>
        <w:widowControl w:val="0"/>
        <w:autoSpaceDE w:val="0"/>
        <w:autoSpaceDN w:val="0"/>
        <w:adjustRightInd w:val="0"/>
        <w:spacing w:line="360" w:lineRule="auto"/>
        <w:jc w:val="both"/>
        <w:rPr>
          <w:rFonts w:cs="Arial"/>
          <w:lang w:val="es" w:eastAsia="es-AR"/>
        </w:rPr>
      </w:pPr>
    </w:p>
    <w:p w:rsidR="007A4877" w:rsidRDefault="007A4877" w:rsidP="005C46FC">
      <w:pPr>
        <w:keepNext/>
        <w:widowControl w:val="0"/>
        <w:tabs>
          <w:tab w:val="left" w:pos="360"/>
        </w:tabs>
        <w:autoSpaceDE w:val="0"/>
        <w:autoSpaceDN w:val="0"/>
        <w:adjustRightInd w:val="0"/>
        <w:spacing w:line="360" w:lineRule="auto"/>
        <w:jc w:val="both"/>
        <w:rPr>
          <w:rFonts w:cs="Arial"/>
          <w:b/>
          <w:bCs/>
          <w:lang w:val="es" w:eastAsia="es-AR"/>
        </w:rPr>
      </w:pPr>
      <w:r>
        <w:rPr>
          <w:rFonts w:cs="Arial"/>
          <w:b/>
          <w:bCs/>
          <w:lang w:val="es" w:eastAsia="es-AR"/>
        </w:rPr>
        <w:t>2– Ejecución Financiera</w:t>
      </w:r>
    </w:p>
    <w:p w:rsidR="007A4877" w:rsidRDefault="007A4877" w:rsidP="005C46FC">
      <w:pPr>
        <w:keepNext/>
        <w:widowControl w:val="0"/>
        <w:autoSpaceDE w:val="0"/>
        <w:autoSpaceDN w:val="0"/>
        <w:adjustRightInd w:val="0"/>
        <w:spacing w:line="360" w:lineRule="auto"/>
        <w:jc w:val="both"/>
        <w:rPr>
          <w:rFonts w:cs="Arial"/>
          <w:lang w:val="es" w:eastAsia="es-AR"/>
        </w:rPr>
      </w:pPr>
      <w:r>
        <w:rPr>
          <w:rFonts w:cs="Arial"/>
          <w:lang w:val="es" w:eastAsia="es-AR"/>
        </w:rPr>
        <w:t>Al 31/12/2016 se han invertido en el Proyecto US$ 27:004.928 según se expone en el Estado de Inversiones, de los cuales US$ 20:482.709 correspon</w:t>
      </w:r>
      <w:r>
        <w:rPr>
          <w:rFonts w:cs="Arial"/>
          <w:lang w:val="es" w:eastAsia="es-AR"/>
        </w:rPr>
        <w:softHyphen/>
        <w:t>den a recursos del financiamiento BIRF y US$ 6:522.218 a contrapartida local.</w:t>
      </w:r>
    </w:p>
    <w:p w:rsidR="005C46FC" w:rsidRDefault="005C46FC" w:rsidP="005C46FC">
      <w:pPr>
        <w:keepNext/>
        <w:widowControl w:val="0"/>
        <w:autoSpaceDE w:val="0"/>
        <w:autoSpaceDN w:val="0"/>
        <w:adjustRightInd w:val="0"/>
        <w:spacing w:line="360" w:lineRule="auto"/>
        <w:jc w:val="both"/>
        <w:rPr>
          <w:rFonts w:cs="Arial"/>
          <w:lang w:val="es" w:eastAsia="es-AR"/>
        </w:rPr>
      </w:pPr>
    </w:p>
    <w:p w:rsidR="007A4877" w:rsidRDefault="007A4877" w:rsidP="005C46FC">
      <w:pPr>
        <w:keepNext/>
        <w:widowControl w:val="0"/>
        <w:autoSpaceDE w:val="0"/>
        <w:autoSpaceDN w:val="0"/>
        <w:adjustRightInd w:val="0"/>
        <w:spacing w:line="360" w:lineRule="auto"/>
        <w:jc w:val="both"/>
        <w:rPr>
          <w:rFonts w:cs="Arial"/>
          <w:lang w:val="es" w:eastAsia="es-AR"/>
        </w:rPr>
      </w:pPr>
    </w:p>
    <w:p w:rsidR="007A4877" w:rsidRDefault="007A4877" w:rsidP="005C46FC">
      <w:pPr>
        <w:keepNext/>
        <w:widowControl w:val="0"/>
        <w:tabs>
          <w:tab w:val="left" w:pos="360"/>
        </w:tabs>
        <w:autoSpaceDE w:val="0"/>
        <w:autoSpaceDN w:val="0"/>
        <w:adjustRightInd w:val="0"/>
        <w:spacing w:line="360" w:lineRule="auto"/>
        <w:jc w:val="both"/>
        <w:rPr>
          <w:rFonts w:cs="Arial"/>
          <w:b/>
          <w:bCs/>
          <w:lang w:val="es" w:eastAsia="es-AR"/>
        </w:rPr>
      </w:pPr>
      <w:r>
        <w:rPr>
          <w:rFonts w:cs="Arial"/>
          <w:b/>
          <w:bCs/>
          <w:lang w:val="es" w:eastAsia="es-AR"/>
        </w:rPr>
        <w:lastRenderedPageBreak/>
        <w:t>3– Ejecución Física del Proyecto</w:t>
      </w:r>
    </w:p>
    <w:p w:rsidR="007A4877" w:rsidRDefault="007A4877" w:rsidP="005C46FC">
      <w:pPr>
        <w:keepNext/>
        <w:widowControl w:val="0"/>
        <w:autoSpaceDE w:val="0"/>
        <w:autoSpaceDN w:val="0"/>
        <w:adjustRightInd w:val="0"/>
        <w:spacing w:line="360" w:lineRule="auto"/>
        <w:jc w:val="both"/>
        <w:rPr>
          <w:rFonts w:cs="Arial"/>
          <w:lang w:val="es" w:eastAsia="es-AR"/>
        </w:rPr>
      </w:pPr>
      <w:r>
        <w:rPr>
          <w:rFonts w:cs="Arial"/>
          <w:lang w:val="es" w:eastAsia="es-AR"/>
        </w:rPr>
        <w:t>Si bien la ejecución de las actividades del Proyecto al 31/12/2016 ha sido inferior a lo originalmente planificado, durante el Ejercicio analizado se firmaron y comenzaron a ejecutar los contratos correspondientes a las obras necesarias para comprometer la totalidad de los recursos del préstamo. Asimismo se han podido superar los principales inconvenientes que habían provocado un retraso del Proyecto en sus primeras etapas lo que ha posibilitado lograr en el año 2016 una ejecución del 70% de lo previsto para dicho Ejercicio.</w:t>
      </w:r>
    </w:p>
    <w:p w:rsidR="007A4877" w:rsidRDefault="007A4877" w:rsidP="005C46FC">
      <w:pPr>
        <w:keepNext/>
        <w:widowControl w:val="0"/>
        <w:autoSpaceDE w:val="0"/>
        <w:autoSpaceDN w:val="0"/>
        <w:adjustRightInd w:val="0"/>
        <w:spacing w:line="360" w:lineRule="auto"/>
        <w:jc w:val="both"/>
        <w:rPr>
          <w:rFonts w:cs="Arial"/>
          <w:lang w:val="es" w:eastAsia="es-AR"/>
        </w:rPr>
      </w:pPr>
    </w:p>
    <w:p w:rsidR="007A4877" w:rsidRDefault="007A4877" w:rsidP="005C46FC">
      <w:pPr>
        <w:keepNext/>
        <w:widowControl w:val="0"/>
        <w:tabs>
          <w:tab w:val="left" w:pos="360"/>
        </w:tabs>
        <w:autoSpaceDE w:val="0"/>
        <w:autoSpaceDN w:val="0"/>
        <w:adjustRightInd w:val="0"/>
        <w:spacing w:line="360" w:lineRule="auto"/>
        <w:jc w:val="both"/>
        <w:rPr>
          <w:rFonts w:cs="Arial"/>
          <w:b/>
          <w:bCs/>
          <w:lang w:val="es" w:eastAsia="es-AR"/>
        </w:rPr>
      </w:pPr>
      <w:r>
        <w:rPr>
          <w:rFonts w:cs="Arial"/>
          <w:b/>
          <w:bCs/>
          <w:lang w:val="es" w:eastAsia="es-AR"/>
        </w:rPr>
        <w:t>4– Recomendaciones</w:t>
      </w:r>
    </w:p>
    <w:p w:rsidR="007A4877" w:rsidRDefault="007A4877" w:rsidP="005C46FC">
      <w:pPr>
        <w:keepNext/>
        <w:widowControl w:val="0"/>
        <w:autoSpaceDE w:val="0"/>
        <w:autoSpaceDN w:val="0"/>
        <w:adjustRightInd w:val="0"/>
        <w:spacing w:line="360" w:lineRule="auto"/>
        <w:jc w:val="both"/>
        <w:rPr>
          <w:rFonts w:cs="Arial"/>
          <w:lang w:val="es" w:eastAsia="es-AR"/>
        </w:rPr>
      </w:pPr>
    </w:p>
    <w:p w:rsidR="007A4877" w:rsidRDefault="007A4877"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Recomendaciones del Ejercicio anterior cumplidas:</w:t>
      </w:r>
    </w:p>
    <w:p w:rsidR="007A4877" w:rsidRDefault="007A4877" w:rsidP="005C46FC">
      <w:pPr>
        <w:keepNext/>
        <w:widowControl w:val="0"/>
        <w:numPr>
          <w:ilvl w:val="0"/>
          <w:numId w:val="1"/>
        </w:numPr>
        <w:autoSpaceDE w:val="0"/>
        <w:autoSpaceDN w:val="0"/>
        <w:adjustRightInd w:val="0"/>
        <w:spacing w:line="360" w:lineRule="auto"/>
        <w:ind w:left="720" w:hanging="360"/>
        <w:jc w:val="both"/>
        <w:rPr>
          <w:rFonts w:cs="Arial"/>
          <w:b/>
          <w:bCs/>
          <w:lang w:val="es" w:eastAsia="es-AR"/>
        </w:rPr>
      </w:pPr>
      <w:r>
        <w:rPr>
          <w:rFonts w:cs="Arial"/>
          <w:lang w:val="es" w:eastAsia="es-AR"/>
        </w:rPr>
        <w:t>En la documentación de la muestra seleccionada se constató en los comprobantes examinados, la correcta referencia al Préstamo con que se financian los egresos del Proyecto.</w:t>
      </w:r>
    </w:p>
    <w:p w:rsidR="007A4877" w:rsidRDefault="007A4877" w:rsidP="005C46FC">
      <w:pPr>
        <w:keepNext/>
        <w:widowControl w:val="0"/>
        <w:autoSpaceDE w:val="0"/>
        <w:autoSpaceDN w:val="0"/>
        <w:adjustRightInd w:val="0"/>
        <w:spacing w:line="360" w:lineRule="auto"/>
        <w:jc w:val="both"/>
        <w:rPr>
          <w:rFonts w:cs="Arial"/>
          <w:b/>
          <w:bCs/>
          <w:lang w:val="es" w:eastAsia="es-AR"/>
        </w:rPr>
      </w:pPr>
    </w:p>
    <w:p w:rsidR="007A4877" w:rsidRDefault="007A4877" w:rsidP="005C46FC">
      <w:pPr>
        <w:keepNext/>
        <w:widowControl w:val="0"/>
        <w:autoSpaceDE w:val="0"/>
        <w:autoSpaceDN w:val="0"/>
        <w:adjustRightInd w:val="0"/>
        <w:spacing w:line="360" w:lineRule="auto"/>
        <w:jc w:val="both"/>
        <w:rPr>
          <w:rFonts w:cs="Arial"/>
          <w:b/>
          <w:bCs/>
          <w:lang w:val="es" w:eastAsia="es-AR"/>
        </w:rPr>
      </w:pPr>
      <w:r>
        <w:rPr>
          <w:rFonts w:cs="Arial"/>
          <w:b/>
          <w:bCs/>
          <w:lang w:val="es" w:eastAsia="es-AR"/>
        </w:rPr>
        <w:t>Recomendaciones del presente Ejercicio:</w:t>
      </w:r>
    </w:p>
    <w:p w:rsidR="007A4877" w:rsidRDefault="007A4877" w:rsidP="005C46FC">
      <w:pPr>
        <w:keepNext/>
        <w:widowControl w:val="0"/>
        <w:numPr>
          <w:ilvl w:val="0"/>
          <w:numId w:val="1"/>
        </w:numPr>
        <w:autoSpaceDE w:val="0"/>
        <w:autoSpaceDN w:val="0"/>
        <w:adjustRightInd w:val="0"/>
        <w:spacing w:line="360" w:lineRule="auto"/>
        <w:ind w:left="720" w:hanging="360"/>
        <w:jc w:val="both"/>
        <w:rPr>
          <w:rFonts w:cs="Arial"/>
          <w:lang w:val="es" w:eastAsia="es-AR"/>
        </w:rPr>
      </w:pPr>
      <w:r>
        <w:rPr>
          <w:rFonts w:cs="Arial"/>
          <w:lang w:val="es" w:eastAsia="es-AR"/>
        </w:rPr>
        <w:t>En el presente Ejercicio no se formulan recomendaciones.</w:t>
      </w:r>
    </w:p>
    <w:p w:rsidR="007A4877" w:rsidRDefault="006959AF" w:rsidP="005C46FC">
      <w:pPr>
        <w:keepNext/>
        <w:widowControl w:val="0"/>
        <w:tabs>
          <w:tab w:val="left" w:pos="4252"/>
          <w:tab w:val="left" w:pos="8504"/>
        </w:tabs>
        <w:autoSpaceDE w:val="0"/>
        <w:autoSpaceDN w:val="0"/>
        <w:adjustRightInd w:val="0"/>
        <w:spacing w:line="360" w:lineRule="auto"/>
        <w:jc w:val="right"/>
        <w:rPr>
          <w:rFonts w:cs="Arial"/>
          <w:lang w:val="es" w:eastAsia="es-AR"/>
        </w:rPr>
      </w:pPr>
      <w:r>
        <w:rPr>
          <w:rFonts w:cs="Arial"/>
          <w:lang w:val="es" w:eastAsia="es-AR"/>
        </w:rPr>
        <w:t>Montevideo, 9 de junio de 2017</w:t>
      </w:r>
    </w:p>
    <w:p w:rsidR="007A4877" w:rsidRDefault="007A4877" w:rsidP="005C46FC">
      <w:pPr>
        <w:keepNext/>
        <w:widowControl w:val="0"/>
        <w:tabs>
          <w:tab w:val="left" w:pos="4252"/>
          <w:tab w:val="left" w:pos="8504"/>
        </w:tabs>
        <w:autoSpaceDE w:val="0"/>
        <w:autoSpaceDN w:val="0"/>
        <w:adjustRightInd w:val="0"/>
        <w:spacing w:line="360" w:lineRule="auto"/>
        <w:jc w:val="right"/>
        <w:rPr>
          <w:rFonts w:cs="Arial"/>
          <w:lang w:val="es" w:eastAsia="es-AR"/>
        </w:rPr>
      </w:pPr>
    </w:p>
    <w:p w:rsidR="007A4877" w:rsidRDefault="007A4877" w:rsidP="005C46FC">
      <w:pPr>
        <w:keepNext/>
        <w:widowControl w:val="0"/>
        <w:tabs>
          <w:tab w:val="left" w:pos="4252"/>
          <w:tab w:val="left" w:pos="8504"/>
        </w:tabs>
        <w:autoSpaceDE w:val="0"/>
        <w:autoSpaceDN w:val="0"/>
        <w:adjustRightInd w:val="0"/>
        <w:spacing w:line="360" w:lineRule="auto"/>
        <w:jc w:val="right"/>
        <w:rPr>
          <w:rFonts w:cs="Arial"/>
          <w:lang w:val="es" w:eastAsia="es-AR"/>
        </w:rPr>
      </w:pPr>
    </w:p>
    <w:p w:rsidR="007A4877" w:rsidRDefault="007A4877" w:rsidP="005C46FC">
      <w:pPr>
        <w:keepNext/>
        <w:widowControl w:val="0"/>
        <w:tabs>
          <w:tab w:val="left" w:pos="4252"/>
          <w:tab w:val="left" w:pos="8504"/>
        </w:tabs>
        <w:autoSpaceDE w:val="0"/>
        <w:autoSpaceDN w:val="0"/>
        <w:adjustRightInd w:val="0"/>
        <w:spacing w:line="360" w:lineRule="auto"/>
        <w:jc w:val="right"/>
        <w:rPr>
          <w:rFonts w:cs="Arial"/>
          <w:lang w:val="es" w:eastAsia="es-AR"/>
        </w:rPr>
      </w:pPr>
    </w:p>
    <w:p w:rsidR="007A4877" w:rsidRDefault="007A4877" w:rsidP="005C46FC">
      <w:pPr>
        <w:keepNext/>
        <w:widowControl w:val="0"/>
        <w:tabs>
          <w:tab w:val="left" w:pos="4252"/>
          <w:tab w:val="left" w:pos="8504"/>
        </w:tabs>
        <w:autoSpaceDE w:val="0"/>
        <w:autoSpaceDN w:val="0"/>
        <w:adjustRightInd w:val="0"/>
        <w:spacing w:line="360" w:lineRule="auto"/>
        <w:jc w:val="right"/>
        <w:rPr>
          <w:rFonts w:cs="Arial"/>
          <w:lang w:val="es" w:eastAsia="es-AR"/>
        </w:rPr>
      </w:pPr>
    </w:p>
    <w:p w:rsidR="00DE488E" w:rsidRPr="007A4877" w:rsidRDefault="007A4877" w:rsidP="005C46FC">
      <w:pPr>
        <w:keepNext/>
        <w:widowControl w:val="0"/>
        <w:tabs>
          <w:tab w:val="left" w:pos="4252"/>
          <w:tab w:val="left" w:pos="8504"/>
        </w:tabs>
        <w:autoSpaceDE w:val="0"/>
        <w:autoSpaceDN w:val="0"/>
        <w:adjustRightInd w:val="0"/>
        <w:spacing w:line="360" w:lineRule="auto"/>
        <w:ind w:hanging="426"/>
        <w:rPr>
          <w:rFonts w:cs="Arial"/>
          <w:b/>
          <w:bCs/>
          <w:lang w:val="es" w:eastAsia="es-AR"/>
        </w:rPr>
      </w:pPr>
      <w:proofErr w:type="gramStart"/>
      <w:r>
        <w:rPr>
          <w:rFonts w:cs="Arial"/>
          <w:lang w:val="es" w:eastAsia="es-AR"/>
        </w:rPr>
        <w:t>dc</w:t>
      </w:r>
      <w:proofErr w:type="gramEnd"/>
    </w:p>
    <w:sectPr w:rsidR="00DE488E" w:rsidRPr="007A4877" w:rsidSect="00872D2A">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E87F52"/>
    <w:lvl w:ilvl="0">
      <w:numFmt w:val="bullet"/>
      <w:lvlText w:val="*"/>
      <w:lvlJc w:val="left"/>
    </w:lvl>
  </w:abstractNum>
  <w:abstractNum w:abstractNumId="1">
    <w:nsid w:val="01E6060F"/>
    <w:multiLevelType w:val="singleLevel"/>
    <w:tmpl w:val="DB48E9EE"/>
    <w:lvl w:ilvl="0">
      <w:start w:val="1"/>
      <w:numFmt w:val="decimal"/>
      <w:lvlText w:val="%1)"/>
      <w:legacy w:legacy="1" w:legacySpace="0" w:legacyIndent="360"/>
      <w:lvlJc w:val="left"/>
      <w:rPr>
        <w:rFonts w:ascii="Arial" w:hAnsi="Arial" w:cs="Arial" w:hint="default"/>
        <w:b/>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2A"/>
    <w:rsid w:val="00330727"/>
    <w:rsid w:val="005C46FC"/>
    <w:rsid w:val="0065734A"/>
    <w:rsid w:val="006959AF"/>
    <w:rsid w:val="007A4877"/>
    <w:rsid w:val="00872D2A"/>
    <w:rsid w:val="009D365A"/>
    <w:rsid w:val="00DE488E"/>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2A"/>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2A"/>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4E70F-BF7F-4FB6-A16E-DE2283E1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2294</Words>
  <Characters>13338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2017-06-23T16:37:00Z</cp:lastPrinted>
  <dcterms:created xsi:type="dcterms:W3CDTF">2017-06-23T16:29:00Z</dcterms:created>
  <dcterms:modified xsi:type="dcterms:W3CDTF">2017-07-28T18:24:00Z</dcterms:modified>
</cp:coreProperties>
</file>