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DB" w:rsidRPr="00786EEB" w:rsidRDefault="00121DDB" w:rsidP="00121DD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1938/17</w:t>
      </w:r>
    </w:p>
    <w:p w:rsidR="00121DDB" w:rsidRDefault="00121DDB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21DDB" w:rsidRPr="00762B34" w:rsidRDefault="00121DD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21DDB" w:rsidRPr="00762B34" w:rsidRDefault="00121DD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21DDB" w:rsidRPr="00762B34" w:rsidRDefault="00121DD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21DDB" w:rsidRPr="00762B34" w:rsidRDefault="00121DD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21DDB" w:rsidRPr="00762B34" w:rsidRDefault="00121DD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22 DE JUNIO </w:t>
      </w:r>
      <w:r>
        <w:rPr>
          <w:rFonts w:ascii="Helvetica" w:hAnsi="Helvetica"/>
          <w:b/>
          <w:lang w:val="es-ES_tradnl"/>
        </w:rPr>
        <w:t>DE 2017</w:t>
      </w:r>
    </w:p>
    <w:p w:rsidR="00121DDB" w:rsidRPr="00762B34" w:rsidRDefault="00121DD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21DDB" w:rsidRPr="00121DDB" w:rsidRDefault="00121DDB" w:rsidP="00121DDB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121DDB">
        <w:rPr>
          <w:rFonts w:cs="Arial"/>
          <w:b/>
          <w:lang w:val="es-UY"/>
        </w:rPr>
        <w:t xml:space="preserve">(E. E. Nº 2016-17-1-0005184, </w:t>
      </w:r>
      <w:proofErr w:type="spellStart"/>
      <w:r w:rsidRPr="00121DDB">
        <w:rPr>
          <w:rFonts w:cs="Arial"/>
          <w:b/>
          <w:lang w:val="es-UY"/>
        </w:rPr>
        <w:t>Ent</w:t>
      </w:r>
      <w:proofErr w:type="spellEnd"/>
      <w:r w:rsidRPr="00121DDB">
        <w:rPr>
          <w:rFonts w:cs="Arial"/>
          <w:b/>
          <w:lang w:val="es-UY"/>
        </w:rPr>
        <w:t>. N° 1990/17)</w:t>
      </w:r>
    </w:p>
    <w:p w:rsidR="00121DDB" w:rsidRPr="00121DDB" w:rsidRDefault="00121DDB">
      <w:pPr>
        <w:rPr>
          <w:lang w:val="es-UY"/>
        </w:rPr>
      </w:pPr>
    </w:p>
    <w:p w:rsidR="00E757FF" w:rsidRDefault="00E757FF" w:rsidP="00121DDB">
      <w:pPr>
        <w:spacing w:line="360" w:lineRule="auto"/>
        <w:ind w:firstLine="851"/>
        <w:jc w:val="both"/>
        <w:rPr>
          <w:rFonts w:cs="Arial"/>
          <w:b/>
        </w:rPr>
      </w:pPr>
    </w:p>
    <w:p w:rsidR="00E757FF" w:rsidRPr="00E757FF" w:rsidRDefault="005B6875" w:rsidP="00121DDB">
      <w:pPr>
        <w:spacing w:line="360" w:lineRule="auto"/>
        <w:ind w:firstLine="851"/>
        <w:jc w:val="both"/>
        <w:rPr>
          <w:rFonts w:cs="Arial"/>
        </w:rPr>
      </w:pPr>
      <w:r w:rsidRPr="00E757FF">
        <w:rPr>
          <w:rFonts w:cs="Arial"/>
          <w:b/>
        </w:rPr>
        <w:t>VISTO</w:t>
      </w:r>
      <w:r w:rsidRPr="001C6362">
        <w:rPr>
          <w:rFonts w:cs="Arial"/>
          <w:b/>
        </w:rPr>
        <w:t>:</w:t>
      </w:r>
      <w:r w:rsidRPr="00E757FF">
        <w:rPr>
          <w:rFonts w:cs="Arial"/>
        </w:rPr>
        <w:t xml:space="preserve"> estas actuaciones remitidas por el Banco Central del Uruguay relacionadas con  las modificaciones efectuadas al Proyecto de Presupuesto de Recursos, Operativo, Financiero y de Inversiones para el Ejercicio 201</w:t>
      </w:r>
      <w:r w:rsidR="00880A0F" w:rsidRPr="00E757FF">
        <w:rPr>
          <w:rFonts w:cs="Arial"/>
        </w:rPr>
        <w:t>7</w:t>
      </w:r>
      <w:r w:rsidRPr="00E757FF">
        <w:rPr>
          <w:rFonts w:cs="Arial"/>
        </w:rPr>
        <w:t>;</w:t>
      </w:r>
    </w:p>
    <w:p w:rsidR="005B6875" w:rsidRPr="00E757FF" w:rsidRDefault="005B6875" w:rsidP="00121DDB">
      <w:pPr>
        <w:spacing w:line="360" w:lineRule="auto"/>
        <w:ind w:firstLine="851"/>
        <w:jc w:val="both"/>
        <w:rPr>
          <w:rFonts w:cs="Arial"/>
        </w:rPr>
      </w:pPr>
      <w:r w:rsidRPr="00E757FF">
        <w:rPr>
          <w:rFonts w:cs="Arial"/>
          <w:b/>
        </w:rPr>
        <w:t>RESULTANDO:</w:t>
      </w:r>
      <w:r w:rsidRPr="00E757FF">
        <w:rPr>
          <w:rFonts w:cs="Arial"/>
        </w:rPr>
        <w:t xml:space="preserve"> </w:t>
      </w:r>
      <w:r w:rsidRPr="00E757FF">
        <w:rPr>
          <w:rFonts w:cs="Arial"/>
          <w:b/>
        </w:rPr>
        <w:t>1)</w:t>
      </w:r>
      <w:r w:rsidRPr="00E757FF">
        <w:rPr>
          <w:rFonts w:cs="Arial"/>
        </w:rPr>
        <w:t xml:space="preserve"> que este Tribunal, en Sesión de</w:t>
      </w:r>
      <w:r w:rsidR="00BE6709">
        <w:rPr>
          <w:rFonts w:cs="Arial"/>
        </w:rPr>
        <w:t>l</w:t>
      </w:r>
      <w:r w:rsidRPr="00E757FF">
        <w:rPr>
          <w:rFonts w:cs="Arial"/>
        </w:rPr>
        <w:t xml:space="preserve"> </w:t>
      </w:r>
      <w:r w:rsidR="002D5ADD" w:rsidRPr="00E757FF">
        <w:rPr>
          <w:rFonts w:cs="Arial"/>
        </w:rPr>
        <w:t>2</w:t>
      </w:r>
      <w:r w:rsidR="00DA75AC">
        <w:rPr>
          <w:rFonts w:cs="Arial"/>
        </w:rPr>
        <w:t>4</w:t>
      </w:r>
      <w:r w:rsidR="00BE6709">
        <w:rPr>
          <w:rFonts w:cs="Arial"/>
        </w:rPr>
        <w:t>/08/2016</w:t>
      </w:r>
      <w:r w:rsidRPr="00E757FF">
        <w:rPr>
          <w:rFonts w:cs="Arial"/>
        </w:rPr>
        <w:t>, emitió su dictamen en relación al referido Proyecto de Presupuesto,   señalando que el mismo no merecía observaciones;</w:t>
      </w:r>
    </w:p>
    <w:p w:rsidR="003119CD" w:rsidRPr="00E757FF" w:rsidRDefault="005B6875" w:rsidP="00121DDB">
      <w:pPr>
        <w:pStyle w:val="Textoindependiente"/>
        <w:widowControl/>
        <w:tabs>
          <w:tab w:val="clear" w:pos="-720"/>
        </w:tabs>
        <w:suppressAutoHyphens w:val="0"/>
        <w:spacing w:line="360" w:lineRule="auto"/>
        <w:ind w:firstLine="2694"/>
        <w:rPr>
          <w:rFonts w:ascii="Arial" w:hAnsi="Arial" w:cs="Arial"/>
          <w:snapToGrid/>
          <w:spacing w:val="0"/>
          <w:szCs w:val="24"/>
          <w:lang w:val="es-ES"/>
        </w:rPr>
      </w:pPr>
      <w:r w:rsidRPr="00E757FF">
        <w:rPr>
          <w:rFonts w:ascii="Arial" w:hAnsi="Arial" w:cs="Arial"/>
          <w:b/>
          <w:snapToGrid/>
          <w:spacing w:val="0"/>
          <w:szCs w:val="24"/>
          <w:lang w:val="es-ES"/>
        </w:rPr>
        <w:t>2)</w:t>
      </w:r>
      <w:r w:rsidRPr="00E757FF">
        <w:rPr>
          <w:rFonts w:ascii="Arial" w:hAnsi="Arial" w:cs="Arial"/>
          <w:szCs w:val="24"/>
        </w:rPr>
        <w:t xml:space="preserve"> </w:t>
      </w:r>
      <w:r w:rsidR="0078646E" w:rsidRPr="00E757FF">
        <w:rPr>
          <w:rFonts w:ascii="Arial" w:hAnsi="Arial" w:cs="Arial"/>
          <w:snapToGrid/>
          <w:spacing w:val="0"/>
          <w:szCs w:val="24"/>
          <w:lang w:val="es-ES"/>
        </w:rPr>
        <w:t xml:space="preserve">que </w:t>
      </w:r>
      <w:r w:rsidRPr="00E757FF">
        <w:rPr>
          <w:rFonts w:ascii="Arial" w:hAnsi="Arial" w:cs="Arial"/>
          <w:snapToGrid/>
          <w:spacing w:val="0"/>
          <w:szCs w:val="24"/>
          <w:lang w:val="es-ES"/>
        </w:rPr>
        <w:t>por Resolución Nº D-</w:t>
      </w:r>
      <w:r w:rsidR="002D5ADD" w:rsidRPr="00E757FF">
        <w:rPr>
          <w:rFonts w:ascii="Arial" w:hAnsi="Arial" w:cs="Arial"/>
          <w:snapToGrid/>
          <w:spacing w:val="0"/>
          <w:szCs w:val="24"/>
          <w:lang w:val="es-ES"/>
        </w:rPr>
        <w:t>111</w:t>
      </w:r>
      <w:r w:rsidRPr="00E757FF">
        <w:rPr>
          <w:rFonts w:ascii="Arial" w:hAnsi="Arial" w:cs="Arial"/>
          <w:snapToGrid/>
          <w:spacing w:val="0"/>
          <w:szCs w:val="24"/>
          <w:lang w:val="es-ES"/>
        </w:rPr>
        <w:t>-201</w:t>
      </w:r>
      <w:r w:rsidR="002D5ADD" w:rsidRPr="00E757FF">
        <w:rPr>
          <w:rFonts w:ascii="Arial" w:hAnsi="Arial" w:cs="Arial"/>
          <w:snapToGrid/>
          <w:spacing w:val="0"/>
          <w:szCs w:val="24"/>
          <w:lang w:val="es-ES"/>
        </w:rPr>
        <w:t>7</w:t>
      </w:r>
      <w:r w:rsidRPr="00E757FF">
        <w:rPr>
          <w:rFonts w:ascii="Arial" w:hAnsi="Arial" w:cs="Arial"/>
          <w:snapToGrid/>
          <w:spacing w:val="0"/>
          <w:szCs w:val="24"/>
          <w:lang w:val="es-ES"/>
        </w:rPr>
        <w:t xml:space="preserve"> de</w:t>
      </w:r>
      <w:r w:rsidR="00E757FF">
        <w:rPr>
          <w:rFonts w:ascii="Arial" w:hAnsi="Arial" w:cs="Arial"/>
          <w:snapToGrid/>
          <w:spacing w:val="0"/>
          <w:szCs w:val="24"/>
          <w:lang w:val="es-ES"/>
        </w:rPr>
        <w:t xml:space="preserve"> fecha</w:t>
      </w:r>
      <w:r w:rsidRPr="00E757FF">
        <w:rPr>
          <w:rFonts w:ascii="Arial" w:hAnsi="Arial" w:cs="Arial"/>
          <w:snapToGrid/>
          <w:spacing w:val="0"/>
          <w:szCs w:val="24"/>
          <w:lang w:val="es-ES"/>
        </w:rPr>
        <w:t xml:space="preserve"> </w:t>
      </w:r>
      <w:r w:rsidR="002D5ADD" w:rsidRPr="00E757FF">
        <w:rPr>
          <w:rFonts w:ascii="Arial" w:hAnsi="Arial" w:cs="Arial"/>
          <w:snapToGrid/>
          <w:spacing w:val="0"/>
          <w:szCs w:val="24"/>
          <w:lang w:val="es-ES"/>
        </w:rPr>
        <w:t>1</w:t>
      </w:r>
      <w:r w:rsidRPr="00E757FF">
        <w:rPr>
          <w:rFonts w:ascii="Arial" w:hAnsi="Arial" w:cs="Arial"/>
          <w:snapToGrid/>
          <w:spacing w:val="0"/>
          <w:szCs w:val="24"/>
          <w:lang w:val="es-ES"/>
        </w:rPr>
        <w:t>9</w:t>
      </w:r>
      <w:r w:rsidR="00BE6709">
        <w:rPr>
          <w:rFonts w:ascii="Arial" w:hAnsi="Arial" w:cs="Arial"/>
          <w:snapToGrid/>
          <w:spacing w:val="0"/>
          <w:szCs w:val="24"/>
          <w:lang w:val="es-ES"/>
        </w:rPr>
        <w:t>/04/2</w:t>
      </w:r>
      <w:r w:rsidR="002D5ADD" w:rsidRPr="00E757FF">
        <w:rPr>
          <w:rFonts w:ascii="Arial" w:hAnsi="Arial" w:cs="Arial"/>
          <w:snapToGrid/>
          <w:spacing w:val="0"/>
          <w:szCs w:val="24"/>
          <w:lang w:val="es-ES"/>
        </w:rPr>
        <w:t>017</w:t>
      </w:r>
      <w:r w:rsidRPr="00E757FF">
        <w:rPr>
          <w:rFonts w:ascii="Arial" w:hAnsi="Arial" w:cs="Arial"/>
          <w:snapToGrid/>
          <w:spacing w:val="0"/>
          <w:szCs w:val="24"/>
          <w:lang w:val="es-ES"/>
        </w:rPr>
        <w:t>, el Directorio dispuso aprobar la</w:t>
      </w:r>
      <w:r w:rsidR="002D5ADD" w:rsidRPr="00E757FF">
        <w:rPr>
          <w:rFonts w:ascii="Arial" w:hAnsi="Arial" w:cs="Arial"/>
          <w:snapToGrid/>
          <w:spacing w:val="0"/>
          <w:szCs w:val="24"/>
          <w:lang w:val="es-ES"/>
        </w:rPr>
        <w:t>s</w:t>
      </w:r>
      <w:r w:rsidR="00BE6709">
        <w:rPr>
          <w:rFonts w:ascii="Arial" w:hAnsi="Arial" w:cs="Arial"/>
          <w:snapToGrid/>
          <w:spacing w:val="0"/>
          <w:szCs w:val="24"/>
          <w:lang w:val="es-ES"/>
        </w:rPr>
        <w:t xml:space="preserve"> modificaciones</w:t>
      </w:r>
      <w:r w:rsidRPr="00E757FF">
        <w:rPr>
          <w:rFonts w:ascii="Arial" w:hAnsi="Arial" w:cs="Arial"/>
          <w:snapToGrid/>
          <w:spacing w:val="0"/>
          <w:szCs w:val="24"/>
          <w:lang w:val="es-ES"/>
        </w:rPr>
        <w:t xml:space="preserve"> del Proyecto de Presupuesto de Recursos, Operativo, de Operaciones Financieras y de Inversiones del Banco, para el Ejercicio 201</w:t>
      </w:r>
      <w:r w:rsidR="00880A0F" w:rsidRPr="00E757FF">
        <w:rPr>
          <w:rFonts w:ascii="Arial" w:hAnsi="Arial" w:cs="Arial"/>
          <w:snapToGrid/>
          <w:spacing w:val="0"/>
          <w:szCs w:val="24"/>
          <w:lang w:val="es-ES"/>
        </w:rPr>
        <w:t>7</w:t>
      </w:r>
      <w:r w:rsidRPr="00E757FF">
        <w:rPr>
          <w:rFonts w:ascii="Arial" w:hAnsi="Arial" w:cs="Arial"/>
          <w:snapToGrid/>
          <w:spacing w:val="0"/>
          <w:szCs w:val="24"/>
          <w:lang w:val="es-ES"/>
        </w:rPr>
        <w:t xml:space="preserve">, que fuera propuesto por la Oficina de Planeamiento y </w:t>
      </w:r>
      <w:r w:rsidR="003119CD" w:rsidRPr="00E757FF">
        <w:rPr>
          <w:rFonts w:ascii="Arial" w:hAnsi="Arial" w:cs="Arial"/>
          <w:snapToGrid/>
          <w:spacing w:val="0"/>
          <w:szCs w:val="24"/>
          <w:lang w:val="es-ES"/>
        </w:rPr>
        <w:t xml:space="preserve">Presupuesto, </w:t>
      </w:r>
      <w:r w:rsidR="00BE6709">
        <w:rPr>
          <w:rFonts w:ascii="Arial" w:hAnsi="Arial" w:cs="Arial"/>
          <w:snapToGrid/>
          <w:spacing w:val="0"/>
          <w:szCs w:val="24"/>
          <w:lang w:val="es-ES"/>
        </w:rPr>
        <w:t>a saber:</w:t>
      </w:r>
    </w:p>
    <w:p w:rsidR="003119CD" w:rsidRPr="00E757FF" w:rsidRDefault="00BE6709" w:rsidP="00121DDB">
      <w:pPr>
        <w:suppressAutoHyphens/>
        <w:spacing w:line="360" w:lineRule="auto"/>
        <w:jc w:val="both"/>
        <w:rPr>
          <w:rFonts w:cs="Arial"/>
          <w:bCs/>
          <w:lang w:val="es-ES_tradnl"/>
        </w:rPr>
      </w:pPr>
      <w:r w:rsidRPr="00121DDB">
        <w:rPr>
          <w:rFonts w:cs="Arial"/>
          <w:b/>
          <w:lang w:val="es-ES_tradnl"/>
        </w:rPr>
        <w:t>2.1)</w:t>
      </w:r>
      <w:r>
        <w:rPr>
          <w:rFonts w:cs="Arial"/>
          <w:lang w:val="es-ES_tradnl"/>
        </w:rPr>
        <w:t xml:space="preserve"> </w:t>
      </w:r>
      <w:proofErr w:type="gramStart"/>
      <w:r w:rsidR="0065060D">
        <w:rPr>
          <w:rFonts w:cs="Arial"/>
          <w:lang w:val="es-ES_tradnl"/>
        </w:rPr>
        <w:t>s</w:t>
      </w:r>
      <w:r>
        <w:rPr>
          <w:rFonts w:cs="Arial"/>
          <w:lang w:val="es-ES_tradnl"/>
        </w:rPr>
        <w:t>e</w:t>
      </w:r>
      <w:proofErr w:type="gramEnd"/>
      <w:r>
        <w:rPr>
          <w:rFonts w:cs="Arial"/>
          <w:lang w:val="es-ES_tradnl"/>
        </w:rPr>
        <w:t xml:space="preserve"> redujeron</w:t>
      </w:r>
      <w:r w:rsidR="003119CD" w:rsidRPr="00E757FF">
        <w:rPr>
          <w:rFonts w:cs="Arial"/>
          <w:lang w:val="es-ES_tradnl"/>
        </w:rPr>
        <w:t xml:space="preserve"> las partidas presupuestales de los Grupos 1 </w:t>
      </w:r>
      <w:r>
        <w:rPr>
          <w:rFonts w:cs="Arial"/>
          <w:lang w:val="es-ES_tradnl"/>
        </w:rPr>
        <w:t xml:space="preserve">“Bienes de Consumo” </w:t>
      </w:r>
      <w:r w:rsidR="003119CD" w:rsidRPr="00E757FF">
        <w:rPr>
          <w:rFonts w:cs="Arial"/>
          <w:lang w:val="es-ES_tradnl"/>
        </w:rPr>
        <w:t>y 2</w:t>
      </w:r>
      <w:r>
        <w:rPr>
          <w:rFonts w:cs="Arial"/>
          <w:lang w:val="es-ES_tradnl"/>
        </w:rPr>
        <w:t xml:space="preserve"> “Servicios no Personales”</w:t>
      </w:r>
      <w:r w:rsidR="003119CD" w:rsidRPr="00E757FF">
        <w:rPr>
          <w:rFonts w:cs="Arial"/>
          <w:lang w:val="es-ES_tradnl"/>
        </w:rPr>
        <w:t xml:space="preserve"> en $ 540.881 y $ </w:t>
      </w:r>
      <w:r>
        <w:rPr>
          <w:rFonts w:cs="Arial"/>
          <w:lang w:val="es-ES_tradnl"/>
        </w:rPr>
        <w:t>2:706.000 respectivamente;</w:t>
      </w:r>
    </w:p>
    <w:p w:rsidR="003119CD" w:rsidRPr="00E757FF" w:rsidRDefault="00BE6709" w:rsidP="00121DDB">
      <w:pPr>
        <w:suppressAutoHyphens/>
        <w:spacing w:line="360" w:lineRule="auto"/>
        <w:jc w:val="both"/>
        <w:rPr>
          <w:rFonts w:cs="Arial"/>
          <w:bCs/>
          <w:lang w:val="es-ES_tradnl"/>
        </w:rPr>
      </w:pPr>
      <w:r w:rsidRPr="00121DDB">
        <w:rPr>
          <w:rFonts w:cs="Arial"/>
          <w:b/>
          <w:lang w:val="es-ES_tradnl"/>
        </w:rPr>
        <w:t>2.2)</w:t>
      </w:r>
      <w:r>
        <w:rPr>
          <w:rFonts w:cs="Arial"/>
          <w:lang w:val="es-ES_tradnl"/>
        </w:rPr>
        <w:t xml:space="preserve"> </w:t>
      </w:r>
      <w:r w:rsidR="0065060D">
        <w:rPr>
          <w:rFonts w:cs="Arial"/>
          <w:lang w:val="es-ES_tradnl"/>
        </w:rPr>
        <w:t>s</w:t>
      </w:r>
      <w:r>
        <w:rPr>
          <w:rFonts w:cs="Arial"/>
          <w:lang w:val="es-ES_tradnl"/>
        </w:rPr>
        <w:t>e i</w:t>
      </w:r>
      <w:r w:rsidR="003119CD" w:rsidRPr="00E757FF">
        <w:rPr>
          <w:rFonts w:cs="Arial"/>
          <w:lang w:val="es-ES_tradnl"/>
        </w:rPr>
        <w:t xml:space="preserve">ncorpora en las Normas de Ejecución Presupuestal el  “Artículo XX” Provisión de Vacantes. El </w:t>
      </w:r>
      <w:r w:rsidRPr="00E757FF">
        <w:rPr>
          <w:rFonts w:cs="Arial"/>
        </w:rPr>
        <w:t>Banco Central del Uruguay</w:t>
      </w:r>
      <w:r w:rsidR="003119CD" w:rsidRPr="00E757FF">
        <w:rPr>
          <w:rFonts w:cs="Arial"/>
          <w:lang w:val="es-ES_tradnl"/>
        </w:rPr>
        <w:t xml:space="preserve"> no podrá llenar un tercio de las vacantes que se generen entre el </w:t>
      </w:r>
      <w:r>
        <w:rPr>
          <w:rFonts w:cs="Arial"/>
          <w:lang w:val="es-ES_tradnl"/>
        </w:rPr>
        <w:t>0</w:t>
      </w:r>
      <w:r w:rsidR="003119CD" w:rsidRPr="00E757FF">
        <w:rPr>
          <w:rFonts w:cs="Arial"/>
          <w:lang w:val="es-ES_tradnl"/>
        </w:rPr>
        <w:t>1/</w:t>
      </w:r>
      <w:r>
        <w:rPr>
          <w:rFonts w:cs="Arial"/>
          <w:lang w:val="es-ES_tradnl"/>
        </w:rPr>
        <w:t>01/2017 y el 31/12/2017;</w:t>
      </w:r>
    </w:p>
    <w:p w:rsidR="003119CD" w:rsidRPr="00E757FF" w:rsidRDefault="00BE6709" w:rsidP="00121DDB">
      <w:pPr>
        <w:suppressAutoHyphens/>
        <w:spacing w:line="360" w:lineRule="auto"/>
        <w:jc w:val="both"/>
        <w:rPr>
          <w:rFonts w:cs="Arial"/>
          <w:bCs/>
          <w:lang w:val="es-ES_tradnl"/>
        </w:rPr>
      </w:pPr>
      <w:r w:rsidRPr="00121DDB">
        <w:rPr>
          <w:rFonts w:cs="Arial"/>
          <w:b/>
          <w:lang w:val="es-ES_tradnl"/>
        </w:rPr>
        <w:t>2</w:t>
      </w:r>
      <w:r w:rsidR="0065060D" w:rsidRPr="00121DDB">
        <w:rPr>
          <w:rFonts w:cs="Arial"/>
          <w:b/>
          <w:lang w:val="es-ES_tradnl"/>
        </w:rPr>
        <w:t>.3)</w:t>
      </w:r>
      <w:r w:rsidR="0065060D">
        <w:rPr>
          <w:rFonts w:cs="Arial"/>
          <w:lang w:val="es-ES_tradnl"/>
        </w:rPr>
        <w:t xml:space="preserve"> s</w:t>
      </w:r>
      <w:r>
        <w:rPr>
          <w:rFonts w:cs="Arial"/>
          <w:lang w:val="es-ES_tradnl"/>
        </w:rPr>
        <w:t>e s</w:t>
      </w:r>
      <w:r w:rsidR="003119CD" w:rsidRPr="00E757FF">
        <w:rPr>
          <w:rFonts w:cs="Arial"/>
          <w:lang w:val="es-ES_tradnl"/>
        </w:rPr>
        <w:t>ustitu</w:t>
      </w:r>
      <w:r>
        <w:rPr>
          <w:rFonts w:cs="Arial"/>
          <w:lang w:val="es-ES_tradnl"/>
        </w:rPr>
        <w:t>ye en el Artículo</w:t>
      </w:r>
      <w:r w:rsidR="003119CD" w:rsidRPr="00E757FF">
        <w:rPr>
          <w:rFonts w:cs="Arial"/>
          <w:lang w:val="es-ES_tradnl"/>
        </w:rPr>
        <w:t xml:space="preserve"> 45 Compromisos de Gestión el </w:t>
      </w:r>
      <w:r w:rsidR="00F3148B">
        <w:rPr>
          <w:rFonts w:cs="Arial"/>
          <w:lang w:val="es-ES_tradnl"/>
        </w:rPr>
        <w:t>N</w:t>
      </w:r>
      <w:r w:rsidR="003119CD" w:rsidRPr="00E757FF">
        <w:rPr>
          <w:rFonts w:cs="Arial"/>
          <w:lang w:val="es-ES_tradnl"/>
        </w:rPr>
        <w:t xml:space="preserve">umeral 3 por el siguiente: </w:t>
      </w:r>
      <w:r>
        <w:rPr>
          <w:rFonts w:cs="Arial"/>
          <w:lang w:val="es-ES_tradnl"/>
        </w:rPr>
        <w:t>“</w:t>
      </w:r>
      <w:r w:rsidR="003119CD" w:rsidRPr="00E757FF">
        <w:rPr>
          <w:rFonts w:cs="Arial"/>
          <w:lang w:val="es-ES_tradnl"/>
        </w:rPr>
        <w:t>No incrementar la plantilla más allá de los 638 funcionarios al 31/12/2017. Indicador de funcionarios al 31/12/2017 menor o igual a 638</w:t>
      </w:r>
      <w:r>
        <w:rPr>
          <w:rFonts w:cs="Arial"/>
          <w:lang w:val="es-ES_tradnl"/>
        </w:rPr>
        <w:t>”;</w:t>
      </w:r>
    </w:p>
    <w:p w:rsidR="003119CD" w:rsidRDefault="00BE6709" w:rsidP="00121DDB">
      <w:pPr>
        <w:suppressAutoHyphens/>
        <w:spacing w:line="360" w:lineRule="auto"/>
        <w:jc w:val="both"/>
        <w:rPr>
          <w:rFonts w:cs="Arial"/>
          <w:bCs/>
          <w:lang w:val="es-ES_tradnl"/>
        </w:rPr>
      </w:pPr>
      <w:r w:rsidRPr="00121DDB">
        <w:rPr>
          <w:rFonts w:cs="Arial"/>
          <w:b/>
          <w:lang w:val="es-ES_tradnl"/>
        </w:rPr>
        <w:lastRenderedPageBreak/>
        <w:t>2</w:t>
      </w:r>
      <w:r w:rsidR="003119CD" w:rsidRPr="00121DDB">
        <w:rPr>
          <w:rFonts w:cs="Arial"/>
          <w:b/>
          <w:lang w:val="es-ES_tradnl"/>
        </w:rPr>
        <w:t>.4)</w:t>
      </w:r>
      <w:r w:rsidR="003119CD" w:rsidRPr="00E757FF">
        <w:rPr>
          <w:rFonts w:cs="Arial"/>
          <w:lang w:val="es-ES_tradnl"/>
        </w:rPr>
        <w:t xml:space="preserve"> </w:t>
      </w:r>
      <w:r w:rsidR="0065060D">
        <w:rPr>
          <w:rFonts w:cs="Arial"/>
          <w:lang w:val="es-ES_tradnl"/>
        </w:rPr>
        <w:t>s</w:t>
      </w:r>
      <w:r>
        <w:rPr>
          <w:rFonts w:cs="Arial"/>
          <w:lang w:val="es-ES_tradnl"/>
        </w:rPr>
        <w:t>e i</w:t>
      </w:r>
      <w:r w:rsidR="003119CD" w:rsidRPr="00E757FF">
        <w:rPr>
          <w:rFonts w:cs="Arial"/>
          <w:lang w:val="es-ES_tradnl"/>
        </w:rPr>
        <w:t>ncorpora</w:t>
      </w:r>
      <w:r>
        <w:rPr>
          <w:rFonts w:cs="Arial"/>
          <w:lang w:val="es-ES_tradnl"/>
        </w:rPr>
        <w:t xml:space="preserve"> en</w:t>
      </w:r>
      <w:r w:rsidR="003119CD" w:rsidRPr="00E757FF">
        <w:rPr>
          <w:rFonts w:cs="Arial"/>
          <w:lang w:val="es-ES_tradnl"/>
        </w:rPr>
        <w:t xml:space="preserve"> el Art</w:t>
      </w:r>
      <w:r>
        <w:rPr>
          <w:rFonts w:cs="Arial"/>
          <w:lang w:val="es-ES_tradnl"/>
        </w:rPr>
        <w:t xml:space="preserve">ículo </w:t>
      </w:r>
      <w:r w:rsidR="003119CD" w:rsidRPr="00E757FF">
        <w:rPr>
          <w:rFonts w:cs="Arial"/>
          <w:lang w:val="es-ES_tradnl"/>
        </w:rPr>
        <w:t>45 Compromisos de Gestión un</w:t>
      </w:r>
      <w:r>
        <w:rPr>
          <w:rFonts w:cs="Arial"/>
          <w:lang w:val="es-ES_tradnl"/>
        </w:rPr>
        <w:t xml:space="preserve"> </w:t>
      </w:r>
      <w:r w:rsidR="00014A38">
        <w:rPr>
          <w:rFonts w:cs="Arial"/>
          <w:lang w:val="es-ES_tradnl"/>
        </w:rPr>
        <w:t>N</w:t>
      </w:r>
      <w:r>
        <w:rPr>
          <w:rFonts w:cs="Arial"/>
          <w:lang w:val="es-ES_tradnl"/>
        </w:rPr>
        <w:t>umeral adicional que explicita</w:t>
      </w:r>
      <w:r w:rsidR="003119CD" w:rsidRPr="00E757FF">
        <w:rPr>
          <w:rFonts w:cs="Arial"/>
          <w:lang w:val="es-ES_tradnl"/>
        </w:rPr>
        <w:t xml:space="preserve">: </w:t>
      </w:r>
      <w:r>
        <w:rPr>
          <w:rFonts w:cs="Arial"/>
          <w:lang w:val="es-ES_tradnl"/>
        </w:rPr>
        <w:t>“</w:t>
      </w:r>
      <w:r w:rsidR="003119CD" w:rsidRPr="00E757FF">
        <w:rPr>
          <w:rFonts w:cs="Arial"/>
          <w:lang w:val="es-ES_tradnl"/>
        </w:rPr>
        <w:t xml:space="preserve">No llenado de un tercio de las vacantes que se generen entre el </w:t>
      </w:r>
      <w:r>
        <w:rPr>
          <w:rFonts w:cs="Arial"/>
          <w:lang w:val="es-ES_tradnl"/>
        </w:rPr>
        <w:t>0</w:t>
      </w:r>
      <w:r w:rsidR="003119CD" w:rsidRPr="00E757FF">
        <w:rPr>
          <w:rFonts w:cs="Arial"/>
          <w:lang w:val="es-ES_tradnl"/>
        </w:rPr>
        <w:t>1/01/2017 y el 31/12/2017. Indicador Vacantes no llenadas de las generadas</w:t>
      </w:r>
      <w:r w:rsidR="00011A3A">
        <w:rPr>
          <w:rFonts w:cs="Arial"/>
          <w:lang w:val="es-ES_tradnl"/>
        </w:rPr>
        <w:t xml:space="preserve"> </w:t>
      </w:r>
      <w:r w:rsidR="003119CD" w:rsidRPr="00E757FF">
        <w:rPr>
          <w:rFonts w:cs="Arial"/>
          <w:lang w:val="es-ES_tradnl"/>
        </w:rPr>
        <w:t xml:space="preserve">entre </w:t>
      </w:r>
      <w:r>
        <w:rPr>
          <w:rFonts w:cs="Arial"/>
          <w:lang w:val="es-ES_tradnl"/>
        </w:rPr>
        <w:t>0</w:t>
      </w:r>
      <w:r w:rsidR="003119CD" w:rsidRPr="00E757FF">
        <w:rPr>
          <w:rFonts w:cs="Arial"/>
          <w:lang w:val="es-ES_tradnl"/>
        </w:rPr>
        <w:t>1/01/2017-</w:t>
      </w:r>
      <w:r w:rsidR="003119CD" w:rsidRPr="00E757FF">
        <w:rPr>
          <w:rFonts w:cs="Arial"/>
          <w:bCs/>
          <w:lang w:val="es-ES_tradnl"/>
        </w:rPr>
        <w:t xml:space="preserve"> 31/12/2017</w:t>
      </w:r>
      <w:r>
        <w:rPr>
          <w:rFonts w:cs="Arial"/>
          <w:bCs/>
          <w:lang w:val="es-ES_tradnl"/>
        </w:rPr>
        <w:t xml:space="preserve"> mayor o igual a 33,</w:t>
      </w:r>
      <w:r w:rsidR="003119CD" w:rsidRPr="00E757FF">
        <w:rPr>
          <w:rFonts w:cs="Arial"/>
          <w:bCs/>
          <w:lang w:val="es-ES_tradnl"/>
        </w:rPr>
        <w:t xml:space="preserve">33% (vacantes </w:t>
      </w:r>
      <w:r>
        <w:rPr>
          <w:rFonts w:cs="Arial"/>
          <w:bCs/>
          <w:lang w:val="es-ES_tradnl"/>
        </w:rPr>
        <w:t>no llenadas/vacantes generadas)”;</w:t>
      </w:r>
    </w:p>
    <w:p w:rsidR="002D5ADD" w:rsidRDefault="00BE6709" w:rsidP="00121DDB">
      <w:pPr>
        <w:suppressAutoHyphens/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  <w:bCs/>
        </w:rPr>
        <w:t>3</w:t>
      </w:r>
      <w:r w:rsidR="003119CD" w:rsidRPr="00E757FF">
        <w:rPr>
          <w:rFonts w:cs="Arial"/>
          <w:b/>
          <w:bCs/>
        </w:rPr>
        <w:t xml:space="preserve">)  </w:t>
      </w:r>
      <w:r w:rsidR="003119CD" w:rsidRPr="00E757FF">
        <w:rPr>
          <w:rFonts w:cs="Arial"/>
          <w:bCs/>
        </w:rPr>
        <w:t>que analizadas las modificaciones presupuestales</w:t>
      </w:r>
      <w:r w:rsidR="00A10D47">
        <w:rPr>
          <w:rFonts w:cs="Arial"/>
          <w:bCs/>
        </w:rPr>
        <w:t xml:space="preserve"> mencionadas</w:t>
      </w:r>
      <w:r w:rsidR="003119CD" w:rsidRPr="00E757FF">
        <w:rPr>
          <w:rFonts w:cs="Arial"/>
          <w:bCs/>
        </w:rPr>
        <w:t xml:space="preserve"> resultan </w:t>
      </w:r>
      <w:r w:rsidR="00C35C5E" w:rsidRPr="00E757FF">
        <w:rPr>
          <w:rFonts w:cs="Arial"/>
          <w:bCs/>
        </w:rPr>
        <w:t xml:space="preserve">las siguientes </w:t>
      </w:r>
      <w:r w:rsidR="00A10D47" w:rsidRPr="00E757FF">
        <w:rPr>
          <w:rFonts w:cs="Arial"/>
          <w:bCs/>
        </w:rPr>
        <w:t>asignaciones,</w:t>
      </w:r>
      <w:r w:rsidR="00A10D47">
        <w:rPr>
          <w:rFonts w:cs="Arial"/>
          <w:bCs/>
        </w:rPr>
        <w:t xml:space="preserve"> en el Presupuesto de Egresos Operativos y de Operaciones Financieras,  de acuerdo al siguiente detalle</w:t>
      </w:r>
      <w:r w:rsidR="00C35C5E" w:rsidRPr="00E757FF">
        <w:rPr>
          <w:rFonts w:cs="Arial"/>
          <w:bCs/>
        </w:rPr>
        <w:t>:</w:t>
      </w:r>
    </w:p>
    <w:p w:rsidR="00AB0204" w:rsidRPr="00E757FF" w:rsidRDefault="00AB0204" w:rsidP="00121DDB">
      <w:pPr>
        <w:pStyle w:val="Textoindependiente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  <w:snapToGrid/>
          <w:spacing w:val="0"/>
          <w:szCs w:val="24"/>
          <w:lang w:val="es-ES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702"/>
        <w:gridCol w:w="2788"/>
        <w:gridCol w:w="2804"/>
      </w:tblGrid>
      <w:tr w:rsidR="00AB0204" w:rsidTr="00AB0204">
        <w:tc>
          <w:tcPr>
            <w:tcW w:w="2881" w:type="dxa"/>
          </w:tcPr>
          <w:p w:rsidR="00AB0204" w:rsidRPr="00AB0204" w:rsidRDefault="00AB0204" w:rsidP="00AB0204">
            <w:pPr>
              <w:pStyle w:val="Sangra2detindependiente"/>
              <w:ind w:left="0"/>
              <w:jc w:val="center"/>
              <w:rPr>
                <w:rFonts w:cs="Arial"/>
                <w:b/>
                <w:bCs/>
              </w:rPr>
            </w:pPr>
            <w:r w:rsidRPr="00AB0204">
              <w:rPr>
                <w:rFonts w:cs="Arial"/>
                <w:b/>
                <w:bCs/>
              </w:rPr>
              <w:t>Grupo</w:t>
            </w:r>
          </w:p>
        </w:tc>
        <w:tc>
          <w:tcPr>
            <w:tcW w:w="2881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/>
                <w:bCs/>
              </w:rPr>
            </w:pPr>
            <w:r w:rsidRPr="00AB0204">
              <w:rPr>
                <w:rFonts w:cs="Arial"/>
                <w:b/>
                <w:bCs/>
              </w:rPr>
              <w:t>Denominación</w:t>
            </w:r>
          </w:p>
        </w:tc>
        <w:tc>
          <w:tcPr>
            <w:tcW w:w="2882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/>
                <w:bCs/>
              </w:rPr>
            </w:pPr>
            <w:r w:rsidRPr="00AB0204">
              <w:rPr>
                <w:rFonts w:cs="Arial"/>
                <w:b/>
                <w:bCs/>
              </w:rPr>
              <w:t>Importe en $</w:t>
            </w:r>
          </w:p>
        </w:tc>
      </w:tr>
      <w:tr w:rsidR="00AB0204" w:rsidTr="00AB0204">
        <w:tc>
          <w:tcPr>
            <w:tcW w:w="2881" w:type="dxa"/>
          </w:tcPr>
          <w:p w:rsidR="00AB0204" w:rsidRPr="00AB0204" w:rsidRDefault="00AB0204" w:rsidP="00AB0204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0</w:t>
            </w:r>
          </w:p>
        </w:tc>
        <w:tc>
          <w:tcPr>
            <w:tcW w:w="2881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Servicios personales</w:t>
            </w:r>
          </w:p>
        </w:tc>
        <w:tc>
          <w:tcPr>
            <w:tcW w:w="2882" w:type="dxa"/>
          </w:tcPr>
          <w:p w:rsidR="00AB0204" w:rsidRPr="00AB0204" w:rsidRDefault="00AB0204" w:rsidP="00DA3CFC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E757FF">
              <w:rPr>
                <w:rFonts w:cs="Arial"/>
                <w:lang w:val="es-UY" w:eastAsia="es-UY"/>
              </w:rPr>
              <w:t>2.075</w:t>
            </w:r>
            <w:r w:rsidR="00DA3CFC">
              <w:rPr>
                <w:rFonts w:cs="Arial"/>
                <w:lang w:val="es-UY" w:eastAsia="es-UY"/>
              </w:rPr>
              <w:t>:</w:t>
            </w:r>
            <w:r w:rsidRPr="00E757FF">
              <w:rPr>
                <w:rFonts w:cs="Arial"/>
                <w:lang w:val="es-UY" w:eastAsia="es-UY"/>
              </w:rPr>
              <w:t>773.406</w:t>
            </w:r>
          </w:p>
        </w:tc>
      </w:tr>
      <w:tr w:rsidR="00AB0204" w:rsidTr="00AB0204">
        <w:tc>
          <w:tcPr>
            <w:tcW w:w="2881" w:type="dxa"/>
          </w:tcPr>
          <w:p w:rsidR="00AB0204" w:rsidRPr="00AB0204" w:rsidRDefault="00AB0204" w:rsidP="00AB0204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1</w:t>
            </w:r>
          </w:p>
        </w:tc>
        <w:tc>
          <w:tcPr>
            <w:tcW w:w="2881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Bienes de consumo</w:t>
            </w:r>
          </w:p>
        </w:tc>
        <w:tc>
          <w:tcPr>
            <w:tcW w:w="2882" w:type="dxa"/>
          </w:tcPr>
          <w:p w:rsidR="00AB0204" w:rsidRPr="00AB0204" w:rsidRDefault="00AB0204" w:rsidP="00DA3CFC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E757FF">
              <w:rPr>
                <w:rFonts w:cs="Arial"/>
                <w:lang w:val="es-UY" w:eastAsia="es-UY"/>
              </w:rPr>
              <w:t>168</w:t>
            </w:r>
            <w:r w:rsidR="00DA3CFC">
              <w:rPr>
                <w:rFonts w:cs="Arial"/>
                <w:lang w:val="es-UY" w:eastAsia="es-UY"/>
              </w:rPr>
              <w:t>:</w:t>
            </w:r>
            <w:r w:rsidRPr="00E757FF">
              <w:rPr>
                <w:rFonts w:cs="Arial"/>
                <w:lang w:val="es-UY" w:eastAsia="es-UY"/>
              </w:rPr>
              <w:t>153.910</w:t>
            </w:r>
          </w:p>
        </w:tc>
      </w:tr>
      <w:tr w:rsidR="00AB0204" w:rsidTr="00AB0204">
        <w:tc>
          <w:tcPr>
            <w:tcW w:w="2881" w:type="dxa"/>
          </w:tcPr>
          <w:p w:rsidR="00AB0204" w:rsidRPr="00AB0204" w:rsidRDefault="00AB0204" w:rsidP="00AB0204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2</w:t>
            </w:r>
          </w:p>
        </w:tc>
        <w:tc>
          <w:tcPr>
            <w:tcW w:w="2881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Serv</w:t>
            </w:r>
            <w:r w:rsidR="0065060D">
              <w:rPr>
                <w:rFonts w:cs="Arial"/>
                <w:bCs/>
              </w:rPr>
              <w:t>icio</w:t>
            </w:r>
            <w:r w:rsidRPr="00AB0204">
              <w:rPr>
                <w:rFonts w:cs="Arial"/>
                <w:bCs/>
              </w:rPr>
              <w:t>s no personales</w:t>
            </w:r>
          </w:p>
        </w:tc>
        <w:tc>
          <w:tcPr>
            <w:tcW w:w="2882" w:type="dxa"/>
          </w:tcPr>
          <w:p w:rsidR="00AB0204" w:rsidRPr="00AB0204" w:rsidRDefault="00AB0204" w:rsidP="00DA3CFC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E757FF">
              <w:rPr>
                <w:rFonts w:cs="Arial"/>
                <w:lang w:val="es-UY" w:eastAsia="es-UY"/>
              </w:rPr>
              <w:t>409</w:t>
            </w:r>
            <w:r w:rsidR="00DA3CFC">
              <w:rPr>
                <w:rFonts w:cs="Arial"/>
                <w:lang w:val="es-UY" w:eastAsia="es-UY"/>
              </w:rPr>
              <w:t>:</w:t>
            </w:r>
            <w:r w:rsidRPr="00E757FF">
              <w:rPr>
                <w:rFonts w:cs="Arial"/>
                <w:lang w:val="es-UY" w:eastAsia="es-UY"/>
              </w:rPr>
              <w:t>626.037</w:t>
            </w:r>
          </w:p>
        </w:tc>
      </w:tr>
      <w:tr w:rsidR="00AB0204" w:rsidTr="00AB0204">
        <w:tc>
          <w:tcPr>
            <w:tcW w:w="2881" w:type="dxa"/>
          </w:tcPr>
          <w:p w:rsidR="00AB0204" w:rsidRPr="00AB0204" w:rsidRDefault="00AB0204" w:rsidP="00AB0204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5</w:t>
            </w:r>
          </w:p>
        </w:tc>
        <w:tc>
          <w:tcPr>
            <w:tcW w:w="2881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Transferencias</w:t>
            </w:r>
          </w:p>
        </w:tc>
        <w:tc>
          <w:tcPr>
            <w:tcW w:w="2882" w:type="dxa"/>
          </w:tcPr>
          <w:p w:rsidR="00AB0204" w:rsidRPr="00AB0204" w:rsidRDefault="00AB0204" w:rsidP="00DA3CFC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E757FF">
              <w:rPr>
                <w:rFonts w:cs="Arial"/>
                <w:lang w:val="es-UY" w:eastAsia="es-UY"/>
              </w:rPr>
              <w:t>1</w:t>
            </w:r>
            <w:r w:rsidR="00DA3CFC">
              <w:rPr>
                <w:rFonts w:cs="Arial"/>
                <w:lang w:val="es-UY" w:eastAsia="es-UY"/>
              </w:rPr>
              <w:t>:</w:t>
            </w:r>
            <w:r w:rsidRPr="00E757FF">
              <w:rPr>
                <w:rFonts w:cs="Arial"/>
                <w:lang w:val="es-UY" w:eastAsia="es-UY"/>
              </w:rPr>
              <w:t>422.000</w:t>
            </w:r>
          </w:p>
        </w:tc>
      </w:tr>
      <w:tr w:rsidR="00AB0204" w:rsidTr="00AB0204">
        <w:tc>
          <w:tcPr>
            <w:tcW w:w="2881" w:type="dxa"/>
          </w:tcPr>
          <w:p w:rsidR="00AB0204" w:rsidRPr="00AB0204" w:rsidRDefault="00AB0204" w:rsidP="00AB0204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6</w:t>
            </w:r>
          </w:p>
        </w:tc>
        <w:tc>
          <w:tcPr>
            <w:tcW w:w="2881" w:type="dxa"/>
          </w:tcPr>
          <w:p w:rsidR="00AB0204" w:rsidRPr="00AB0204" w:rsidRDefault="00AB0204" w:rsidP="00AB0204">
            <w:pPr>
              <w:pStyle w:val="Sangra2detindependiente"/>
              <w:ind w:left="0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Intereses y otros Gastos Deuda</w:t>
            </w:r>
          </w:p>
        </w:tc>
        <w:tc>
          <w:tcPr>
            <w:tcW w:w="2882" w:type="dxa"/>
          </w:tcPr>
          <w:p w:rsidR="00AB0204" w:rsidRPr="00AB0204" w:rsidRDefault="00AB0204" w:rsidP="00DA3CFC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E757FF">
              <w:rPr>
                <w:rFonts w:cs="Arial"/>
                <w:lang w:val="es-UY" w:eastAsia="es-UY"/>
              </w:rPr>
              <w:t>25.739</w:t>
            </w:r>
            <w:r w:rsidR="00DA3CFC">
              <w:rPr>
                <w:rFonts w:cs="Arial"/>
                <w:lang w:val="es-UY" w:eastAsia="es-UY"/>
              </w:rPr>
              <w:t>:</w:t>
            </w:r>
            <w:r w:rsidRPr="00E757FF">
              <w:rPr>
                <w:rFonts w:cs="Arial"/>
                <w:lang w:val="es-UY" w:eastAsia="es-UY"/>
              </w:rPr>
              <w:t>343.094</w:t>
            </w:r>
          </w:p>
        </w:tc>
      </w:tr>
      <w:tr w:rsidR="00AB0204" w:rsidTr="00AB0204">
        <w:tc>
          <w:tcPr>
            <w:tcW w:w="2881" w:type="dxa"/>
          </w:tcPr>
          <w:p w:rsidR="00AB0204" w:rsidRPr="00AB0204" w:rsidRDefault="00AB0204" w:rsidP="00AB0204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7</w:t>
            </w:r>
          </w:p>
        </w:tc>
        <w:tc>
          <w:tcPr>
            <w:tcW w:w="2881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Gastos no clasificados</w:t>
            </w:r>
          </w:p>
        </w:tc>
        <w:tc>
          <w:tcPr>
            <w:tcW w:w="2882" w:type="dxa"/>
          </w:tcPr>
          <w:p w:rsidR="00AB0204" w:rsidRPr="00AB0204" w:rsidRDefault="00AB0204" w:rsidP="00DA3CFC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E757FF">
              <w:rPr>
                <w:rFonts w:cs="Arial"/>
                <w:lang w:val="es-UY" w:eastAsia="es-UY"/>
              </w:rPr>
              <w:t>17</w:t>
            </w:r>
            <w:r w:rsidR="00DA3CFC">
              <w:rPr>
                <w:rFonts w:cs="Arial"/>
                <w:lang w:val="es-UY" w:eastAsia="es-UY"/>
              </w:rPr>
              <w:t>:</w:t>
            </w:r>
            <w:r w:rsidRPr="00E757FF">
              <w:rPr>
                <w:rFonts w:cs="Arial"/>
                <w:lang w:val="es-UY" w:eastAsia="es-UY"/>
              </w:rPr>
              <w:t>333.398</w:t>
            </w:r>
          </w:p>
        </w:tc>
      </w:tr>
      <w:tr w:rsidR="00AB0204" w:rsidTr="00AB0204">
        <w:tc>
          <w:tcPr>
            <w:tcW w:w="2881" w:type="dxa"/>
          </w:tcPr>
          <w:p w:rsidR="00AB0204" w:rsidRPr="00AB0204" w:rsidRDefault="00AB0204" w:rsidP="00AB0204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8</w:t>
            </w:r>
          </w:p>
        </w:tc>
        <w:tc>
          <w:tcPr>
            <w:tcW w:w="2881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Cs/>
              </w:rPr>
            </w:pPr>
            <w:r w:rsidRPr="00AB0204">
              <w:rPr>
                <w:rFonts w:cs="Arial"/>
                <w:bCs/>
              </w:rPr>
              <w:t>Aplicaciones Financieras</w:t>
            </w:r>
          </w:p>
        </w:tc>
        <w:tc>
          <w:tcPr>
            <w:tcW w:w="2882" w:type="dxa"/>
          </w:tcPr>
          <w:p w:rsidR="00AB0204" w:rsidRPr="00AB0204" w:rsidRDefault="00AB0204" w:rsidP="00DA3CFC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E757FF">
              <w:rPr>
                <w:rFonts w:cs="Arial"/>
                <w:lang w:val="es-UY" w:eastAsia="es-UY"/>
              </w:rPr>
              <w:t>557.624</w:t>
            </w:r>
            <w:r w:rsidR="00DA3CFC">
              <w:rPr>
                <w:rFonts w:cs="Arial"/>
                <w:lang w:val="es-UY" w:eastAsia="es-UY"/>
              </w:rPr>
              <w:t>:</w:t>
            </w:r>
            <w:r w:rsidRPr="00E757FF">
              <w:rPr>
                <w:rFonts w:cs="Arial"/>
                <w:lang w:val="es-UY" w:eastAsia="es-UY"/>
              </w:rPr>
              <w:t>458.432</w:t>
            </w:r>
          </w:p>
        </w:tc>
      </w:tr>
      <w:tr w:rsidR="00AB0204" w:rsidTr="00AB0204">
        <w:tc>
          <w:tcPr>
            <w:tcW w:w="2881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Cs/>
              </w:rPr>
            </w:pPr>
          </w:p>
        </w:tc>
        <w:tc>
          <w:tcPr>
            <w:tcW w:w="2881" w:type="dxa"/>
          </w:tcPr>
          <w:p w:rsidR="00AB0204" w:rsidRPr="00AB0204" w:rsidRDefault="00AB0204" w:rsidP="00E757FF">
            <w:pPr>
              <w:pStyle w:val="Sangra2detindependiente"/>
              <w:ind w:left="0"/>
              <w:rPr>
                <w:rFonts w:cs="Arial"/>
                <w:b/>
                <w:bCs/>
              </w:rPr>
            </w:pPr>
            <w:r w:rsidRPr="00AB0204">
              <w:rPr>
                <w:rFonts w:cs="Arial"/>
                <w:b/>
                <w:bCs/>
              </w:rPr>
              <w:t xml:space="preserve">Total </w:t>
            </w:r>
          </w:p>
        </w:tc>
        <w:tc>
          <w:tcPr>
            <w:tcW w:w="2882" w:type="dxa"/>
          </w:tcPr>
          <w:p w:rsidR="00AB0204" w:rsidRPr="00AB0204" w:rsidRDefault="00AB0204" w:rsidP="00DA3CFC">
            <w:pPr>
              <w:pStyle w:val="Sangra2detindependiente"/>
              <w:ind w:left="0"/>
              <w:jc w:val="right"/>
              <w:rPr>
                <w:rFonts w:cs="Arial"/>
                <w:bCs/>
              </w:rPr>
            </w:pPr>
            <w:r w:rsidRPr="00E757FF">
              <w:rPr>
                <w:rFonts w:cs="Arial"/>
                <w:b/>
                <w:bCs/>
                <w:lang w:val="es-UY" w:eastAsia="es-UY"/>
              </w:rPr>
              <w:t>586.036</w:t>
            </w:r>
            <w:r w:rsidR="00DA3CFC">
              <w:rPr>
                <w:rFonts w:cs="Arial"/>
                <w:b/>
                <w:bCs/>
                <w:lang w:val="es-UY" w:eastAsia="es-UY"/>
              </w:rPr>
              <w:t>:</w:t>
            </w:r>
            <w:r w:rsidRPr="00E757FF">
              <w:rPr>
                <w:rFonts w:cs="Arial"/>
                <w:b/>
                <w:bCs/>
                <w:lang w:val="es-UY" w:eastAsia="es-UY"/>
              </w:rPr>
              <w:t>110.277</w:t>
            </w:r>
          </w:p>
        </w:tc>
      </w:tr>
    </w:tbl>
    <w:p w:rsidR="005B6875" w:rsidRDefault="0065060D" w:rsidP="00121DDB">
      <w:pPr>
        <w:pStyle w:val="Sangra2detindependiente"/>
        <w:ind w:left="0" w:firstLine="2694"/>
        <w:rPr>
          <w:rFonts w:cs="Arial"/>
          <w:bCs/>
        </w:rPr>
      </w:pPr>
      <w:r>
        <w:rPr>
          <w:rFonts w:cs="Arial"/>
          <w:b/>
          <w:bCs/>
        </w:rPr>
        <w:t>4</w:t>
      </w:r>
      <w:r w:rsidR="00C35C5E" w:rsidRPr="00E757FF">
        <w:rPr>
          <w:rFonts w:cs="Arial"/>
          <w:b/>
          <w:bCs/>
        </w:rPr>
        <w:t xml:space="preserve">) </w:t>
      </w:r>
      <w:r w:rsidR="005B6875" w:rsidRPr="00E757FF">
        <w:rPr>
          <w:rFonts w:cs="Arial"/>
          <w:b/>
          <w:bCs/>
        </w:rPr>
        <w:t xml:space="preserve"> </w:t>
      </w:r>
      <w:r w:rsidR="00DA3CFC">
        <w:rPr>
          <w:rFonts w:cs="Arial"/>
          <w:lang w:val="es-ES"/>
        </w:rPr>
        <w:t>que l</w:t>
      </w:r>
      <w:r w:rsidR="005B6875" w:rsidRPr="00E757FF">
        <w:rPr>
          <w:rFonts w:cs="Arial"/>
          <w:lang w:val="es-ES"/>
        </w:rPr>
        <w:t>os ingresos no se modificaron</w:t>
      </w:r>
      <w:r w:rsidR="00DA3CFC">
        <w:rPr>
          <w:rFonts w:cs="Arial"/>
          <w:lang w:val="es-ES"/>
        </w:rPr>
        <w:t>,</w:t>
      </w:r>
      <w:r w:rsidR="005B6875" w:rsidRPr="00E757FF">
        <w:rPr>
          <w:rFonts w:cs="Arial"/>
          <w:lang w:val="es-ES"/>
        </w:rPr>
        <w:t xml:space="preserve"> por lo cual el </w:t>
      </w:r>
      <w:r w:rsidR="005B6875" w:rsidRPr="00E757FF">
        <w:rPr>
          <w:rFonts w:cs="Arial"/>
          <w:bCs/>
        </w:rPr>
        <w:t>Resultado Presupuestal 201</w:t>
      </w:r>
      <w:r w:rsidR="00C35C5E" w:rsidRPr="00E757FF">
        <w:rPr>
          <w:rFonts w:cs="Arial"/>
          <w:bCs/>
        </w:rPr>
        <w:t>7</w:t>
      </w:r>
      <w:r w:rsidR="005B6875" w:rsidRPr="00E757FF">
        <w:rPr>
          <w:rFonts w:cs="Arial"/>
          <w:bCs/>
        </w:rPr>
        <w:t xml:space="preserve"> (en $) es el siguiente:</w:t>
      </w:r>
    </w:p>
    <w:p w:rsidR="00121DDB" w:rsidRPr="00E757FF" w:rsidRDefault="00121DDB" w:rsidP="00121DDB">
      <w:pPr>
        <w:pStyle w:val="Sangra2detindependiente"/>
        <w:ind w:left="0"/>
        <w:rPr>
          <w:rFonts w:cs="Arial"/>
          <w:bCs/>
        </w:rPr>
      </w:pPr>
    </w:p>
    <w:tbl>
      <w:tblPr>
        <w:tblW w:w="7773" w:type="dxa"/>
        <w:jc w:val="center"/>
        <w:tblInd w:w="-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9"/>
        <w:gridCol w:w="1984"/>
      </w:tblGrid>
      <w:tr w:rsidR="00E757FF" w:rsidRPr="00E757FF" w:rsidTr="00A10D47">
        <w:trPr>
          <w:trHeight w:val="300"/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E757FF" w:rsidRDefault="005B6875" w:rsidP="00E757FF">
            <w:pPr>
              <w:spacing w:line="360" w:lineRule="auto"/>
              <w:jc w:val="both"/>
              <w:rPr>
                <w:rFonts w:cs="Arial"/>
                <w:lang w:val="es-UY" w:eastAsia="es-UY"/>
              </w:rPr>
            </w:pPr>
            <w:r w:rsidRPr="00E757FF">
              <w:rPr>
                <w:rFonts w:cs="Arial"/>
                <w:lang w:val="es-UY" w:eastAsia="es-UY"/>
              </w:rPr>
              <w:t>Ingresos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E757FF" w:rsidRDefault="00854265" w:rsidP="00A10D47">
            <w:pPr>
              <w:spacing w:line="360" w:lineRule="auto"/>
              <w:jc w:val="right"/>
              <w:rPr>
                <w:rFonts w:cs="Arial"/>
                <w:lang w:val="es-UY" w:eastAsia="es-UY"/>
              </w:rPr>
            </w:pPr>
            <w:r w:rsidRPr="00E757FF">
              <w:rPr>
                <w:rFonts w:cs="Arial"/>
                <w:lang w:val="es-UY" w:eastAsia="es-UY"/>
              </w:rPr>
              <w:t>586.</w:t>
            </w:r>
            <w:r w:rsidR="005B6875" w:rsidRPr="00E757FF">
              <w:rPr>
                <w:rFonts w:cs="Arial"/>
                <w:lang w:val="es-UY" w:eastAsia="es-UY"/>
              </w:rPr>
              <w:t>3</w:t>
            </w:r>
            <w:r w:rsidRPr="00E757FF">
              <w:rPr>
                <w:rFonts w:cs="Arial"/>
                <w:lang w:val="es-UY" w:eastAsia="es-UY"/>
              </w:rPr>
              <w:t>1</w:t>
            </w:r>
            <w:r w:rsidR="005B6875" w:rsidRPr="00E757FF">
              <w:rPr>
                <w:rFonts w:cs="Arial"/>
                <w:lang w:val="es-UY" w:eastAsia="es-UY"/>
              </w:rPr>
              <w:t>9:</w:t>
            </w:r>
            <w:r w:rsidRPr="00E757FF">
              <w:rPr>
                <w:rFonts w:cs="Arial"/>
                <w:lang w:val="es-UY" w:eastAsia="es-UY"/>
              </w:rPr>
              <w:t>826</w:t>
            </w:r>
            <w:r w:rsidR="005B6875" w:rsidRPr="00E757FF">
              <w:rPr>
                <w:rFonts w:cs="Arial"/>
                <w:lang w:val="es-UY" w:eastAsia="es-UY"/>
              </w:rPr>
              <w:t>.</w:t>
            </w:r>
            <w:r w:rsidRPr="00E757FF">
              <w:rPr>
                <w:rFonts w:cs="Arial"/>
                <w:lang w:val="es-UY" w:eastAsia="es-UY"/>
              </w:rPr>
              <w:t>766</w:t>
            </w:r>
          </w:p>
        </w:tc>
      </w:tr>
      <w:tr w:rsidR="00E757FF" w:rsidRPr="00E757FF" w:rsidTr="00A10D47">
        <w:trPr>
          <w:trHeight w:val="300"/>
          <w:jc w:val="center"/>
        </w:trPr>
        <w:tc>
          <w:tcPr>
            <w:tcW w:w="5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E757FF" w:rsidRDefault="005B6875" w:rsidP="00E757FF">
            <w:pPr>
              <w:spacing w:line="360" w:lineRule="auto"/>
              <w:jc w:val="both"/>
              <w:rPr>
                <w:rFonts w:cs="Arial"/>
                <w:lang w:val="es-UY" w:eastAsia="es-UY"/>
              </w:rPr>
            </w:pPr>
            <w:r w:rsidRPr="00E757FF">
              <w:rPr>
                <w:rFonts w:cs="Arial"/>
                <w:lang w:val="es-UY" w:eastAsia="es-UY"/>
              </w:rPr>
              <w:t>Egresos Operativos  y de Operaciones Financieras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E757FF" w:rsidRDefault="00854265" w:rsidP="00A10D47">
            <w:pPr>
              <w:spacing w:line="360" w:lineRule="auto"/>
              <w:jc w:val="right"/>
              <w:rPr>
                <w:rFonts w:cs="Arial"/>
                <w:lang w:val="es-UY" w:eastAsia="es-UY"/>
              </w:rPr>
            </w:pPr>
            <w:r w:rsidRPr="00E757FF">
              <w:rPr>
                <w:rFonts w:cs="Arial"/>
                <w:lang w:val="es-UY" w:eastAsia="es-UY"/>
              </w:rPr>
              <w:t>586.036:110.277</w:t>
            </w:r>
          </w:p>
        </w:tc>
      </w:tr>
      <w:tr w:rsidR="00E757FF" w:rsidRPr="00E757FF" w:rsidTr="00A10D47">
        <w:trPr>
          <w:trHeight w:val="300"/>
          <w:jc w:val="center"/>
        </w:trPr>
        <w:tc>
          <w:tcPr>
            <w:tcW w:w="5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E757FF" w:rsidRDefault="005B6875" w:rsidP="00E757FF">
            <w:pPr>
              <w:spacing w:line="360" w:lineRule="auto"/>
              <w:jc w:val="both"/>
              <w:rPr>
                <w:rFonts w:cs="Arial"/>
                <w:lang w:val="es-UY" w:eastAsia="es-UY"/>
              </w:rPr>
            </w:pPr>
            <w:r w:rsidRPr="00E757FF">
              <w:rPr>
                <w:rFonts w:cs="Arial"/>
                <w:lang w:val="es-UY" w:eastAsia="es-UY"/>
              </w:rPr>
              <w:t>Egresos de Inversiones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E757FF" w:rsidRDefault="005B6875" w:rsidP="00A10D47">
            <w:pPr>
              <w:spacing w:line="360" w:lineRule="auto"/>
              <w:jc w:val="right"/>
              <w:rPr>
                <w:rFonts w:cs="Arial"/>
                <w:lang w:val="es-UY" w:eastAsia="es-UY"/>
              </w:rPr>
            </w:pPr>
            <w:r w:rsidRPr="00E757FF">
              <w:rPr>
                <w:rFonts w:cs="Arial"/>
                <w:lang w:val="es-UY" w:eastAsia="es-UY"/>
              </w:rPr>
              <w:t>8</w:t>
            </w:r>
            <w:r w:rsidR="00A10D47">
              <w:rPr>
                <w:rFonts w:cs="Arial"/>
                <w:lang w:val="es-UY" w:eastAsia="es-UY"/>
              </w:rPr>
              <w:t>4</w:t>
            </w:r>
            <w:r w:rsidRPr="00E757FF">
              <w:rPr>
                <w:rFonts w:cs="Arial"/>
                <w:lang w:val="es-UY" w:eastAsia="es-UY"/>
              </w:rPr>
              <w:t>:</w:t>
            </w:r>
            <w:r w:rsidR="00A10D47">
              <w:rPr>
                <w:rFonts w:cs="Arial"/>
                <w:lang w:val="es-UY" w:eastAsia="es-UY"/>
              </w:rPr>
              <w:t>487</w:t>
            </w:r>
            <w:r w:rsidRPr="00E757FF">
              <w:rPr>
                <w:rFonts w:cs="Arial"/>
                <w:lang w:val="es-UY" w:eastAsia="es-UY"/>
              </w:rPr>
              <w:t>.</w:t>
            </w:r>
            <w:r w:rsidR="00A10D47">
              <w:rPr>
                <w:rFonts w:cs="Arial"/>
                <w:lang w:val="es-UY" w:eastAsia="es-UY"/>
              </w:rPr>
              <w:t>290</w:t>
            </w:r>
          </w:p>
        </w:tc>
      </w:tr>
      <w:tr w:rsidR="00E757FF" w:rsidRPr="00E757FF" w:rsidTr="00A10D47">
        <w:trPr>
          <w:trHeight w:val="300"/>
          <w:jc w:val="center"/>
        </w:trPr>
        <w:tc>
          <w:tcPr>
            <w:tcW w:w="5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875" w:rsidRPr="00E757FF" w:rsidRDefault="00854265" w:rsidP="00E757FF">
            <w:pPr>
              <w:spacing w:line="360" w:lineRule="auto"/>
              <w:jc w:val="both"/>
              <w:rPr>
                <w:rFonts w:cs="Arial"/>
                <w:lang w:val="es-UY" w:eastAsia="es-UY"/>
              </w:rPr>
            </w:pPr>
            <w:r w:rsidRPr="00E757FF">
              <w:rPr>
                <w:rFonts w:cs="Arial"/>
                <w:lang w:val="es-UY" w:eastAsia="es-UY"/>
              </w:rPr>
              <w:t>Superávit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875" w:rsidRPr="00E757FF" w:rsidRDefault="00854265" w:rsidP="00A10D47">
            <w:pPr>
              <w:spacing w:line="360" w:lineRule="auto"/>
              <w:jc w:val="right"/>
              <w:rPr>
                <w:rFonts w:cs="Arial"/>
                <w:lang w:val="es-UY" w:eastAsia="es-UY"/>
              </w:rPr>
            </w:pPr>
            <w:r w:rsidRPr="00E757FF">
              <w:rPr>
                <w:rFonts w:cs="Arial"/>
                <w:lang w:val="es-UY" w:eastAsia="es-UY"/>
              </w:rPr>
              <w:t>199:229.199</w:t>
            </w:r>
          </w:p>
        </w:tc>
      </w:tr>
    </w:tbl>
    <w:p w:rsidR="00011A3A" w:rsidRDefault="00011A3A" w:rsidP="00E757FF">
      <w:pPr>
        <w:spacing w:line="360" w:lineRule="auto"/>
        <w:ind w:firstLine="851"/>
        <w:jc w:val="both"/>
        <w:rPr>
          <w:rFonts w:cs="Arial"/>
          <w:b/>
        </w:rPr>
      </w:pPr>
    </w:p>
    <w:p w:rsidR="002B2A25" w:rsidRDefault="005B6875" w:rsidP="00121DDB">
      <w:pPr>
        <w:spacing w:line="360" w:lineRule="auto"/>
        <w:ind w:firstLine="851"/>
        <w:jc w:val="both"/>
        <w:rPr>
          <w:rFonts w:cs="Arial"/>
        </w:rPr>
      </w:pPr>
      <w:r w:rsidRPr="00E757FF">
        <w:rPr>
          <w:rFonts w:cs="Arial"/>
          <w:b/>
        </w:rPr>
        <w:lastRenderedPageBreak/>
        <w:t>CONSIDERANDO:</w:t>
      </w:r>
      <w:r w:rsidRPr="00E757FF">
        <w:rPr>
          <w:rFonts w:cs="Arial"/>
        </w:rPr>
        <w:t xml:space="preserve"> </w:t>
      </w:r>
      <w:r w:rsidRPr="00E757FF">
        <w:rPr>
          <w:rFonts w:cs="Arial"/>
          <w:b/>
        </w:rPr>
        <w:t>1)</w:t>
      </w:r>
      <w:r w:rsidRPr="00E757FF">
        <w:rPr>
          <w:rFonts w:cs="Arial"/>
        </w:rPr>
        <w:t xml:space="preserve"> que corresponde a este Tribunal “dictaminar e informar en materia de presupuestos” según lo establece el Artículo 211 Literales A) y E) de la Constitución de la República e “intervenir en todo lo relativo a la gestión del Estado, Gobiernos Departamentales, Entes Autónomos y Servicios Descentralizados”;</w:t>
      </w:r>
    </w:p>
    <w:p w:rsidR="002B2A25" w:rsidRDefault="00EA4CB1" w:rsidP="00121DDB">
      <w:pPr>
        <w:spacing w:line="360" w:lineRule="auto"/>
        <w:ind w:firstLine="2977"/>
        <w:jc w:val="both"/>
        <w:rPr>
          <w:rFonts w:cs="Arial"/>
        </w:rPr>
      </w:pPr>
      <w:r w:rsidRPr="00E757FF">
        <w:rPr>
          <w:rFonts w:cs="Arial"/>
          <w:b/>
        </w:rPr>
        <w:t xml:space="preserve"> </w:t>
      </w:r>
      <w:r w:rsidR="005B6875" w:rsidRPr="00E757FF">
        <w:rPr>
          <w:rFonts w:cs="Arial"/>
          <w:b/>
        </w:rPr>
        <w:t>2)</w:t>
      </w:r>
      <w:r w:rsidR="0065060D">
        <w:rPr>
          <w:rFonts w:cs="Arial"/>
        </w:rPr>
        <w:t xml:space="preserve"> que el</w:t>
      </w:r>
      <w:r w:rsidR="00C512BE" w:rsidRPr="00E757FF">
        <w:rPr>
          <w:rFonts w:cs="Arial"/>
        </w:rPr>
        <w:t xml:space="preserve"> Tribunal de </w:t>
      </w:r>
      <w:r w:rsidR="00E757FF" w:rsidRPr="00E757FF">
        <w:rPr>
          <w:rFonts w:cs="Arial"/>
        </w:rPr>
        <w:t>Cuentas,</w:t>
      </w:r>
      <w:r w:rsidR="00C512BE" w:rsidRPr="00E757FF">
        <w:rPr>
          <w:rFonts w:cs="Arial"/>
        </w:rPr>
        <w:t xml:space="preserve"> el 24</w:t>
      </w:r>
      <w:r w:rsidR="0065060D">
        <w:rPr>
          <w:rFonts w:cs="Arial"/>
        </w:rPr>
        <w:t>/08/</w:t>
      </w:r>
      <w:r w:rsidR="00C512BE" w:rsidRPr="00E757FF">
        <w:rPr>
          <w:rFonts w:cs="Arial"/>
        </w:rPr>
        <w:t xml:space="preserve">2016, </w:t>
      </w:r>
      <w:r w:rsidR="005B6875" w:rsidRPr="00E757FF">
        <w:rPr>
          <w:rFonts w:cs="Arial"/>
        </w:rPr>
        <w:t xml:space="preserve">ya emitió su dictamen </w:t>
      </w:r>
      <w:r w:rsidR="00C512BE" w:rsidRPr="00E757FF">
        <w:rPr>
          <w:rFonts w:cs="Arial"/>
        </w:rPr>
        <w:t xml:space="preserve">sin observaciones </w:t>
      </w:r>
      <w:r w:rsidR="005B6875" w:rsidRPr="00E757FF">
        <w:rPr>
          <w:rFonts w:cs="Arial"/>
        </w:rPr>
        <w:t>respecto del Proyecto de Presupuesto</w:t>
      </w:r>
      <w:r w:rsidR="00C512BE" w:rsidRPr="00E757FF">
        <w:rPr>
          <w:rFonts w:cs="Arial"/>
        </w:rPr>
        <w:t xml:space="preserve"> del Banco Central </w:t>
      </w:r>
      <w:r w:rsidR="0065060D">
        <w:rPr>
          <w:rFonts w:cs="Arial"/>
        </w:rPr>
        <w:t>del Uruguay correspondiente al E</w:t>
      </w:r>
      <w:r w:rsidR="00C512BE" w:rsidRPr="00E757FF">
        <w:rPr>
          <w:rFonts w:cs="Arial"/>
        </w:rPr>
        <w:t>jercicio 2017</w:t>
      </w:r>
      <w:r w:rsidR="005B6875" w:rsidRPr="00E757FF">
        <w:rPr>
          <w:rFonts w:cs="Arial"/>
        </w:rPr>
        <w:t>, habiendo culminado a sus efectos el procedimiento previsto por el Artículo 221 de la Constitución de la República;</w:t>
      </w:r>
    </w:p>
    <w:p w:rsidR="00E757FF" w:rsidRPr="00E757FF" w:rsidRDefault="00EA4CB1" w:rsidP="00121DDB">
      <w:pPr>
        <w:spacing w:line="360" w:lineRule="auto"/>
        <w:ind w:firstLine="2977"/>
        <w:jc w:val="both"/>
        <w:rPr>
          <w:rFonts w:cs="Arial"/>
        </w:rPr>
      </w:pPr>
      <w:r w:rsidRPr="00E757FF">
        <w:rPr>
          <w:rFonts w:cs="Arial"/>
          <w:b/>
        </w:rPr>
        <w:t xml:space="preserve"> </w:t>
      </w:r>
      <w:r w:rsidR="005B6875" w:rsidRPr="00E757FF">
        <w:rPr>
          <w:rFonts w:cs="Arial"/>
          <w:b/>
        </w:rPr>
        <w:t>3)</w:t>
      </w:r>
      <w:r w:rsidR="005B6875" w:rsidRPr="00E757FF">
        <w:rPr>
          <w:rFonts w:cs="Arial"/>
        </w:rPr>
        <w:t xml:space="preserve"> que conform</w:t>
      </w:r>
      <w:r w:rsidR="00014A38">
        <w:rPr>
          <w:rFonts w:cs="Arial"/>
        </w:rPr>
        <w:t>e con lo preceptuado por dicho A</w:t>
      </w:r>
      <w:r w:rsidR="005B6875" w:rsidRPr="00E757FF">
        <w:rPr>
          <w:rFonts w:cs="Arial"/>
        </w:rPr>
        <w:t>rtículo, el Organismo está facultado a modificar el Proyecto de Presupuesto para ajustarlo a las observaciones formuladas por el Poder Ejecutivo;</w:t>
      </w:r>
    </w:p>
    <w:p w:rsidR="00DA3CFC" w:rsidRPr="00121DDB" w:rsidRDefault="005B6875" w:rsidP="00121DDB">
      <w:pPr>
        <w:spacing w:line="360" w:lineRule="auto"/>
        <w:ind w:firstLine="851"/>
        <w:jc w:val="both"/>
        <w:rPr>
          <w:rFonts w:cs="Arial"/>
        </w:rPr>
      </w:pPr>
      <w:r w:rsidRPr="00E757FF">
        <w:rPr>
          <w:rFonts w:cs="Arial"/>
          <w:b/>
        </w:rPr>
        <w:t>ATENTO:</w:t>
      </w:r>
      <w:r w:rsidRPr="00E757FF">
        <w:rPr>
          <w:rFonts w:cs="Arial"/>
        </w:rPr>
        <w:t xml:space="preserve"> a lo precedentemente expuesto y a lo dispuesto por el Artículo 211 Literales A)  y E) de la Constitución de la República;</w:t>
      </w:r>
    </w:p>
    <w:p w:rsidR="00A14CAB" w:rsidRPr="00E757FF" w:rsidRDefault="005B6875" w:rsidP="00121DDB">
      <w:pPr>
        <w:spacing w:line="360" w:lineRule="auto"/>
        <w:jc w:val="center"/>
        <w:rPr>
          <w:rFonts w:cs="Arial"/>
          <w:b/>
        </w:rPr>
      </w:pPr>
      <w:r w:rsidRPr="00E757FF">
        <w:rPr>
          <w:rFonts w:cs="Arial"/>
          <w:b/>
        </w:rPr>
        <w:t>EL TRIBUNAL ACUERDA</w:t>
      </w:r>
    </w:p>
    <w:p w:rsidR="005B6875" w:rsidRPr="00E757FF" w:rsidRDefault="001F40AC" w:rsidP="00121DDB">
      <w:pPr>
        <w:tabs>
          <w:tab w:val="left" w:pos="284"/>
        </w:tabs>
        <w:spacing w:line="360" w:lineRule="auto"/>
        <w:ind w:left="284" w:hanging="284"/>
        <w:jc w:val="both"/>
        <w:rPr>
          <w:rFonts w:cs="Arial"/>
        </w:rPr>
      </w:pPr>
      <w:r w:rsidRPr="00E757FF">
        <w:rPr>
          <w:rFonts w:cs="Arial"/>
          <w:b/>
        </w:rPr>
        <w:t>1)</w:t>
      </w:r>
      <w:r w:rsidR="00121DDB">
        <w:rPr>
          <w:rFonts w:cs="Arial"/>
        </w:rPr>
        <w:t xml:space="preserve"> </w:t>
      </w:r>
      <w:r>
        <w:rPr>
          <w:rFonts w:cs="Arial"/>
        </w:rPr>
        <w:t>Tomar</w:t>
      </w:r>
      <w:r w:rsidR="0065060D">
        <w:rPr>
          <w:rFonts w:cs="Arial"/>
        </w:rPr>
        <w:t xml:space="preserve"> conocimiento de</w:t>
      </w:r>
      <w:r w:rsidR="00136C97" w:rsidRPr="00E757FF">
        <w:rPr>
          <w:rFonts w:cs="Arial"/>
        </w:rPr>
        <w:t xml:space="preserve"> las modificaciones </w:t>
      </w:r>
      <w:r w:rsidR="005B6875" w:rsidRPr="00E757FF">
        <w:rPr>
          <w:rFonts w:cs="Arial"/>
        </w:rPr>
        <w:t>propuestas al Proyecto de Presupuesto Operativo y de Inversiones correspondiente</w:t>
      </w:r>
      <w:r w:rsidR="00136C97" w:rsidRPr="00E757FF">
        <w:rPr>
          <w:rFonts w:cs="Arial"/>
        </w:rPr>
        <w:t xml:space="preserve">s al </w:t>
      </w:r>
      <w:r w:rsidR="000214BB" w:rsidRPr="00E757FF">
        <w:rPr>
          <w:rFonts w:cs="Arial"/>
        </w:rPr>
        <w:t>E</w:t>
      </w:r>
      <w:r w:rsidR="005B6875" w:rsidRPr="00E757FF">
        <w:rPr>
          <w:rFonts w:cs="Arial"/>
        </w:rPr>
        <w:t>jercicio</w:t>
      </w:r>
      <w:r>
        <w:rPr>
          <w:rFonts w:cs="Arial"/>
        </w:rPr>
        <w:t xml:space="preserve"> 2017</w:t>
      </w:r>
      <w:r w:rsidR="005B6875" w:rsidRPr="00E757FF">
        <w:rPr>
          <w:rFonts w:cs="Arial"/>
        </w:rPr>
        <w:t>;</w:t>
      </w:r>
    </w:p>
    <w:p w:rsidR="005B6875" w:rsidRDefault="000214BB" w:rsidP="00121DDB">
      <w:pPr>
        <w:tabs>
          <w:tab w:val="left" w:pos="284"/>
        </w:tabs>
        <w:spacing w:line="360" w:lineRule="auto"/>
        <w:ind w:left="284" w:hanging="284"/>
        <w:jc w:val="both"/>
      </w:pPr>
      <w:r w:rsidRPr="00E757FF">
        <w:rPr>
          <w:rFonts w:cs="Arial"/>
          <w:b/>
        </w:rPr>
        <w:t xml:space="preserve">2) </w:t>
      </w:r>
      <w:r w:rsidR="005B6875" w:rsidRPr="00E757FF">
        <w:rPr>
          <w:rFonts w:cs="Arial"/>
        </w:rPr>
        <w:t xml:space="preserve">Comunicar la presente Resolución al </w:t>
      </w:r>
      <w:r w:rsidR="00136C97" w:rsidRPr="00E757FF">
        <w:rPr>
          <w:rFonts w:cs="Arial"/>
        </w:rPr>
        <w:t>Ministerio de Economía</w:t>
      </w:r>
      <w:r w:rsidR="00564519" w:rsidRPr="00E757FF">
        <w:rPr>
          <w:rFonts w:cs="Arial"/>
        </w:rPr>
        <w:t xml:space="preserve"> y Finanzas</w:t>
      </w:r>
      <w:r w:rsidR="005B6875" w:rsidRPr="00E757FF">
        <w:rPr>
          <w:rFonts w:cs="Arial"/>
        </w:rPr>
        <w:t>, a la Oficina de Planeamiento y Presupuesto</w:t>
      </w:r>
      <w:r w:rsidR="00121DDB">
        <w:rPr>
          <w:rFonts w:cs="Arial"/>
        </w:rPr>
        <w:t>;</w:t>
      </w:r>
      <w:r w:rsidR="00A9602A">
        <w:rPr>
          <w:rFonts w:cs="Arial"/>
        </w:rPr>
        <w:t xml:space="preserve"> y</w:t>
      </w:r>
    </w:p>
    <w:p w:rsidR="0002125C" w:rsidRDefault="0002125C" w:rsidP="00121DDB">
      <w:p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3) </w:t>
      </w:r>
      <w:r w:rsidRPr="0002125C">
        <w:rPr>
          <w:rFonts w:cs="Arial"/>
        </w:rPr>
        <w:t>Devolver</w:t>
      </w:r>
      <w:r w:rsidR="00121DDB">
        <w:rPr>
          <w:rFonts w:cs="Arial"/>
        </w:rPr>
        <w:t>.</w:t>
      </w:r>
    </w:p>
    <w:p w:rsidR="00121DDB" w:rsidRPr="0002125C" w:rsidRDefault="00121DDB" w:rsidP="00121DDB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bf</w:t>
      </w:r>
      <w:proofErr w:type="spellEnd"/>
      <w:proofErr w:type="gramEnd"/>
    </w:p>
    <w:sectPr w:rsidR="00121DDB" w:rsidRPr="0002125C" w:rsidSect="002A24D4">
      <w:footerReference w:type="even" r:id="rId9"/>
      <w:footerReference w:type="default" r:id="rId10"/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29" w:rsidRDefault="004C5729">
      <w:r>
        <w:separator/>
      </w:r>
    </w:p>
  </w:endnote>
  <w:endnote w:type="continuationSeparator" w:id="0">
    <w:p w:rsidR="004C5729" w:rsidRDefault="004C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9E" w:rsidRDefault="00837A9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7A9E" w:rsidRDefault="00837A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520226"/>
      <w:docPartObj>
        <w:docPartGallery w:val="Page Numbers (Bottom of Page)"/>
        <w:docPartUnique/>
      </w:docPartObj>
    </w:sdtPr>
    <w:sdtEndPr/>
    <w:sdtContent>
      <w:p w:rsidR="002A24D4" w:rsidRDefault="002A24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362">
          <w:rPr>
            <w:noProof/>
          </w:rPr>
          <w:t>1</w:t>
        </w:r>
        <w:r>
          <w:fldChar w:fldCharType="end"/>
        </w:r>
      </w:p>
    </w:sdtContent>
  </w:sdt>
  <w:p w:rsidR="00837A9E" w:rsidRDefault="00837A9E" w:rsidP="00837A9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29" w:rsidRDefault="004C5729">
      <w:r>
        <w:separator/>
      </w:r>
    </w:p>
  </w:footnote>
  <w:footnote w:type="continuationSeparator" w:id="0">
    <w:p w:rsidR="004C5729" w:rsidRDefault="004C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2C0"/>
    <w:multiLevelType w:val="hybridMultilevel"/>
    <w:tmpl w:val="82905A2A"/>
    <w:lvl w:ilvl="0" w:tplc="380A000F">
      <w:start w:val="1"/>
      <w:numFmt w:val="decimal"/>
      <w:lvlText w:val="%1."/>
      <w:lvlJc w:val="left"/>
      <w:pPr>
        <w:ind w:left="3414" w:hanging="360"/>
      </w:pPr>
    </w:lvl>
    <w:lvl w:ilvl="1" w:tplc="380A0019" w:tentative="1">
      <w:start w:val="1"/>
      <w:numFmt w:val="lowerLetter"/>
      <w:lvlText w:val="%2."/>
      <w:lvlJc w:val="left"/>
      <w:pPr>
        <w:ind w:left="4134" w:hanging="360"/>
      </w:pPr>
    </w:lvl>
    <w:lvl w:ilvl="2" w:tplc="380A001B" w:tentative="1">
      <w:start w:val="1"/>
      <w:numFmt w:val="lowerRoman"/>
      <w:lvlText w:val="%3."/>
      <w:lvlJc w:val="right"/>
      <w:pPr>
        <w:ind w:left="4854" w:hanging="180"/>
      </w:pPr>
    </w:lvl>
    <w:lvl w:ilvl="3" w:tplc="380A000F" w:tentative="1">
      <w:start w:val="1"/>
      <w:numFmt w:val="decimal"/>
      <w:lvlText w:val="%4."/>
      <w:lvlJc w:val="left"/>
      <w:pPr>
        <w:ind w:left="5574" w:hanging="360"/>
      </w:pPr>
    </w:lvl>
    <w:lvl w:ilvl="4" w:tplc="380A0019" w:tentative="1">
      <w:start w:val="1"/>
      <w:numFmt w:val="lowerLetter"/>
      <w:lvlText w:val="%5."/>
      <w:lvlJc w:val="left"/>
      <w:pPr>
        <w:ind w:left="6294" w:hanging="360"/>
      </w:pPr>
    </w:lvl>
    <w:lvl w:ilvl="5" w:tplc="380A001B" w:tentative="1">
      <w:start w:val="1"/>
      <w:numFmt w:val="lowerRoman"/>
      <w:lvlText w:val="%6."/>
      <w:lvlJc w:val="right"/>
      <w:pPr>
        <w:ind w:left="7014" w:hanging="180"/>
      </w:pPr>
    </w:lvl>
    <w:lvl w:ilvl="6" w:tplc="380A000F" w:tentative="1">
      <w:start w:val="1"/>
      <w:numFmt w:val="decimal"/>
      <w:lvlText w:val="%7."/>
      <w:lvlJc w:val="left"/>
      <w:pPr>
        <w:ind w:left="7734" w:hanging="360"/>
      </w:pPr>
    </w:lvl>
    <w:lvl w:ilvl="7" w:tplc="380A0019" w:tentative="1">
      <w:start w:val="1"/>
      <w:numFmt w:val="lowerLetter"/>
      <w:lvlText w:val="%8."/>
      <w:lvlJc w:val="left"/>
      <w:pPr>
        <w:ind w:left="8454" w:hanging="360"/>
      </w:pPr>
    </w:lvl>
    <w:lvl w:ilvl="8" w:tplc="380A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">
    <w:nsid w:val="143D2D9E"/>
    <w:multiLevelType w:val="hybridMultilevel"/>
    <w:tmpl w:val="B0869482"/>
    <w:lvl w:ilvl="0" w:tplc="B2D8B9E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0945"/>
    <w:multiLevelType w:val="hybridMultilevel"/>
    <w:tmpl w:val="BCF809DE"/>
    <w:lvl w:ilvl="0" w:tplc="380A000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845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917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9894" w:hanging="360"/>
      </w:pPr>
      <w:rPr>
        <w:rFonts w:ascii="Wingdings" w:hAnsi="Wingdings" w:hint="default"/>
      </w:rPr>
    </w:lvl>
  </w:abstractNum>
  <w:abstractNum w:abstractNumId="3">
    <w:nsid w:val="4C1F7838"/>
    <w:multiLevelType w:val="multilevel"/>
    <w:tmpl w:val="1F4889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5EC90977"/>
    <w:multiLevelType w:val="hybridMultilevel"/>
    <w:tmpl w:val="97D8CD4C"/>
    <w:lvl w:ilvl="0" w:tplc="380A000F">
      <w:start w:val="1"/>
      <w:numFmt w:val="decimal"/>
      <w:lvlText w:val="%1."/>
      <w:lvlJc w:val="left"/>
      <w:pPr>
        <w:ind w:left="4134" w:hanging="360"/>
      </w:pPr>
    </w:lvl>
    <w:lvl w:ilvl="1" w:tplc="380A0019" w:tentative="1">
      <w:start w:val="1"/>
      <w:numFmt w:val="lowerLetter"/>
      <w:lvlText w:val="%2."/>
      <w:lvlJc w:val="left"/>
      <w:pPr>
        <w:ind w:left="4854" w:hanging="360"/>
      </w:pPr>
    </w:lvl>
    <w:lvl w:ilvl="2" w:tplc="380A001B" w:tentative="1">
      <w:start w:val="1"/>
      <w:numFmt w:val="lowerRoman"/>
      <w:lvlText w:val="%3."/>
      <w:lvlJc w:val="right"/>
      <w:pPr>
        <w:ind w:left="5574" w:hanging="180"/>
      </w:pPr>
    </w:lvl>
    <w:lvl w:ilvl="3" w:tplc="380A000F" w:tentative="1">
      <w:start w:val="1"/>
      <w:numFmt w:val="decimal"/>
      <w:lvlText w:val="%4."/>
      <w:lvlJc w:val="left"/>
      <w:pPr>
        <w:ind w:left="6294" w:hanging="360"/>
      </w:pPr>
    </w:lvl>
    <w:lvl w:ilvl="4" w:tplc="380A0019" w:tentative="1">
      <w:start w:val="1"/>
      <w:numFmt w:val="lowerLetter"/>
      <w:lvlText w:val="%5."/>
      <w:lvlJc w:val="left"/>
      <w:pPr>
        <w:ind w:left="7014" w:hanging="360"/>
      </w:pPr>
    </w:lvl>
    <w:lvl w:ilvl="5" w:tplc="380A001B" w:tentative="1">
      <w:start w:val="1"/>
      <w:numFmt w:val="lowerRoman"/>
      <w:lvlText w:val="%6."/>
      <w:lvlJc w:val="right"/>
      <w:pPr>
        <w:ind w:left="7734" w:hanging="180"/>
      </w:pPr>
    </w:lvl>
    <w:lvl w:ilvl="6" w:tplc="380A000F" w:tentative="1">
      <w:start w:val="1"/>
      <w:numFmt w:val="decimal"/>
      <w:lvlText w:val="%7."/>
      <w:lvlJc w:val="left"/>
      <w:pPr>
        <w:ind w:left="8454" w:hanging="360"/>
      </w:pPr>
    </w:lvl>
    <w:lvl w:ilvl="7" w:tplc="380A0019" w:tentative="1">
      <w:start w:val="1"/>
      <w:numFmt w:val="lowerLetter"/>
      <w:lvlText w:val="%8."/>
      <w:lvlJc w:val="left"/>
      <w:pPr>
        <w:ind w:left="9174" w:hanging="360"/>
      </w:pPr>
    </w:lvl>
    <w:lvl w:ilvl="8" w:tplc="380A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5">
    <w:nsid w:val="64781BFF"/>
    <w:multiLevelType w:val="hybridMultilevel"/>
    <w:tmpl w:val="C78E4A54"/>
    <w:lvl w:ilvl="0" w:tplc="DC40264A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Times New Roman"/>
      </w:rPr>
    </w:lvl>
    <w:lvl w:ilvl="1" w:tplc="380A0019" w:tentative="1">
      <w:start w:val="1"/>
      <w:numFmt w:val="lowerLetter"/>
      <w:lvlText w:val="%2."/>
      <w:lvlJc w:val="left"/>
      <w:pPr>
        <w:ind w:left="1931" w:hanging="360"/>
      </w:pPr>
    </w:lvl>
    <w:lvl w:ilvl="2" w:tplc="380A001B" w:tentative="1">
      <w:start w:val="1"/>
      <w:numFmt w:val="lowerRoman"/>
      <w:lvlText w:val="%3."/>
      <w:lvlJc w:val="right"/>
      <w:pPr>
        <w:ind w:left="2651" w:hanging="180"/>
      </w:pPr>
    </w:lvl>
    <w:lvl w:ilvl="3" w:tplc="380A000F" w:tentative="1">
      <w:start w:val="1"/>
      <w:numFmt w:val="decimal"/>
      <w:lvlText w:val="%4."/>
      <w:lvlJc w:val="left"/>
      <w:pPr>
        <w:ind w:left="3371" w:hanging="360"/>
      </w:pPr>
    </w:lvl>
    <w:lvl w:ilvl="4" w:tplc="380A0019" w:tentative="1">
      <w:start w:val="1"/>
      <w:numFmt w:val="lowerLetter"/>
      <w:lvlText w:val="%5."/>
      <w:lvlJc w:val="left"/>
      <w:pPr>
        <w:ind w:left="4091" w:hanging="360"/>
      </w:pPr>
    </w:lvl>
    <w:lvl w:ilvl="5" w:tplc="380A001B" w:tentative="1">
      <w:start w:val="1"/>
      <w:numFmt w:val="lowerRoman"/>
      <w:lvlText w:val="%6."/>
      <w:lvlJc w:val="right"/>
      <w:pPr>
        <w:ind w:left="4811" w:hanging="180"/>
      </w:pPr>
    </w:lvl>
    <w:lvl w:ilvl="6" w:tplc="380A000F" w:tentative="1">
      <w:start w:val="1"/>
      <w:numFmt w:val="decimal"/>
      <w:lvlText w:val="%7."/>
      <w:lvlJc w:val="left"/>
      <w:pPr>
        <w:ind w:left="5531" w:hanging="360"/>
      </w:pPr>
    </w:lvl>
    <w:lvl w:ilvl="7" w:tplc="380A0019" w:tentative="1">
      <w:start w:val="1"/>
      <w:numFmt w:val="lowerLetter"/>
      <w:lvlText w:val="%8."/>
      <w:lvlJc w:val="left"/>
      <w:pPr>
        <w:ind w:left="6251" w:hanging="360"/>
      </w:pPr>
    </w:lvl>
    <w:lvl w:ilvl="8" w:tplc="3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75"/>
    <w:rsid w:val="00011A3A"/>
    <w:rsid w:val="00014A38"/>
    <w:rsid w:val="0002125C"/>
    <w:rsid w:val="000214BB"/>
    <w:rsid w:val="00120A80"/>
    <w:rsid w:val="00121DDB"/>
    <w:rsid w:val="00136C97"/>
    <w:rsid w:val="00136EB8"/>
    <w:rsid w:val="00176ECE"/>
    <w:rsid w:val="001B5DC6"/>
    <w:rsid w:val="001C6362"/>
    <w:rsid w:val="001F40AC"/>
    <w:rsid w:val="002A24D4"/>
    <w:rsid w:val="002B2A25"/>
    <w:rsid w:val="002D5ADD"/>
    <w:rsid w:val="003119CD"/>
    <w:rsid w:val="00336923"/>
    <w:rsid w:val="003A79D1"/>
    <w:rsid w:val="0046521B"/>
    <w:rsid w:val="00487973"/>
    <w:rsid w:val="004C5729"/>
    <w:rsid w:val="005253A4"/>
    <w:rsid w:val="00564519"/>
    <w:rsid w:val="005B6875"/>
    <w:rsid w:val="0065060D"/>
    <w:rsid w:val="007112D1"/>
    <w:rsid w:val="0078646E"/>
    <w:rsid w:val="00810FDB"/>
    <w:rsid w:val="00837A9E"/>
    <w:rsid w:val="00854265"/>
    <w:rsid w:val="00880A0F"/>
    <w:rsid w:val="008D2371"/>
    <w:rsid w:val="009D2189"/>
    <w:rsid w:val="00A10D47"/>
    <w:rsid w:val="00A14CAB"/>
    <w:rsid w:val="00A224AF"/>
    <w:rsid w:val="00A23103"/>
    <w:rsid w:val="00A9602A"/>
    <w:rsid w:val="00AB0204"/>
    <w:rsid w:val="00AF40F5"/>
    <w:rsid w:val="00B6662E"/>
    <w:rsid w:val="00BE6709"/>
    <w:rsid w:val="00C35C5E"/>
    <w:rsid w:val="00C512BE"/>
    <w:rsid w:val="00C837C0"/>
    <w:rsid w:val="00DA3CFC"/>
    <w:rsid w:val="00DA75AC"/>
    <w:rsid w:val="00DC2D17"/>
    <w:rsid w:val="00E757FF"/>
    <w:rsid w:val="00EA4CB1"/>
    <w:rsid w:val="00ED57D6"/>
    <w:rsid w:val="00F3148B"/>
    <w:rsid w:val="00F92153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7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B6875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B6875"/>
    <w:rPr>
      <w:rFonts w:ascii="Courier New" w:eastAsia="Times New Roman" w:hAnsi="Courier New" w:cs="Times New Roman"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B68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875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B6875"/>
  </w:style>
  <w:style w:type="paragraph" w:styleId="Sangra2detindependiente">
    <w:name w:val="Body Text Indent 2"/>
    <w:basedOn w:val="Normal"/>
    <w:link w:val="Sangra2detindependienteCar"/>
    <w:rsid w:val="005B6875"/>
    <w:pPr>
      <w:suppressAutoHyphens/>
      <w:spacing w:line="360" w:lineRule="auto"/>
      <w:ind w:left="-360"/>
      <w:jc w:val="both"/>
    </w:pPr>
    <w:rPr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B6875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customStyle="1" w:styleId="Textonormal">
    <w:name w:val="Texto normal"/>
    <w:basedOn w:val="Textoindependiente"/>
    <w:rsid w:val="005B6875"/>
    <w:pPr>
      <w:spacing w:line="480" w:lineRule="auto"/>
    </w:pPr>
    <w:rPr>
      <w:rFonts w:ascii="Courier" w:hAnsi="Courier"/>
    </w:rPr>
  </w:style>
  <w:style w:type="paragraph" w:styleId="Prrafodelista">
    <w:name w:val="List Paragraph"/>
    <w:basedOn w:val="Normal"/>
    <w:uiPriority w:val="34"/>
    <w:qFormat/>
    <w:rsid w:val="000214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0A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A0F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A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AD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AB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87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B6875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B6875"/>
    <w:rPr>
      <w:rFonts w:ascii="Courier New" w:eastAsia="Times New Roman" w:hAnsi="Courier New" w:cs="Times New Roman"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B68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875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B6875"/>
  </w:style>
  <w:style w:type="paragraph" w:styleId="Sangra2detindependiente">
    <w:name w:val="Body Text Indent 2"/>
    <w:basedOn w:val="Normal"/>
    <w:link w:val="Sangra2detindependienteCar"/>
    <w:rsid w:val="005B6875"/>
    <w:pPr>
      <w:suppressAutoHyphens/>
      <w:spacing w:line="360" w:lineRule="auto"/>
      <w:ind w:left="-360"/>
      <w:jc w:val="both"/>
    </w:pPr>
    <w:rPr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B6875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customStyle="1" w:styleId="Textonormal">
    <w:name w:val="Texto normal"/>
    <w:basedOn w:val="Textoindependiente"/>
    <w:rsid w:val="005B6875"/>
    <w:pPr>
      <w:spacing w:line="480" w:lineRule="auto"/>
    </w:pPr>
    <w:rPr>
      <w:rFonts w:ascii="Courier" w:hAnsi="Courier"/>
    </w:rPr>
  </w:style>
  <w:style w:type="paragraph" w:styleId="Prrafodelista">
    <w:name w:val="List Paragraph"/>
    <w:basedOn w:val="Normal"/>
    <w:uiPriority w:val="34"/>
    <w:qFormat/>
    <w:rsid w:val="000214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0A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A0F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A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ADD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AB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2687D-A37D-42EA-9F5E-52815BBF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2017-06-06T16:59:00Z</cp:lastPrinted>
  <dcterms:created xsi:type="dcterms:W3CDTF">2017-06-26T17:43:00Z</dcterms:created>
  <dcterms:modified xsi:type="dcterms:W3CDTF">2017-07-27T16:01:00Z</dcterms:modified>
</cp:coreProperties>
</file>