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876" w:rsidRPr="00161683" w:rsidRDefault="008738CB" w:rsidP="008738CB">
      <w:pPr>
        <w:tabs>
          <w:tab w:val="center" w:pos="4253"/>
          <w:tab w:val="left" w:pos="6405"/>
          <w:tab w:val="right" w:pos="8504"/>
        </w:tabs>
        <w:suppressAutoHyphens/>
        <w:spacing w:after="0" w:line="240" w:lineRule="auto"/>
        <w:rPr>
          <w:rFonts w:ascii="Arial" w:hAnsi="Arial" w:cs="Arial"/>
          <w:b/>
          <w:sz w:val="24"/>
          <w:szCs w:val="24"/>
          <w:lang w:val="es-ES_tradnl"/>
        </w:rPr>
      </w:pPr>
      <w:r>
        <w:rPr>
          <w:rFonts w:ascii="Arial" w:hAnsi="Arial" w:cs="Arial"/>
          <w:b/>
          <w:sz w:val="24"/>
          <w:szCs w:val="24"/>
          <w:lang w:val="es-ES_tradnl"/>
        </w:rPr>
        <w:tab/>
      </w:r>
      <w:r>
        <w:rPr>
          <w:rFonts w:ascii="Arial" w:hAnsi="Arial" w:cs="Arial"/>
          <w:b/>
          <w:sz w:val="24"/>
          <w:szCs w:val="24"/>
          <w:lang w:val="es-ES_tradnl"/>
        </w:rPr>
        <w:tab/>
      </w:r>
      <w:r>
        <w:rPr>
          <w:rFonts w:ascii="Arial" w:hAnsi="Arial" w:cs="Arial"/>
          <w:b/>
          <w:sz w:val="24"/>
          <w:szCs w:val="24"/>
          <w:lang w:val="es-ES_tradnl"/>
        </w:rPr>
        <w:tab/>
      </w:r>
      <w:proofErr w:type="spellStart"/>
      <w:r w:rsidR="003F4876">
        <w:rPr>
          <w:rFonts w:ascii="Arial" w:hAnsi="Arial" w:cs="Arial"/>
          <w:b/>
          <w:sz w:val="24"/>
          <w:szCs w:val="24"/>
          <w:lang w:val="es-ES_tradnl"/>
        </w:rPr>
        <w:t>RES.Nº</w:t>
      </w:r>
      <w:proofErr w:type="spellEnd"/>
      <w:r w:rsidR="003F4876">
        <w:rPr>
          <w:rFonts w:ascii="Arial" w:hAnsi="Arial" w:cs="Arial"/>
          <w:b/>
          <w:sz w:val="24"/>
          <w:szCs w:val="24"/>
          <w:lang w:val="es-ES_tradnl"/>
        </w:rPr>
        <w:t xml:space="preserve"> 1231</w:t>
      </w:r>
      <w:r w:rsidR="003F4876">
        <w:rPr>
          <w:rFonts w:ascii="Arial" w:hAnsi="Arial" w:cs="Arial"/>
          <w:b/>
          <w:sz w:val="24"/>
          <w:szCs w:val="24"/>
          <w:lang w:val="es-ES_tradnl"/>
        </w:rPr>
        <w:t>/17</w:t>
      </w:r>
    </w:p>
    <w:p w:rsidR="003F4876" w:rsidRDefault="003F4876" w:rsidP="008738CB">
      <w:pPr>
        <w:tabs>
          <w:tab w:val="center" w:pos="4253"/>
        </w:tabs>
        <w:suppressAutoHyphens/>
        <w:spacing w:after="0" w:line="240" w:lineRule="auto"/>
        <w:jc w:val="center"/>
        <w:rPr>
          <w:rFonts w:ascii="Arial" w:hAnsi="Arial" w:cs="Arial"/>
          <w:b/>
          <w:sz w:val="24"/>
          <w:szCs w:val="24"/>
          <w:lang w:val="es-ES_tradnl"/>
        </w:rPr>
      </w:pPr>
    </w:p>
    <w:p w:rsidR="003F4876" w:rsidRPr="004746D1" w:rsidRDefault="003F4876" w:rsidP="008738CB">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3F4876" w:rsidRPr="004746D1" w:rsidRDefault="003F4876" w:rsidP="008738CB">
      <w:pPr>
        <w:tabs>
          <w:tab w:val="left" w:pos="-720"/>
        </w:tabs>
        <w:suppressAutoHyphens/>
        <w:spacing w:after="0" w:line="240" w:lineRule="auto"/>
        <w:jc w:val="center"/>
        <w:rPr>
          <w:rFonts w:ascii="Arial" w:hAnsi="Arial" w:cs="Arial"/>
          <w:b/>
          <w:sz w:val="24"/>
          <w:szCs w:val="24"/>
          <w:lang w:val="es-ES_tradnl"/>
        </w:rPr>
      </w:pPr>
    </w:p>
    <w:p w:rsidR="003F4876" w:rsidRPr="004746D1" w:rsidRDefault="003F4876" w:rsidP="008738CB">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3F4876" w:rsidRPr="004746D1" w:rsidRDefault="003F4876" w:rsidP="008738CB">
      <w:pPr>
        <w:tabs>
          <w:tab w:val="left" w:pos="-720"/>
        </w:tabs>
        <w:suppressAutoHyphens/>
        <w:spacing w:after="0" w:line="240" w:lineRule="auto"/>
        <w:jc w:val="center"/>
        <w:rPr>
          <w:rFonts w:ascii="Arial" w:hAnsi="Arial" w:cs="Arial"/>
          <w:b/>
          <w:sz w:val="24"/>
          <w:szCs w:val="24"/>
          <w:lang w:val="es-ES_tradnl"/>
        </w:rPr>
      </w:pPr>
    </w:p>
    <w:p w:rsidR="003F4876" w:rsidRPr="004746D1" w:rsidRDefault="003F4876" w:rsidP="008738CB">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20 DE ABRIL DE 2017</w:t>
      </w:r>
    </w:p>
    <w:p w:rsidR="003F4876" w:rsidRPr="004746D1" w:rsidRDefault="003F4876" w:rsidP="008738CB">
      <w:pPr>
        <w:tabs>
          <w:tab w:val="center" w:pos="4253"/>
        </w:tabs>
        <w:suppressAutoHyphens/>
        <w:spacing w:after="0" w:line="240" w:lineRule="auto"/>
        <w:jc w:val="center"/>
        <w:rPr>
          <w:rFonts w:ascii="Arial" w:hAnsi="Arial" w:cs="Arial"/>
          <w:b/>
          <w:sz w:val="24"/>
          <w:szCs w:val="24"/>
          <w:lang w:val="es-ES_tradnl"/>
        </w:rPr>
      </w:pPr>
    </w:p>
    <w:p w:rsidR="003F4876" w:rsidRPr="004746D1" w:rsidRDefault="003F4876" w:rsidP="008738CB">
      <w:pPr>
        <w:tabs>
          <w:tab w:val="center" w:pos="4253"/>
        </w:tabs>
        <w:suppressAutoHyphens/>
        <w:spacing w:after="0" w:line="240" w:lineRule="auto"/>
        <w:jc w:val="center"/>
        <w:rPr>
          <w:rFonts w:ascii="Arial" w:hAnsi="Arial" w:cs="Arial"/>
          <w:b/>
          <w:sz w:val="24"/>
          <w:szCs w:val="24"/>
          <w:lang w:val="es-ES_tradnl"/>
        </w:rPr>
      </w:pPr>
      <w:r>
        <w:rPr>
          <w:rFonts w:ascii="Arial" w:hAnsi="Arial" w:cs="Arial"/>
          <w:b/>
          <w:sz w:val="24"/>
          <w:szCs w:val="24"/>
          <w:lang w:val="es-ES_tradnl"/>
        </w:rPr>
        <w:t>(</w:t>
      </w:r>
      <w:proofErr w:type="spellStart"/>
      <w:r>
        <w:rPr>
          <w:rFonts w:ascii="Arial" w:hAnsi="Arial" w:cs="Arial"/>
          <w:b/>
          <w:sz w:val="24"/>
          <w:szCs w:val="24"/>
          <w:lang w:val="es-ES_tradnl"/>
        </w:rPr>
        <w:t>E.E.Nº</w:t>
      </w:r>
      <w:proofErr w:type="spellEnd"/>
      <w:r>
        <w:rPr>
          <w:rFonts w:ascii="Arial" w:hAnsi="Arial" w:cs="Arial"/>
          <w:b/>
          <w:sz w:val="24"/>
          <w:szCs w:val="24"/>
          <w:lang w:val="es-ES_tradnl"/>
        </w:rPr>
        <w:t xml:space="preserve"> 2017-17-1-0001192</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r w:rsidRPr="004746D1">
        <w:rPr>
          <w:rFonts w:ascii="Arial" w:hAnsi="Arial" w:cs="Arial"/>
          <w:b/>
          <w:sz w:val="24"/>
          <w:szCs w:val="24"/>
          <w:lang w:val="es-ES_tradnl"/>
        </w:rPr>
        <w:t>.</w:t>
      </w:r>
      <w:r>
        <w:rPr>
          <w:rFonts w:ascii="Arial" w:hAnsi="Arial" w:cs="Arial"/>
          <w:b/>
          <w:sz w:val="24"/>
          <w:szCs w:val="24"/>
          <w:lang w:val="es-ES_tradnl"/>
        </w:rPr>
        <w:t>N°</w:t>
      </w:r>
      <w:proofErr w:type="spellEnd"/>
      <w:r>
        <w:rPr>
          <w:rFonts w:ascii="Arial" w:hAnsi="Arial" w:cs="Arial"/>
          <w:b/>
          <w:sz w:val="24"/>
          <w:szCs w:val="24"/>
          <w:lang w:val="es-ES_tradnl"/>
        </w:rPr>
        <w:t xml:space="preserve"> 1658</w:t>
      </w:r>
      <w:r w:rsidRPr="004746D1">
        <w:rPr>
          <w:rFonts w:ascii="Arial" w:hAnsi="Arial" w:cs="Arial"/>
          <w:b/>
          <w:sz w:val="24"/>
          <w:szCs w:val="24"/>
          <w:lang w:val="es-ES_tradnl"/>
        </w:rPr>
        <w:t>/</w:t>
      </w:r>
      <w:r>
        <w:rPr>
          <w:rFonts w:ascii="Arial" w:hAnsi="Arial" w:cs="Arial"/>
          <w:b/>
          <w:sz w:val="24"/>
          <w:szCs w:val="24"/>
          <w:lang w:val="es-ES_tradnl"/>
        </w:rPr>
        <w:t>17</w:t>
      </w:r>
      <w:r w:rsidRPr="004746D1">
        <w:rPr>
          <w:rFonts w:ascii="Arial" w:hAnsi="Arial" w:cs="Arial"/>
          <w:b/>
          <w:sz w:val="24"/>
          <w:szCs w:val="24"/>
          <w:lang w:val="es-ES_tradnl"/>
        </w:rPr>
        <w:t>)</w:t>
      </w:r>
    </w:p>
    <w:p w:rsidR="003F4876" w:rsidRPr="004746D1" w:rsidRDefault="003F4876" w:rsidP="008738CB">
      <w:pPr>
        <w:tabs>
          <w:tab w:val="center" w:pos="4253"/>
        </w:tabs>
        <w:suppressAutoHyphens/>
        <w:spacing w:after="0" w:line="240" w:lineRule="auto"/>
        <w:jc w:val="center"/>
        <w:rPr>
          <w:rFonts w:ascii="Arial" w:hAnsi="Arial" w:cs="Arial"/>
          <w:spacing w:val="-3"/>
          <w:sz w:val="24"/>
          <w:szCs w:val="24"/>
          <w:lang w:val="es-ES_tradnl"/>
        </w:rPr>
      </w:pPr>
    </w:p>
    <w:p w:rsidR="00C12D9B" w:rsidRDefault="00C12D9B" w:rsidP="008738CB">
      <w:pPr>
        <w:spacing w:after="0" w:line="360" w:lineRule="auto"/>
        <w:ind w:firstLine="709"/>
        <w:jc w:val="both"/>
        <w:rPr>
          <w:rFonts w:ascii="Arial" w:hAnsi="Arial" w:cs="Arial"/>
          <w:sz w:val="24"/>
          <w:szCs w:val="24"/>
        </w:rPr>
      </w:pPr>
      <w:r w:rsidRPr="00642EC3">
        <w:rPr>
          <w:rFonts w:ascii="Arial" w:hAnsi="Arial" w:cs="Arial"/>
          <w:b/>
          <w:sz w:val="24"/>
          <w:szCs w:val="24"/>
        </w:rPr>
        <w:t>VISTO:</w:t>
      </w:r>
      <w:r>
        <w:rPr>
          <w:rFonts w:ascii="Arial" w:hAnsi="Arial" w:cs="Arial"/>
          <w:b/>
          <w:sz w:val="24"/>
          <w:szCs w:val="24"/>
        </w:rPr>
        <w:t xml:space="preserve"> </w:t>
      </w:r>
      <w:r>
        <w:rPr>
          <w:rFonts w:ascii="Arial" w:hAnsi="Arial" w:cs="Arial"/>
          <w:sz w:val="24"/>
          <w:szCs w:val="24"/>
        </w:rPr>
        <w:t>las actuaciones remitidas por la Administración Nacional de Educación Pública – Consejo de Formación en Educación</w:t>
      </w:r>
      <w:r w:rsidR="003F4876">
        <w:rPr>
          <w:rFonts w:ascii="Arial" w:hAnsi="Arial" w:cs="Arial"/>
          <w:sz w:val="24"/>
          <w:szCs w:val="24"/>
        </w:rPr>
        <w:t>,</w:t>
      </w:r>
      <w:r>
        <w:rPr>
          <w:rFonts w:ascii="Arial" w:hAnsi="Arial" w:cs="Arial"/>
          <w:sz w:val="24"/>
          <w:szCs w:val="24"/>
        </w:rPr>
        <w:t xml:space="preserve"> relacionadas con la Licitación </w:t>
      </w:r>
      <w:r w:rsidRPr="00642EC3">
        <w:rPr>
          <w:rFonts w:ascii="Arial" w:hAnsi="Arial" w:cs="Arial"/>
          <w:sz w:val="24"/>
          <w:szCs w:val="24"/>
        </w:rPr>
        <w:t>Pública N° 01</w:t>
      </w:r>
      <w:r>
        <w:rPr>
          <w:rFonts w:ascii="Arial" w:hAnsi="Arial" w:cs="Arial"/>
          <w:sz w:val="24"/>
          <w:szCs w:val="24"/>
        </w:rPr>
        <w:t>/2016, para realizar tareas de limpieza integral en oficinas centrales y dependencias de dicho Consejo en Montevideo;</w:t>
      </w:r>
    </w:p>
    <w:p w:rsidR="00C12D9B" w:rsidRDefault="00C12D9B" w:rsidP="008738CB">
      <w:pPr>
        <w:spacing w:after="0" w:line="360" w:lineRule="auto"/>
        <w:ind w:firstLine="709"/>
        <w:jc w:val="both"/>
        <w:rPr>
          <w:rFonts w:ascii="Arial" w:hAnsi="Arial" w:cs="Arial"/>
          <w:sz w:val="24"/>
          <w:szCs w:val="24"/>
        </w:rPr>
      </w:pPr>
      <w:r w:rsidRPr="00642EC3">
        <w:rPr>
          <w:rFonts w:ascii="Arial" w:hAnsi="Arial" w:cs="Arial"/>
          <w:b/>
          <w:sz w:val="24"/>
          <w:szCs w:val="24"/>
        </w:rPr>
        <w:t>RESULTANDO:</w:t>
      </w:r>
      <w:r w:rsidR="003F4876">
        <w:rPr>
          <w:rFonts w:ascii="Arial" w:hAnsi="Arial" w:cs="Arial"/>
          <w:b/>
          <w:sz w:val="24"/>
          <w:szCs w:val="24"/>
        </w:rPr>
        <w:t xml:space="preserve"> </w:t>
      </w:r>
      <w:r>
        <w:rPr>
          <w:rFonts w:ascii="Arial" w:hAnsi="Arial" w:cs="Arial"/>
          <w:b/>
          <w:sz w:val="24"/>
          <w:szCs w:val="24"/>
        </w:rPr>
        <w:t xml:space="preserve">1) </w:t>
      </w:r>
      <w:r w:rsidRPr="00841793">
        <w:rPr>
          <w:rFonts w:ascii="Arial" w:hAnsi="Arial" w:cs="Arial"/>
          <w:sz w:val="24"/>
          <w:szCs w:val="24"/>
        </w:rPr>
        <w:t>que por Resolución N° 19 de fecha 21</w:t>
      </w:r>
      <w:r w:rsidR="003F4876">
        <w:rPr>
          <w:rFonts w:ascii="Arial" w:hAnsi="Arial" w:cs="Arial"/>
          <w:sz w:val="24"/>
          <w:szCs w:val="24"/>
        </w:rPr>
        <w:t>/</w:t>
      </w:r>
      <w:r w:rsidRPr="00841793">
        <w:rPr>
          <w:rFonts w:ascii="Arial" w:hAnsi="Arial" w:cs="Arial"/>
          <w:sz w:val="24"/>
          <w:szCs w:val="24"/>
        </w:rPr>
        <w:t>12</w:t>
      </w:r>
      <w:r w:rsidR="003F4876">
        <w:rPr>
          <w:rFonts w:ascii="Arial" w:hAnsi="Arial" w:cs="Arial"/>
          <w:sz w:val="24"/>
          <w:szCs w:val="24"/>
        </w:rPr>
        <w:t>/20</w:t>
      </w:r>
      <w:r w:rsidRPr="00841793">
        <w:rPr>
          <w:rFonts w:ascii="Arial" w:hAnsi="Arial" w:cs="Arial"/>
          <w:sz w:val="24"/>
          <w:szCs w:val="24"/>
        </w:rPr>
        <w:t>16, el Consejo dispuso el llamado</w:t>
      </w:r>
      <w:r>
        <w:rPr>
          <w:rFonts w:ascii="Arial" w:hAnsi="Arial" w:cs="Arial"/>
          <w:sz w:val="24"/>
          <w:szCs w:val="24"/>
        </w:rPr>
        <w:t>,</w:t>
      </w:r>
      <w:r w:rsidR="003F4876">
        <w:rPr>
          <w:rFonts w:ascii="Arial" w:hAnsi="Arial" w:cs="Arial"/>
          <w:sz w:val="24"/>
          <w:szCs w:val="24"/>
        </w:rPr>
        <w:t xml:space="preserve"> y</w:t>
      </w:r>
      <w:r>
        <w:rPr>
          <w:rFonts w:ascii="Arial" w:hAnsi="Arial" w:cs="Arial"/>
          <w:sz w:val="24"/>
          <w:szCs w:val="24"/>
        </w:rPr>
        <w:t xml:space="preserve"> cumplido e</w:t>
      </w:r>
      <w:r w:rsidR="003F4876">
        <w:rPr>
          <w:rFonts w:ascii="Arial" w:hAnsi="Arial" w:cs="Arial"/>
          <w:sz w:val="24"/>
          <w:szCs w:val="24"/>
        </w:rPr>
        <w:t>l requisito legal de publicidad con fecha 19/</w:t>
      </w:r>
      <w:r>
        <w:rPr>
          <w:rFonts w:ascii="Arial" w:hAnsi="Arial" w:cs="Arial"/>
          <w:sz w:val="24"/>
          <w:szCs w:val="24"/>
        </w:rPr>
        <w:t>01</w:t>
      </w:r>
      <w:r w:rsidR="003F4876">
        <w:rPr>
          <w:rFonts w:ascii="Arial" w:hAnsi="Arial" w:cs="Arial"/>
          <w:sz w:val="24"/>
          <w:szCs w:val="24"/>
        </w:rPr>
        <w:t>/20</w:t>
      </w:r>
      <w:r>
        <w:rPr>
          <w:rFonts w:ascii="Arial" w:hAnsi="Arial" w:cs="Arial"/>
          <w:sz w:val="24"/>
          <w:szCs w:val="24"/>
        </w:rPr>
        <w:t>17 se realizó la apertura ele</w:t>
      </w:r>
      <w:r w:rsidR="008738CB">
        <w:rPr>
          <w:rFonts w:ascii="Arial" w:hAnsi="Arial" w:cs="Arial"/>
          <w:sz w:val="24"/>
          <w:szCs w:val="24"/>
        </w:rPr>
        <w:t>ctrónica de ofertas, recibiendo</w:t>
      </w:r>
      <w:r>
        <w:rPr>
          <w:rFonts w:ascii="Arial" w:hAnsi="Arial" w:cs="Arial"/>
          <w:sz w:val="24"/>
          <w:szCs w:val="24"/>
        </w:rPr>
        <w:t xml:space="preserve"> las propuestas de: </w:t>
      </w:r>
      <w:proofErr w:type="spellStart"/>
      <w:r w:rsidRPr="00841793">
        <w:rPr>
          <w:rFonts w:ascii="Arial" w:hAnsi="Arial" w:cs="Arial"/>
          <w:sz w:val="24"/>
          <w:szCs w:val="24"/>
        </w:rPr>
        <w:t>Agn</w:t>
      </w:r>
      <w:r w:rsidR="00902214">
        <w:rPr>
          <w:rFonts w:ascii="Arial" w:hAnsi="Arial" w:cs="Arial"/>
          <w:sz w:val="24"/>
          <w:szCs w:val="24"/>
        </w:rPr>
        <w:t>eta</w:t>
      </w:r>
      <w:proofErr w:type="spellEnd"/>
      <w:r w:rsidR="00902214">
        <w:rPr>
          <w:rFonts w:ascii="Arial" w:hAnsi="Arial" w:cs="Arial"/>
          <w:sz w:val="24"/>
          <w:szCs w:val="24"/>
        </w:rPr>
        <w:t xml:space="preserve"> S</w:t>
      </w:r>
      <w:r w:rsidRPr="00841793">
        <w:rPr>
          <w:rFonts w:ascii="Arial" w:hAnsi="Arial" w:cs="Arial"/>
          <w:sz w:val="24"/>
          <w:szCs w:val="24"/>
        </w:rPr>
        <w:t xml:space="preserve">A; </w:t>
      </w:r>
      <w:proofErr w:type="spellStart"/>
      <w:r w:rsidRPr="00841793">
        <w:rPr>
          <w:rFonts w:ascii="Arial" w:hAnsi="Arial" w:cs="Arial"/>
          <w:sz w:val="24"/>
          <w:szCs w:val="24"/>
        </w:rPr>
        <w:t>Cleannet</w:t>
      </w:r>
      <w:proofErr w:type="spellEnd"/>
      <w:r w:rsidRPr="00841793">
        <w:rPr>
          <w:rFonts w:ascii="Arial" w:hAnsi="Arial" w:cs="Arial"/>
          <w:sz w:val="24"/>
          <w:szCs w:val="24"/>
        </w:rPr>
        <w:t xml:space="preserve"> Uruguay SA</w:t>
      </w:r>
      <w:r>
        <w:rPr>
          <w:rFonts w:ascii="Arial" w:hAnsi="Arial" w:cs="Arial"/>
          <w:sz w:val="24"/>
          <w:szCs w:val="24"/>
        </w:rPr>
        <w:t xml:space="preserve">; </w:t>
      </w:r>
      <w:r w:rsidRPr="00C8261A">
        <w:rPr>
          <w:rFonts w:ascii="Arial" w:hAnsi="Arial" w:cs="Arial"/>
          <w:sz w:val="24"/>
          <w:szCs w:val="24"/>
        </w:rPr>
        <w:t xml:space="preserve">Cooperativa de Trabajo de Responsabilidad Limitada </w:t>
      </w:r>
      <w:r>
        <w:rPr>
          <w:rFonts w:ascii="Arial" w:hAnsi="Arial" w:cs="Arial"/>
          <w:sz w:val="24"/>
          <w:szCs w:val="24"/>
        </w:rPr>
        <w:t xml:space="preserve">Redes; Cooperativa Social El Progreso; </w:t>
      </w:r>
      <w:proofErr w:type="spellStart"/>
      <w:r>
        <w:rPr>
          <w:rFonts w:ascii="Arial" w:hAnsi="Arial" w:cs="Arial"/>
          <w:sz w:val="24"/>
          <w:szCs w:val="24"/>
        </w:rPr>
        <w:t>Direnna</w:t>
      </w:r>
      <w:proofErr w:type="spellEnd"/>
      <w:r>
        <w:rPr>
          <w:rFonts w:ascii="Arial" w:hAnsi="Arial" w:cs="Arial"/>
          <w:sz w:val="24"/>
          <w:szCs w:val="24"/>
        </w:rPr>
        <w:t xml:space="preserve"> Cardozo</w:t>
      </w:r>
      <w:r w:rsidR="00902214">
        <w:rPr>
          <w:rFonts w:ascii="Arial" w:hAnsi="Arial" w:cs="Arial"/>
          <w:sz w:val="24"/>
          <w:szCs w:val="24"/>
        </w:rPr>
        <w:t>,</w:t>
      </w:r>
      <w:r>
        <w:rPr>
          <w:rFonts w:ascii="Arial" w:hAnsi="Arial" w:cs="Arial"/>
          <w:sz w:val="24"/>
          <w:szCs w:val="24"/>
        </w:rPr>
        <w:t xml:space="preserve"> Diego Emiliano; Frederick SRL; M y M Servicios SRL; Rebollo Vicente Jorge Eduardo; y </w:t>
      </w:r>
      <w:proofErr w:type="spellStart"/>
      <w:r>
        <w:rPr>
          <w:rFonts w:ascii="Arial" w:hAnsi="Arial" w:cs="Arial"/>
          <w:sz w:val="24"/>
          <w:szCs w:val="24"/>
        </w:rPr>
        <w:t>Yolby</w:t>
      </w:r>
      <w:proofErr w:type="spellEnd"/>
      <w:r>
        <w:rPr>
          <w:rFonts w:ascii="Arial" w:hAnsi="Arial" w:cs="Arial"/>
          <w:sz w:val="24"/>
          <w:szCs w:val="24"/>
        </w:rPr>
        <w:t xml:space="preserve"> SA;</w:t>
      </w:r>
    </w:p>
    <w:p w:rsidR="008738CB" w:rsidRDefault="00C12D9B" w:rsidP="00902214">
      <w:pPr>
        <w:spacing w:after="0" w:line="360" w:lineRule="auto"/>
        <w:ind w:firstLine="2552"/>
        <w:jc w:val="both"/>
        <w:rPr>
          <w:rFonts w:ascii="Arial" w:hAnsi="Arial" w:cs="Arial"/>
          <w:sz w:val="24"/>
          <w:szCs w:val="24"/>
        </w:rPr>
      </w:pPr>
      <w:r w:rsidRPr="0002518D">
        <w:rPr>
          <w:rFonts w:ascii="Arial" w:hAnsi="Arial" w:cs="Arial"/>
          <w:b/>
          <w:sz w:val="24"/>
          <w:szCs w:val="24"/>
        </w:rPr>
        <w:t>2)</w:t>
      </w:r>
      <w:r>
        <w:rPr>
          <w:rFonts w:ascii="Arial" w:hAnsi="Arial" w:cs="Arial"/>
          <w:sz w:val="24"/>
          <w:szCs w:val="24"/>
        </w:rPr>
        <w:t xml:space="preserve"> que con fecha 07</w:t>
      </w:r>
      <w:r w:rsidR="00902214">
        <w:rPr>
          <w:rFonts w:ascii="Arial" w:hAnsi="Arial" w:cs="Arial"/>
          <w:sz w:val="24"/>
          <w:szCs w:val="24"/>
        </w:rPr>
        <w:t>/</w:t>
      </w:r>
      <w:r>
        <w:rPr>
          <w:rFonts w:ascii="Arial" w:hAnsi="Arial" w:cs="Arial"/>
          <w:sz w:val="24"/>
          <w:szCs w:val="24"/>
        </w:rPr>
        <w:t>02</w:t>
      </w:r>
      <w:r w:rsidR="00902214">
        <w:rPr>
          <w:rFonts w:ascii="Arial" w:hAnsi="Arial" w:cs="Arial"/>
          <w:sz w:val="24"/>
          <w:szCs w:val="24"/>
        </w:rPr>
        <w:t>/20</w:t>
      </w:r>
      <w:r>
        <w:rPr>
          <w:rFonts w:ascii="Arial" w:hAnsi="Arial" w:cs="Arial"/>
          <w:sz w:val="24"/>
          <w:szCs w:val="24"/>
        </w:rPr>
        <w:t>17 la</w:t>
      </w:r>
      <w:r w:rsidRPr="004F39D9">
        <w:rPr>
          <w:rFonts w:ascii="Arial" w:hAnsi="Arial" w:cs="Arial"/>
          <w:sz w:val="24"/>
          <w:szCs w:val="24"/>
        </w:rPr>
        <w:t xml:space="preserve"> Comisión Asesora de Adjudicaciones </w:t>
      </w:r>
      <w:r>
        <w:rPr>
          <w:rFonts w:ascii="Arial" w:hAnsi="Arial" w:cs="Arial"/>
          <w:sz w:val="24"/>
          <w:szCs w:val="24"/>
        </w:rPr>
        <w:t>procedió al</w:t>
      </w:r>
      <w:r w:rsidRPr="004F39D9">
        <w:rPr>
          <w:rFonts w:ascii="Arial" w:hAnsi="Arial" w:cs="Arial"/>
          <w:sz w:val="24"/>
          <w:szCs w:val="24"/>
        </w:rPr>
        <w:t xml:space="preserve"> análisis de admisibilidad de las</w:t>
      </w:r>
      <w:r>
        <w:rPr>
          <w:rFonts w:ascii="Arial" w:hAnsi="Arial" w:cs="Arial"/>
          <w:sz w:val="24"/>
          <w:szCs w:val="24"/>
        </w:rPr>
        <w:t xml:space="preserve"> ofertas recibidas e informó </w:t>
      </w:r>
      <w:r w:rsidRPr="004F39D9">
        <w:rPr>
          <w:rFonts w:ascii="Arial" w:hAnsi="Arial" w:cs="Arial"/>
          <w:sz w:val="24"/>
          <w:szCs w:val="24"/>
        </w:rPr>
        <w:t xml:space="preserve">que: </w:t>
      </w:r>
      <w:proofErr w:type="spellStart"/>
      <w:r w:rsidRPr="004F39D9">
        <w:rPr>
          <w:rFonts w:ascii="Arial" w:hAnsi="Arial" w:cs="Arial"/>
          <w:sz w:val="24"/>
          <w:szCs w:val="24"/>
        </w:rPr>
        <w:t>Agne</w:t>
      </w:r>
      <w:r w:rsidR="00902214">
        <w:rPr>
          <w:rFonts w:ascii="Arial" w:hAnsi="Arial" w:cs="Arial"/>
          <w:sz w:val="24"/>
          <w:szCs w:val="24"/>
        </w:rPr>
        <w:t>ta</w:t>
      </w:r>
      <w:proofErr w:type="spellEnd"/>
      <w:r w:rsidR="00902214">
        <w:rPr>
          <w:rFonts w:ascii="Arial" w:hAnsi="Arial" w:cs="Arial"/>
          <w:sz w:val="24"/>
          <w:szCs w:val="24"/>
        </w:rPr>
        <w:t xml:space="preserve"> S</w:t>
      </w:r>
      <w:r>
        <w:rPr>
          <w:rFonts w:ascii="Arial" w:hAnsi="Arial" w:cs="Arial"/>
          <w:sz w:val="24"/>
          <w:szCs w:val="24"/>
        </w:rPr>
        <w:t xml:space="preserve">A, </w:t>
      </w:r>
      <w:proofErr w:type="spellStart"/>
      <w:r>
        <w:rPr>
          <w:rFonts w:ascii="Arial" w:hAnsi="Arial" w:cs="Arial"/>
          <w:sz w:val="24"/>
          <w:szCs w:val="24"/>
        </w:rPr>
        <w:t>Cleannet</w:t>
      </w:r>
      <w:proofErr w:type="spellEnd"/>
      <w:r>
        <w:rPr>
          <w:rFonts w:ascii="Arial" w:hAnsi="Arial" w:cs="Arial"/>
          <w:sz w:val="24"/>
          <w:szCs w:val="24"/>
        </w:rPr>
        <w:t xml:space="preserve"> SA y Rebollo Vicente</w:t>
      </w:r>
      <w:r w:rsidR="00902214">
        <w:rPr>
          <w:rFonts w:ascii="Arial" w:hAnsi="Arial" w:cs="Arial"/>
          <w:sz w:val="24"/>
          <w:szCs w:val="24"/>
        </w:rPr>
        <w:t>,</w:t>
      </w:r>
      <w:r>
        <w:rPr>
          <w:rFonts w:ascii="Arial" w:hAnsi="Arial" w:cs="Arial"/>
          <w:sz w:val="24"/>
          <w:szCs w:val="24"/>
        </w:rPr>
        <w:t xml:space="preserve"> Jorge Eduardo no presentaron antecedentes satisfactorios en el área que se licita, según lo solicitado </w:t>
      </w:r>
      <w:r w:rsidR="00902214">
        <w:rPr>
          <w:rFonts w:ascii="Arial" w:hAnsi="Arial" w:cs="Arial"/>
          <w:sz w:val="24"/>
          <w:szCs w:val="24"/>
        </w:rPr>
        <w:t>en el A</w:t>
      </w:r>
      <w:r>
        <w:rPr>
          <w:rFonts w:ascii="Arial" w:hAnsi="Arial" w:cs="Arial"/>
          <w:sz w:val="24"/>
          <w:szCs w:val="24"/>
        </w:rPr>
        <w:t xml:space="preserve">rtículo 12.2 del Pliego de Condiciones Particulares; </w:t>
      </w:r>
      <w:proofErr w:type="spellStart"/>
      <w:r>
        <w:rPr>
          <w:rFonts w:ascii="Arial" w:hAnsi="Arial" w:cs="Arial"/>
          <w:sz w:val="24"/>
          <w:szCs w:val="24"/>
        </w:rPr>
        <w:t>Direnna</w:t>
      </w:r>
      <w:proofErr w:type="spellEnd"/>
      <w:r>
        <w:rPr>
          <w:rFonts w:ascii="Arial" w:hAnsi="Arial" w:cs="Arial"/>
          <w:sz w:val="24"/>
          <w:szCs w:val="24"/>
        </w:rPr>
        <w:t xml:space="preserve"> Cardozo</w:t>
      </w:r>
      <w:r w:rsidR="00902214">
        <w:rPr>
          <w:rFonts w:ascii="Arial" w:hAnsi="Arial" w:cs="Arial"/>
          <w:sz w:val="24"/>
          <w:szCs w:val="24"/>
        </w:rPr>
        <w:t>,</w:t>
      </w:r>
      <w:r>
        <w:rPr>
          <w:rFonts w:ascii="Arial" w:hAnsi="Arial" w:cs="Arial"/>
          <w:sz w:val="24"/>
          <w:szCs w:val="24"/>
        </w:rPr>
        <w:t xml:space="preserve"> Diego Emiliano sólo cotizó un ítem; Cooperativa Social El Progreso propuso una fórmula de ajuste de precios distinta a la establecida en el </w:t>
      </w:r>
      <w:r w:rsidR="00902214">
        <w:rPr>
          <w:rFonts w:ascii="Arial" w:hAnsi="Arial" w:cs="Arial"/>
          <w:sz w:val="24"/>
          <w:szCs w:val="24"/>
        </w:rPr>
        <w:t>A</w:t>
      </w:r>
      <w:r>
        <w:rPr>
          <w:rFonts w:ascii="Arial" w:hAnsi="Arial" w:cs="Arial"/>
          <w:sz w:val="24"/>
          <w:szCs w:val="24"/>
        </w:rPr>
        <w:t>rtículo 8.1 del Pliego de Condiciones Particulares, por lo que la Comisión</w:t>
      </w:r>
      <w:r w:rsidR="00902214">
        <w:rPr>
          <w:rFonts w:ascii="Arial" w:hAnsi="Arial" w:cs="Arial"/>
          <w:sz w:val="24"/>
          <w:szCs w:val="24"/>
        </w:rPr>
        <w:t xml:space="preserve"> descartó esta oferta; </w:t>
      </w:r>
      <w:proofErr w:type="spellStart"/>
      <w:r w:rsidR="00902214">
        <w:rPr>
          <w:rFonts w:ascii="Arial" w:hAnsi="Arial" w:cs="Arial"/>
          <w:sz w:val="24"/>
          <w:szCs w:val="24"/>
        </w:rPr>
        <w:t>Agneta</w:t>
      </w:r>
      <w:proofErr w:type="spellEnd"/>
      <w:r w:rsidR="00902214">
        <w:rPr>
          <w:rFonts w:ascii="Arial" w:hAnsi="Arial" w:cs="Arial"/>
          <w:sz w:val="24"/>
          <w:szCs w:val="24"/>
        </w:rPr>
        <w:t xml:space="preserve"> S</w:t>
      </w:r>
      <w:r>
        <w:rPr>
          <w:rFonts w:ascii="Arial" w:hAnsi="Arial" w:cs="Arial"/>
          <w:sz w:val="24"/>
          <w:szCs w:val="24"/>
        </w:rPr>
        <w:t xml:space="preserve">A </w:t>
      </w:r>
      <w:r w:rsidR="008738CB">
        <w:rPr>
          <w:rFonts w:ascii="Arial" w:hAnsi="Arial" w:cs="Arial"/>
          <w:sz w:val="24"/>
          <w:szCs w:val="24"/>
        </w:rPr>
        <w:t xml:space="preserve"> </w:t>
      </w:r>
      <w:proofErr w:type="spellStart"/>
      <w:r>
        <w:rPr>
          <w:rFonts w:ascii="Arial" w:hAnsi="Arial" w:cs="Arial"/>
          <w:sz w:val="24"/>
          <w:szCs w:val="24"/>
        </w:rPr>
        <w:t>manifiestó</w:t>
      </w:r>
      <w:proofErr w:type="spellEnd"/>
      <w:r>
        <w:rPr>
          <w:rFonts w:ascii="Arial" w:hAnsi="Arial" w:cs="Arial"/>
          <w:sz w:val="24"/>
          <w:szCs w:val="24"/>
        </w:rPr>
        <w:t xml:space="preserve"> ser </w:t>
      </w:r>
      <w:r w:rsidR="008738CB">
        <w:rPr>
          <w:rFonts w:ascii="Arial" w:hAnsi="Arial" w:cs="Arial"/>
          <w:sz w:val="24"/>
          <w:szCs w:val="24"/>
        </w:rPr>
        <w:t xml:space="preserve"> </w:t>
      </w:r>
      <w:r>
        <w:rPr>
          <w:rFonts w:ascii="Arial" w:hAnsi="Arial" w:cs="Arial"/>
          <w:sz w:val="24"/>
          <w:szCs w:val="24"/>
        </w:rPr>
        <w:t xml:space="preserve">MIPYME, pero no presentó el certificado </w:t>
      </w:r>
    </w:p>
    <w:p w:rsidR="00C12D9B" w:rsidRDefault="00C12D9B" w:rsidP="008738CB">
      <w:pPr>
        <w:spacing w:after="0" w:line="360" w:lineRule="auto"/>
        <w:jc w:val="both"/>
        <w:rPr>
          <w:rFonts w:ascii="Arial" w:hAnsi="Arial" w:cs="Arial"/>
          <w:sz w:val="24"/>
          <w:szCs w:val="24"/>
        </w:rPr>
      </w:pPr>
      <w:proofErr w:type="gramStart"/>
      <w:r>
        <w:rPr>
          <w:rFonts w:ascii="Arial" w:hAnsi="Arial" w:cs="Arial"/>
          <w:sz w:val="24"/>
          <w:szCs w:val="24"/>
        </w:rPr>
        <w:t>expedido</w:t>
      </w:r>
      <w:proofErr w:type="gramEnd"/>
      <w:r>
        <w:rPr>
          <w:rFonts w:ascii="Arial" w:hAnsi="Arial" w:cs="Arial"/>
          <w:sz w:val="24"/>
          <w:szCs w:val="24"/>
        </w:rPr>
        <w:t xml:space="preserve"> por la DINAPYME que acredite tal condición y, asimismo, no declaró cuál es el porcentaje del precio correspondiente a bienes que no califican como nacionales;</w:t>
      </w:r>
    </w:p>
    <w:p w:rsidR="00C12D9B" w:rsidRDefault="00C12D9B" w:rsidP="00BC47EB">
      <w:pPr>
        <w:spacing w:after="0" w:line="360" w:lineRule="auto"/>
        <w:ind w:firstLine="2552"/>
        <w:jc w:val="both"/>
        <w:rPr>
          <w:rFonts w:ascii="Arial" w:hAnsi="Arial" w:cs="Arial"/>
          <w:b/>
          <w:sz w:val="24"/>
          <w:szCs w:val="24"/>
        </w:rPr>
      </w:pPr>
      <w:r w:rsidRPr="004F39D9">
        <w:rPr>
          <w:rFonts w:ascii="Arial" w:hAnsi="Arial" w:cs="Arial"/>
          <w:b/>
          <w:sz w:val="24"/>
          <w:szCs w:val="24"/>
        </w:rPr>
        <w:lastRenderedPageBreak/>
        <w:t xml:space="preserve">3) </w:t>
      </w:r>
      <w:r>
        <w:rPr>
          <w:rFonts w:ascii="Arial" w:hAnsi="Arial" w:cs="Arial"/>
          <w:sz w:val="24"/>
          <w:szCs w:val="24"/>
        </w:rPr>
        <w:t xml:space="preserve">que descartada la oferta presentada por Cooperativa Social El Progreso por proponer una fórmula de ajuste de precios diferente a la prevista en el pliego, la Comisión Asesora de Adjudicaciones procedió a analizar todas las restantes propuestas elaborando, a tales efectos, un cuadro comparativo por ítem cotizado, realizando la </w:t>
      </w:r>
      <w:r w:rsidRPr="004F39D9">
        <w:rPr>
          <w:rFonts w:ascii="Arial" w:hAnsi="Arial" w:cs="Arial"/>
          <w:sz w:val="24"/>
          <w:szCs w:val="24"/>
        </w:rPr>
        <w:t>p</w:t>
      </w:r>
      <w:r>
        <w:rPr>
          <w:rFonts w:ascii="Arial" w:hAnsi="Arial" w:cs="Arial"/>
          <w:sz w:val="24"/>
          <w:szCs w:val="24"/>
        </w:rPr>
        <w:t xml:space="preserve">onderación total de las mismas y, conforme a éste, aconsejó adjudicar la licitación de referencia a </w:t>
      </w:r>
      <w:proofErr w:type="spellStart"/>
      <w:r>
        <w:rPr>
          <w:rFonts w:ascii="Arial" w:hAnsi="Arial" w:cs="Arial"/>
          <w:sz w:val="24"/>
          <w:szCs w:val="24"/>
        </w:rPr>
        <w:t>Yolby</w:t>
      </w:r>
      <w:proofErr w:type="spellEnd"/>
      <w:r>
        <w:rPr>
          <w:rFonts w:ascii="Arial" w:hAnsi="Arial" w:cs="Arial"/>
          <w:sz w:val="24"/>
          <w:szCs w:val="24"/>
        </w:rPr>
        <w:t xml:space="preserve"> S.A, por obtener el mayor puntaje:</w:t>
      </w:r>
    </w:p>
    <w:tbl>
      <w:tblPr>
        <w:tblStyle w:val="Tablaconcuadrcula"/>
        <w:tblW w:w="10348" w:type="dxa"/>
        <w:tblInd w:w="-459" w:type="dxa"/>
        <w:tblLayout w:type="fixed"/>
        <w:tblLook w:val="04A0" w:firstRow="1" w:lastRow="0" w:firstColumn="1" w:lastColumn="0" w:noHBand="0" w:noVBand="1"/>
      </w:tblPr>
      <w:tblGrid>
        <w:gridCol w:w="1560"/>
        <w:gridCol w:w="1134"/>
        <w:gridCol w:w="992"/>
        <w:gridCol w:w="1134"/>
        <w:gridCol w:w="981"/>
        <w:gridCol w:w="1122"/>
        <w:gridCol w:w="1157"/>
        <w:gridCol w:w="1180"/>
        <w:gridCol w:w="1088"/>
      </w:tblGrid>
      <w:tr w:rsidR="00C12D9B" w:rsidRPr="00F06C64" w:rsidTr="00AD6544">
        <w:trPr>
          <w:trHeight w:val="774"/>
        </w:trPr>
        <w:tc>
          <w:tcPr>
            <w:tcW w:w="1560" w:type="dxa"/>
            <w:vAlign w:val="center"/>
          </w:tcPr>
          <w:p w:rsidR="00C12D9B" w:rsidRPr="00F06C64" w:rsidRDefault="00C12D9B" w:rsidP="008738CB">
            <w:pPr>
              <w:jc w:val="center"/>
              <w:rPr>
                <w:rFonts w:ascii="Arial" w:hAnsi="Arial" w:cs="Arial"/>
                <w:b/>
                <w:sz w:val="20"/>
                <w:szCs w:val="20"/>
              </w:rPr>
            </w:pPr>
            <w:r w:rsidRPr="00F06C64">
              <w:rPr>
                <w:rFonts w:ascii="Arial" w:hAnsi="Arial" w:cs="Arial"/>
                <w:b/>
                <w:sz w:val="20"/>
                <w:szCs w:val="20"/>
              </w:rPr>
              <w:t>Empresa</w:t>
            </w:r>
          </w:p>
        </w:tc>
        <w:tc>
          <w:tcPr>
            <w:tcW w:w="1134" w:type="dxa"/>
            <w:vAlign w:val="center"/>
          </w:tcPr>
          <w:p w:rsidR="00C12D9B" w:rsidRPr="00F06C64" w:rsidRDefault="00C12D9B" w:rsidP="008738CB">
            <w:pPr>
              <w:jc w:val="center"/>
              <w:rPr>
                <w:rFonts w:ascii="Arial" w:hAnsi="Arial" w:cs="Arial"/>
                <w:sz w:val="20"/>
                <w:szCs w:val="20"/>
              </w:rPr>
            </w:pPr>
            <w:proofErr w:type="spellStart"/>
            <w:r>
              <w:rPr>
                <w:rFonts w:ascii="Arial" w:hAnsi="Arial" w:cs="Arial"/>
                <w:b/>
                <w:sz w:val="20"/>
                <w:szCs w:val="20"/>
              </w:rPr>
              <w:t>Direnna</w:t>
            </w:r>
            <w:proofErr w:type="spellEnd"/>
            <w:r>
              <w:rPr>
                <w:rFonts w:ascii="Arial" w:hAnsi="Arial" w:cs="Arial"/>
                <w:b/>
                <w:sz w:val="20"/>
                <w:szCs w:val="20"/>
              </w:rPr>
              <w:t xml:space="preserve"> Cardozo Diego Emiliano</w:t>
            </w:r>
          </w:p>
        </w:tc>
        <w:tc>
          <w:tcPr>
            <w:tcW w:w="992" w:type="dxa"/>
            <w:vAlign w:val="center"/>
          </w:tcPr>
          <w:p w:rsidR="00C12D9B" w:rsidRPr="00F06C64" w:rsidRDefault="00C12D9B" w:rsidP="008738CB">
            <w:pPr>
              <w:jc w:val="center"/>
              <w:rPr>
                <w:rFonts w:ascii="Arial" w:hAnsi="Arial" w:cs="Arial"/>
                <w:sz w:val="20"/>
                <w:szCs w:val="20"/>
              </w:rPr>
            </w:pPr>
            <w:proofErr w:type="spellStart"/>
            <w:r>
              <w:rPr>
                <w:rFonts w:ascii="Arial" w:hAnsi="Arial" w:cs="Arial"/>
                <w:b/>
                <w:sz w:val="20"/>
                <w:szCs w:val="20"/>
              </w:rPr>
              <w:t>Yolby</w:t>
            </w:r>
            <w:proofErr w:type="spellEnd"/>
            <w:r>
              <w:rPr>
                <w:rFonts w:ascii="Arial" w:hAnsi="Arial" w:cs="Arial"/>
                <w:b/>
                <w:sz w:val="20"/>
                <w:szCs w:val="20"/>
              </w:rPr>
              <w:t xml:space="preserve"> S.A</w:t>
            </w:r>
          </w:p>
        </w:tc>
        <w:tc>
          <w:tcPr>
            <w:tcW w:w="1134" w:type="dxa"/>
            <w:vAlign w:val="center"/>
          </w:tcPr>
          <w:p w:rsidR="00C12D9B" w:rsidRPr="00F06C64" w:rsidRDefault="00C12D9B" w:rsidP="008738CB">
            <w:pPr>
              <w:jc w:val="center"/>
              <w:rPr>
                <w:rFonts w:ascii="Arial" w:hAnsi="Arial" w:cs="Arial"/>
                <w:sz w:val="20"/>
                <w:szCs w:val="20"/>
              </w:rPr>
            </w:pPr>
            <w:proofErr w:type="spellStart"/>
            <w:r>
              <w:rPr>
                <w:rFonts w:ascii="Arial" w:hAnsi="Arial" w:cs="Arial"/>
                <w:b/>
                <w:sz w:val="20"/>
                <w:szCs w:val="20"/>
              </w:rPr>
              <w:t>MyM</w:t>
            </w:r>
            <w:proofErr w:type="spellEnd"/>
            <w:r>
              <w:rPr>
                <w:rFonts w:ascii="Arial" w:hAnsi="Arial" w:cs="Arial"/>
                <w:b/>
                <w:sz w:val="20"/>
                <w:szCs w:val="20"/>
              </w:rPr>
              <w:t xml:space="preserve"> Servicios S.R.L</w:t>
            </w:r>
          </w:p>
        </w:tc>
        <w:tc>
          <w:tcPr>
            <w:tcW w:w="981" w:type="dxa"/>
            <w:vAlign w:val="center"/>
          </w:tcPr>
          <w:p w:rsidR="00C12D9B" w:rsidRPr="00F06C64" w:rsidRDefault="00C12D9B" w:rsidP="008738CB">
            <w:pPr>
              <w:jc w:val="center"/>
              <w:rPr>
                <w:rFonts w:ascii="Arial" w:hAnsi="Arial" w:cs="Arial"/>
                <w:sz w:val="20"/>
                <w:szCs w:val="20"/>
              </w:rPr>
            </w:pPr>
            <w:proofErr w:type="spellStart"/>
            <w:r>
              <w:rPr>
                <w:rFonts w:ascii="Arial" w:hAnsi="Arial" w:cs="Arial"/>
                <w:b/>
                <w:sz w:val="20"/>
                <w:szCs w:val="20"/>
              </w:rPr>
              <w:t>Agneta</w:t>
            </w:r>
            <w:proofErr w:type="spellEnd"/>
            <w:r>
              <w:rPr>
                <w:rFonts w:ascii="Arial" w:hAnsi="Arial" w:cs="Arial"/>
                <w:b/>
                <w:sz w:val="20"/>
                <w:szCs w:val="20"/>
              </w:rPr>
              <w:t xml:space="preserve"> S.A</w:t>
            </w:r>
          </w:p>
        </w:tc>
        <w:tc>
          <w:tcPr>
            <w:tcW w:w="1122" w:type="dxa"/>
            <w:vAlign w:val="center"/>
          </w:tcPr>
          <w:p w:rsidR="00C12D9B" w:rsidRPr="00F06C64" w:rsidRDefault="00C12D9B" w:rsidP="008738CB">
            <w:pPr>
              <w:jc w:val="center"/>
              <w:rPr>
                <w:rFonts w:ascii="Arial" w:hAnsi="Arial" w:cs="Arial"/>
                <w:sz w:val="20"/>
                <w:szCs w:val="20"/>
              </w:rPr>
            </w:pPr>
            <w:proofErr w:type="spellStart"/>
            <w:r>
              <w:rPr>
                <w:rFonts w:ascii="Arial" w:hAnsi="Arial" w:cs="Arial"/>
                <w:b/>
                <w:sz w:val="20"/>
                <w:szCs w:val="20"/>
              </w:rPr>
              <w:t>Coop</w:t>
            </w:r>
            <w:proofErr w:type="spellEnd"/>
            <w:r>
              <w:rPr>
                <w:rFonts w:ascii="Arial" w:hAnsi="Arial" w:cs="Arial"/>
                <w:b/>
                <w:sz w:val="20"/>
                <w:szCs w:val="20"/>
              </w:rPr>
              <w:t xml:space="preserve">. Trabajo </w:t>
            </w:r>
            <w:proofErr w:type="spellStart"/>
            <w:r>
              <w:rPr>
                <w:rFonts w:ascii="Arial" w:hAnsi="Arial" w:cs="Arial"/>
                <w:b/>
                <w:sz w:val="20"/>
                <w:szCs w:val="20"/>
              </w:rPr>
              <w:t>Resp</w:t>
            </w:r>
            <w:proofErr w:type="spellEnd"/>
            <w:r>
              <w:rPr>
                <w:rFonts w:ascii="Arial" w:hAnsi="Arial" w:cs="Arial"/>
                <w:b/>
                <w:sz w:val="20"/>
                <w:szCs w:val="20"/>
              </w:rPr>
              <w:t>. Ltda. Redes</w:t>
            </w:r>
          </w:p>
        </w:tc>
        <w:tc>
          <w:tcPr>
            <w:tcW w:w="1157" w:type="dxa"/>
            <w:vAlign w:val="center"/>
          </w:tcPr>
          <w:p w:rsidR="00C12D9B" w:rsidRPr="00F06C64" w:rsidRDefault="00C12D9B" w:rsidP="008738CB">
            <w:pPr>
              <w:jc w:val="center"/>
              <w:rPr>
                <w:rFonts w:ascii="Arial" w:hAnsi="Arial" w:cs="Arial"/>
                <w:sz w:val="20"/>
                <w:szCs w:val="20"/>
              </w:rPr>
            </w:pPr>
            <w:r>
              <w:rPr>
                <w:rFonts w:ascii="Arial" w:hAnsi="Arial" w:cs="Arial"/>
                <w:b/>
                <w:sz w:val="20"/>
                <w:szCs w:val="20"/>
              </w:rPr>
              <w:t>Frederick S.R.L</w:t>
            </w:r>
          </w:p>
        </w:tc>
        <w:tc>
          <w:tcPr>
            <w:tcW w:w="1180" w:type="dxa"/>
            <w:vAlign w:val="center"/>
          </w:tcPr>
          <w:p w:rsidR="00C12D9B" w:rsidRPr="00F06C64" w:rsidRDefault="00C12D9B" w:rsidP="008738CB">
            <w:pPr>
              <w:jc w:val="center"/>
              <w:rPr>
                <w:rFonts w:ascii="Arial" w:hAnsi="Arial" w:cs="Arial"/>
                <w:sz w:val="20"/>
                <w:szCs w:val="20"/>
              </w:rPr>
            </w:pPr>
            <w:proofErr w:type="spellStart"/>
            <w:r>
              <w:rPr>
                <w:rFonts w:ascii="Arial" w:hAnsi="Arial" w:cs="Arial"/>
                <w:b/>
                <w:sz w:val="20"/>
                <w:szCs w:val="20"/>
              </w:rPr>
              <w:t>Cleannet</w:t>
            </w:r>
            <w:proofErr w:type="spellEnd"/>
            <w:r>
              <w:rPr>
                <w:rFonts w:ascii="Arial" w:hAnsi="Arial" w:cs="Arial"/>
                <w:b/>
                <w:sz w:val="20"/>
                <w:szCs w:val="20"/>
              </w:rPr>
              <w:t xml:space="preserve"> Uruguay S.A</w:t>
            </w:r>
          </w:p>
        </w:tc>
        <w:tc>
          <w:tcPr>
            <w:tcW w:w="1088" w:type="dxa"/>
            <w:vAlign w:val="center"/>
          </w:tcPr>
          <w:p w:rsidR="00C12D9B" w:rsidRDefault="00C12D9B" w:rsidP="008738CB">
            <w:pPr>
              <w:jc w:val="center"/>
              <w:rPr>
                <w:rFonts w:ascii="Arial" w:hAnsi="Arial" w:cs="Arial"/>
                <w:b/>
                <w:sz w:val="20"/>
                <w:szCs w:val="20"/>
              </w:rPr>
            </w:pPr>
            <w:r>
              <w:rPr>
                <w:rFonts w:ascii="Arial" w:hAnsi="Arial" w:cs="Arial"/>
                <w:b/>
                <w:sz w:val="20"/>
                <w:szCs w:val="20"/>
              </w:rPr>
              <w:t>Rebollo Vicente Jorge Eduardo</w:t>
            </w:r>
          </w:p>
        </w:tc>
      </w:tr>
      <w:tr w:rsidR="00C12D9B" w:rsidRPr="00F06C64" w:rsidTr="00AD6544">
        <w:trPr>
          <w:trHeight w:val="774"/>
        </w:trPr>
        <w:tc>
          <w:tcPr>
            <w:tcW w:w="1560" w:type="dxa"/>
            <w:vAlign w:val="center"/>
          </w:tcPr>
          <w:p w:rsidR="00C12D9B" w:rsidRPr="00F06C64" w:rsidRDefault="00C12D9B" w:rsidP="008738CB">
            <w:pPr>
              <w:jc w:val="center"/>
              <w:rPr>
                <w:rFonts w:ascii="Arial" w:hAnsi="Arial" w:cs="Arial"/>
                <w:b/>
                <w:sz w:val="20"/>
                <w:szCs w:val="20"/>
              </w:rPr>
            </w:pPr>
            <w:r w:rsidRPr="00F06C64">
              <w:rPr>
                <w:rFonts w:ascii="Arial" w:hAnsi="Arial" w:cs="Arial"/>
                <w:b/>
                <w:sz w:val="20"/>
                <w:szCs w:val="20"/>
              </w:rPr>
              <w:t>Ponderación final</w:t>
            </w:r>
            <w:r>
              <w:rPr>
                <w:rFonts w:ascii="Arial" w:hAnsi="Arial" w:cs="Arial"/>
                <w:b/>
                <w:sz w:val="20"/>
                <w:szCs w:val="20"/>
              </w:rPr>
              <w:t xml:space="preserve"> (%)</w:t>
            </w:r>
          </w:p>
        </w:tc>
        <w:tc>
          <w:tcPr>
            <w:tcW w:w="1134" w:type="dxa"/>
            <w:vAlign w:val="center"/>
          </w:tcPr>
          <w:p w:rsidR="00C12D9B" w:rsidRPr="00F06C64" w:rsidRDefault="00C12D9B" w:rsidP="008738CB">
            <w:pPr>
              <w:jc w:val="center"/>
              <w:rPr>
                <w:rFonts w:ascii="Arial" w:hAnsi="Arial" w:cs="Arial"/>
                <w:sz w:val="20"/>
                <w:szCs w:val="20"/>
              </w:rPr>
            </w:pPr>
            <w:r>
              <w:rPr>
                <w:rFonts w:ascii="Arial" w:hAnsi="Arial" w:cs="Arial"/>
                <w:sz w:val="20"/>
                <w:szCs w:val="20"/>
              </w:rPr>
              <w:t>40</w:t>
            </w:r>
          </w:p>
        </w:tc>
        <w:tc>
          <w:tcPr>
            <w:tcW w:w="992" w:type="dxa"/>
            <w:vAlign w:val="center"/>
          </w:tcPr>
          <w:p w:rsidR="00C12D9B" w:rsidRPr="00F06C64" w:rsidRDefault="00C12D9B" w:rsidP="008738CB">
            <w:pPr>
              <w:jc w:val="center"/>
              <w:rPr>
                <w:rFonts w:ascii="Arial" w:hAnsi="Arial" w:cs="Arial"/>
                <w:sz w:val="20"/>
                <w:szCs w:val="20"/>
              </w:rPr>
            </w:pPr>
            <w:r w:rsidRPr="00F06C64">
              <w:rPr>
                <w:rFonts w:ascii="Arial" w:hAnsi="Arial" w:cs="Arial"/>
                <w:sz w:val="20"/>
                <w:szCs w:val="20"/>
                <w:highlight w:val="yellow"/>
              </w:rPr>
              <w:t>96,88</w:t>
            </w:r>
          </w:p>
        </w:tc>
        <w:tc>
          <w:tcPr>
            <w:tcW w:w="1134" w:type="dxa"/>
            <w:vAlign w:val="center"/>
          </w:tcPr>
          <w:p w:rsidR="00C12D9B" w:rsidRPr="00F06C64" w:rsidRDefault="00C12D9B" w:rsidP="008738CB">
            <w:pPr>
              <w:jc w:val="center"/>
              <w:rPr>
                <w:rFonts w:ascii="Arial" w:hAnsi="Arial" w:cs="Arial"/>
                <w:sz w:val="20"/>
                <w:szCs w:val="20"/>
              </w:rPr>
            </w:pPr>
            <w:r>
              <w:rPr>
                <w:rFonts w:ascii="Arial" w:hAnsi="Arial" w:cs="Arial"/>
                <w:sz w:val="20"/>
                <w:szCs w:val="20"/>
              </w:rPr>
              <w:t>68,65</w:t>
            </w:r>
          </w:p>
        </w:tc>
        <w:tc>
          <w:tcPr>
            <w:tcW w:w="981" w:type="dxa"/>
            <w:vAlign w:val="center"/>
          </w:tcPr>
          <w:p w:rsidR="00C12D9B" w:rsidRPr="00F06C64" w:rsidRDefault="00C12D9B" w:rsidP="008738CB">
            <w:pPr>
              <w:jc w:val="center"/>
              <w:rPr>
                <w:rFonts w:ascii="Arial" w:hAnsi="Arial" w:cs="Arial"/>
                <w:sz w:val="20"/>
                <w:szCs w:val="20"/>
              </w:rPr>
            </w:pPr>
            <w:r>
              <w:rPr>
                <w:rFonts w:ascii="Arial" w:hAnsi="Arial" w:cs="Arial"/>
                <w:sz w:val="20"/>
                <w:szCs w:val="20"/>
              </w:rPr>
              <w:t>60,01</w:t>
            </w:r>
          </w:p>
        </w:tc>
        <w:tc>
          <w:tcPr>
            <w:tcW w:w="1122" w:type="dxa"/>
            <w:vAlign w:val="center"/>
          </w:tcPr>
          <w:p w:rsidR="00C12D9B" w:rsidRPr="00F06C64" w:rsidRDefault="00C12D9B" w:rsidP="008738CB">
            <w:pPr>
              <w:jc w:val="center"/>
              <w:rPr>
                <w:rFonts w:ascii="Arial" w:hAnsi="Arial" w:cs="Arial"/>
                <w:sz w:val="20"/>
                <w:szCs w:val="20"/>
              </w:rPr>
            </w:pPr>
            <w:r>
              <w:rPr>
                <w:rFonts w:ascii="Arial" w:hAnsi="Arial" w:cs="Arial"/>
                <w:sz w:val="20"/>
                <w:szCs w:val="20"/>
              </w:rPr>
              <w:t>68,76</w:t>
            </w:r>
          </w:p>
        </w:tc>
        <w:tc>
          <w:tcPr>
            <w:tcW w:w="1157" w:type="dxa"/>
            <w:vAlign w:val="center"/>
          </w:tcPr>
          <w:p w:rsidR="00C12D9B" w:rsidRPr="00F06C64" w:rsidRDefault="00C12D9B" w:rsidP="008738CB">
            <w:pPr>
              <w:jc w:val="center"/>
              <w:rPr>
                <w:rFonts w:ascii="Arial" w:hAnsi="Arial" w:cs="Arial"/>
                <w:sz w:val="20"/>
                <w:szCs w:val="20"/>
              </w:rPr>
            </w:pPr>
            <w:r>
              <w:rPr>
                <w:rFonts w:ascii="Arial" w:hAnsi="Arial" w:cs="Arial"/>
                <w:sz w:val="20"/>
                <w:szCs w:val="20"/>
              </w:rPr>
              <w:t>62,25</w:t>
            </w:r>
          </w:p>
        </w:tc>
        <w:tc>
          <w:tcPr>
            <w:tcW w:w="1180" w:type="dxa"/>
            <w:vAlign w:val="center"/>
          </w:tcPr>
          <w:p w:rsidR="00C12D9B" w:rsidRPr="00F06C64" w:rsidRDefault="00C12D9B" w:rsidP="008738CB">
            <w:pPr>
              <w:jc w:val="center"/>
              <w:rPr>
                <w:rFonts w:ascii="Arial" w:hAnsi="Arial" w:cs="Arial"/>
                <w:sz w:val="20"/>
                <w:szCs w:val="20"/>
              </w:rPr>
            </w:pPr>
            <w:r>
              <w:rPr>
                <w:rFonts w:ascii="Arial" w:hAnsi="Arial" w:cs="Arial"/>
                <w:sz w:val="20"/>
                <w:szCs w:val="20"/>
              </w:rPr>
              <w:t>59,15</w:t>
            </w:r>
          </w:p>
        </w:tc>
        <w:tc>
          <w:tcPr>
            <w:tcW w:w="1088" w:type="dxa"/>
            <w:vAlign w:val="center"/>
          </w:tcPr>
          <w:p w:rsidR="00C12D9B" w:rsidRPr="00F06C64" w:rsidRDefault="00C12D9B" w:rsidP="008738CB">
            <w:pPr>
              <w:jc w:val="center"/>
              <w:rPr>
                <w:rFonts w:ascii="Arial" w:hAnsi="Arial" w:cs="Arial"/>
                <w:sz w:val="20"/>
                <w:szCs w:val="20"/>
              </w:rPr>
            </w:pPr>
            <w:r>
              <w:rPr>
                <w:rFonts w:ascii="Arial" w:hAnsi="Arial" w:cs="Arial"/>
                <w:sz w:val="20"/>
                <w:szCs w:val="20"/>
              </w:rPr>
              <w:t>56,37</w:t>
            </w:r>
          </w:p>
        </w:tc>
      </w:tr>
    </w:tbl>
    <w:p w:rsidR="00C12D9B" w:rsidRDefault="00C12D9B" w:rsidP="008738CB">
      <w:pPr>
        <w:spacing w:after="0" w:line="240" w:lineRule="auto"/>
        <w:jc w:val="both"/>
        <w:rPr>
          <w:rFonts w:ascii="Arial" w:hAnsi="Arial" w:cs="Arial"/>
          <w:b/>
          <w:sz w:val="24"/>
          <w:szCs w:val="24"/>
        </w:rPr>
      </w:pPr>
    </w:p>
    <w:p w:rsidR="00C12D9B" w:rsidRDefault="00C12D9B" w:rsidP="008738CB">
      <w:pPr>
        <w:spacing w:after="0" w:line="360" w:lineRule="auto"/>
        <w:ind w:firstLine="2552"/>
        <w:jc w:val="both"/>
        <w:rPr>
          <w:rFonts w:ascii="Arial" w:hAnsi="Arial" w:cs="Arial"/>
          <w:sz w:val="24"/>
          <w:szCs w:val="24"/>
        </w:rPr>
      </w:pPr>
      <w:r>
        <w:rPr>
          <w:rFonts w:ascii="Arial" w:hAnsi="Arial" w:cs="Arial"/>
          <w:b/>
          <w:sz w:val="24"/>
          <w:szCs w:val="24"/>
        </w:rPr>
        <w:t xml:space="preserve">4) </w:t>
      </w:r>
      <w:r w:rsidRPr="009960F4">
        <w:rPr>
          <w:rFonts w:ascii="Arial" w:hAnsi="Arial" w:cs="Arial"/>
          <w:sz w:val="24"/>
          <w:szCs w:val="24"/>
        </w:rPr>
        <w:t xml:space="preserve">que </w:t>
      </w:r>
      <w:r w:rsidR="00BC47EB">
        <w:rPr>
          <w:rFonts w:ascii="Arial" w:hAnsi="Arial" w:cs="Arial"/>
          <w:sz w:val="24"/>
          <w:szCs w:val="24"/>
        </w:rPr>
        <w:t>con fecha 08/</w:t>
      </w:r>
      <w:r>
        <w:rPr>
          <w:rFonts w:ascii="Arial" w:hAnsi="Arial" w:cs="Arial"/>
          <w:sz w:val="24"/>
          <w:szCs w:val="24"/>
        </w:rPr>
        <w:t>02</w:t>
      </w:r>
      <w:r w:rsidR="00BC47EB">
        <w:rPr>
          <w:rFonts w:ascii="Arial" w:hAnsi="Arial" w:cs="Arial"/>
          <w:sz w:val="24"/>
          <w:szCs w:val="24"/>
        </w:rPr>
        <w:t>/20</w:t>
      </w:r>
      <w:r>
        <w:rPr>
          <w:rFonts w:ascii="Arial" w:hAnsi="Arial" w:cs="Arial"/>
          <w:sz w:val="24"/>
          <w:szCs w:val="24"/>
        </w:rPr>
        <w:t xml:space="preserve">17 se dio vista de las actuaciones a los oferentes, de </w:t>
      </w:r>
      <w:r w:rsidR="00BC47EB">
        <w:rPr>
          <w:rFonts w:ascii="Arial" w:hAnsi="Arial" w:cs="Arial"/>
          <w:sz w:val="24"/>
          <w:szCs w:val="24"/>
        </w:rPr>
        <w:t>acuerdo a lo establecido en el A</w:t>
      </w:r>
      <w:r>
        <w:rPr>
          <w:rFonts w:ascii="Arial" w:hAnsi="Arial" w:cs="Arial"/>
          <w:sz w:val="24"/>
          <w:szCs w:val="24"/>
        </w:rPr>
        <w:t>rtículo 67 del TOCAF;</w:t>
      </w:r>
    </w:p>
    <w:p w:rsidR="00C12D9B" w:rsidRDefault="00C12D9B" w:rsidP="008738CB">
      <w:pPr>
        <w:spacing w:after="0" w:line="360" w:lineRule="auto"/>
        <w:ind w:firstLine="2552"/>
        <w:jc w:val="both"/>
        <w:rPr>
          <w:rFonts w:ascii="Arial" w:hAnsi="Arial" w:cs="Arial"/>
          <w:sz w:val="24"/>
          <w:szCs w:val="24"/>
        </w:rPr>
      </w:pPr>
      <w:r w:rsidRPr="009960F4">
        <w:rPr>
          <w:rFonts w:ascii="Arial" w:hAnsi="Arial" w:cs="Arial"/>
          <w:b/>
          <w:sz w:val="24"/>
          <w:szCs w:val="24"/>
        </w:rPr>
        <w:t>5)</w:t>
      </w:r>
      <w:r>
        <w:rPr>
          <w:rFonts w:ascii="Arial" w:hAnsi="Arial" w:cs="Arial"/>
          <w:sz w:val="24"/>
          <w:szCs w:val="24"/>
        </w:rPr>
        <w:t xml:space="preserve"> que con fecha </w:t>
      </w:r>
      <w:r w:rsidRPr="005F7933">
        <w:rPr>
          <w:rFonts w:ascii="Arial" w:hAnsi="Arial" w:cs="Arial"/>
          <w:sz w:val="24"/>
          <w:szCs w:val="24"/>
        </w:rPr>
        <w:t>14</w:t>
      </w:r>
      <w:r w:rsidR="00BC47EB">
        <w:rPr>
          <w:rFonts w:ascii="Arial" w:hAnsi="Arial" w:cs="Arial"/>
          <w:sz w:val="24"/>
          <w:szCs w:val="24"/>
        </w:rPr>
        <w:t>/</w:t>
      </w:r>
      <w:r w:rsidRPr="005F7933">
        <w:rPr>
          <w:rFonts w:ascii="Arial" w:hAnsi="Arial" w:cs="Arial"/>
          <w:sz w:val="24"/>
          <w:szCs w:val="24"/>
        </w:rPr>
        <w:t>02</w:t>
      </w:r>
      <w:r w:rsidR="00BC47EB">
        <w:rPr>
          <w:rFonts w:ascii="Arial" w:hAnsi="Arial" w:cs="Arial"/>
          <w:sz w:val="24"/>
          <w:szCs w:val="24"/>
        </w:rPr>
        <w:t>/20</w:t>
      </w:r>
      <w:r w:rsidRPr="005F7933">
        <w:rPr>
          <w:rFonts w:ascii="Arial" w:hAnsi="Arial" w:cs="Arial"/>
          <w:sz w:val="24"/>
          <w:szCs w:val="24"/>
        </w:rPr>
        <w:t>17</w:t>
      </w:r>
      <w:r w:rsidRPr="009960F4">
        <w:rPr>
          <w:rFonts w:ascii="Arial" w:hAnsi="Arial" w:cs="Arial"/>
          <w:sz w:val="24"/>
          <w:szCs w:val="24"/>
        </w:rPr>
        <w:t xml:space="preserve"> </w:t>
      </w:r>
      <w:r>
        <w:rPr>
          <w:rFonts w:ascii="Arial" w:hAnsi="Arial" w:cs="Arial"/>
          <w:sz w:val="24"/>
          <w:szCs w:val="24"/>
        </w:rPr>
        <w:t xml:space="preserve">Frederick SRL impugnó el referido informe de la Comisión Asesora argumentando </w:t>
      </w:r>
      <w:r w:rsidR="00BC47EB">
        <w:rPr>
          <w:rFonts w:ascii="Arial" w:hAnsi="Arial" w:cs="Arial"/>
          <w:sz w:val="24"/>
          <w:szCs w:val="24"/>
        </w:rPr>
        <w:t>que los precios cotizados por</w:t>
      </w:r>
      <w:r>
        <w:rPr>
          <w:rFonts w:ascii="Arial" w:hAnsi="Arial" w:cs="Arial"/>
          <w:sz w:val="24"/>
          <w:szCs w:val="24"/>
        </w:rPr>
        <w:t xml:space="preserve"> </w:t>
      </w:r>
      <w:proofErr w:type="spellStart"/>
      <w:r>
        <w:rPr>
          <w:rFonts w:ascii="Arial" w:hAnsi="Arial" w:cs="Arial"/>
          <w:sz w:val="24"/>
          <w:szCs w:val="24"/>
        </w:rPr>
        <w:t>Yolby</w:t>
      </w:r>
      <w:proofErr w:type="spellEnd"/>
      <w:r>
        <w:rPr>
          <w:rFonts w:ascii="Arial" w:hAnsi="Arial" w:cs="Arial"/>
          <w:sz w:val="24"/>
          <w:szCs w:val="24"/>
        </w:rPr>
        <w:t xml:space="preserve"> SA no cubren los gastos mínimos de funcionamiento normal del servicio, a los que corresponde sumar gastos extraordinarios que no fueron contemplados en su oferta, como ser los derivados por concepto de uniformes, administrativos, prima por antigüedad, maquinarias de limpieza, ganancia de la empresa, entre otros;</w:t>
      </w:r>
    </w:p>
    <w:p w:rsidR="00BC47EB" w:rsidRDefault="00C12D9B" w:rsidP="008738CB">
      <w:pPr>
        <w:spacing w:after="0" w:line="360" w:lineRule="auto"/>
        <w:ind w:firstLine="2552"/>
        <w:jc w:val="both"/>
        <w:rPr>
          <w:rFonts w:ascii="Arial" w:hAnsi="Arial" w:cs="Arial"/>
          <w:b/>
          <w:sz w:val="24"/>
          <w:szCs w:val="24"/>
        </w:rPr>
      </w:pPr>
      <w:r w:rsidRPr="009960F4">
        <w:rPr>
          <w:rFonts w:ascii="Arial" w:hAnsi="Arial" w:cs="Arial"/>
          <w:b/>
          <w:sz w:val="24"/>
          <w:szCs w:val="24"/>
        </w:rPr>
        <w:t xml:space="preserve">6) </w:t>
      </w:r>
      <w:r>
        <w:rPr>
          <w:rFonts w:ascii="Arial" w:hAnsi="Arial" w:cs="Arial"/>
          <w:sz w:val="24"/>
          <w:szCs w:val="24"/>
        </w:rPr>
        <w:t>que en respuesta a lo manifestado por Frederick SRL</w:t>
      </w:r>
      <w:r w:rsidR="00BC47EB">
        <w:rPr>
          <w:rFonts w:ascii="Arial" w:hAnsi="Arial" w:cs="Arial"/>
          <w:sz w:val="24"/>
          <w:szCs w:val="24"/>
        </w:rPr>
        <w:t xml:space="preserve"> con fecha 20/</w:t>
      </w:r>
      <w:r>
        <w:rPr>
          <w:rFonts w:ascii="Arial" w:hAnsi="Arial" w:cs="Arial"/>
          <w:sz w:val="24"/>
          <w:szCs w:val="24"/>
        </w:rPr>
        <w:t>02</w:t>
      </w:r>
      <w:r w:rsidR="00BC47EB">
        <w:rPr>
          <w:rFonts w:ascii="Arial" w:hAnsi="Arial" w:cs="Arial"/>
          <w:sz w:val="24"/>
          <w:szCs w:val="24"/>
        </w:rPr>
        <w:t>/20</w:t>
      </w:r>
      <w:r>
        <w:rPr>
          <w:rFonts w:ascii="Arial" w:hAnsi="Arial" w:cs="Arial"/>
          <w:sz w:val="24"/>
          <w:szCs w:val="24"/>
        </w:rPr>
        <w:t>17</w:t>
      </w:r>
      <w:r w:rsidR="00BC47EB">
        <w:rPr>
          <w:rFonts w:ascii="Arial" w:hAnsi="Arial" w:cs="Arial"/>
          <w:sz w:val="24"/>
          <w:szCs w:val="24"/>
        </w:rPr>
        <w:t>,</w:t>
      </w:r>
      <w:r>
        <w:rPr>
          <w:rFonts w:ascii="Arial" w:hAnsi="Arial" w:cs="Arial"/>
          <w:sz w:val="24"/>
          <w:szCs w:val="24"/>
        </w:rPr>
        <w:t xml:space="preserve"> la Comisión Asesora de Adjudicaciones informó que se analizó que el precio ofertado por </w:t>
      </w:r>
      <w:proofErr w:type="spellStart"/>
      <w:r>
        <w:rPr>
          <w:rFonts w:ascii="Arial" w:hAnsi="Arial" w:cs="Arial"/>
          <w:sz w:val="24"/>
          <w:szCs w:val="24"/>
        </w:rPr>
        <w:t>Yolby</w:t>
      </w:r>
      <w:proofErr w:type="spellEnd"/>
      <w:r>
        <w:rPr>
          <w:rFonts w:ascii="Arial" w:hAnsi="Arial" w:cs="Arial"/>
          <w:sz w:val="24"/>
          <w:szCs w:val="24"/>
        </w:rPr>
        <w:t xml:space="preserve"> SA</w:t>
      </w:r>
      <w:r w:rsidR="00BC47EB">
        <w:rPr>
          <w:rFonts w:ascii="Arial" w:hAnsi="Arial" w:cs="Arial"/>
          <w:sz w:val="24"/>
          <w:szCs w:val="24"/>
        </w:rPr>
        <w:t>,</w:t>
      </w:r>
      <w:r>
        <w:rPr>
          <w:rFonts w:ascii="Arial" w:hAnsi="Arial" w:cs="Arial"/>
          <w:sz w:val="24"/>
          <w:szCs w:val="24"/>
        </w:rPr>
        <w:t xml:space="preserve"> contempla el laudo vigente fijado por el Ministerio de Trabajo y Seguridad Social y las obligaciones legales correspondientes, precisando que el porcentaje de ganancia y los gastos adicionales refieren a decisiones exclusivas de la firma;</w:t>
      </w:r>
      <w:r>
        <w:rPr>
          <w:rFonts w:ascii="Arial" w:hAnsi="Arial" w:cs="Arial"/>
          <w:sz w:val="24"/>
          <w:szCs w:val="24"/>
        </w:rPr>
        <w:tab/>
      </w:r>
      <w:r>
        <w:rPr>
          <w:rFonts w:ascii="Arial" w:hAnsi="Arial" w:cs="Arial"/>
          <w:sz w:val="24"/>
          <w:szCs w:val="24"/>
        </w:rPr>
        <w:tab/>
      </w:r>
      <w:r>
        <w:rPr>
          <w:rFonts w:ascii="Arial" w:hAnsi="Arial" w:cs="Arial"/>
          <w:sz w:val="24"/>
          <w:szCs w:val="24"/>
        </w:rPr>
        <w:tab/>
      </w:r>
    </w:p>
    <w:p w:rsidR="00BC47EB" w:rsidRDefault="00BC47EB" w:rsidP="00BC47EB">
      <w:pPr>
        <w:spacing w:after="0" w:line="360" w:lineRule="auto"/>
        <w:ind w:firstLine="2552"/>
        <w:jc w:val="both"/>
        <w:rPr>
          <w:rFonts w:ascii="Arial" w:hAnsi="Arial" w:cs="Arial"/>
          <w:sz w:val="24"/>
          <w:szCs w:val="24"/>
        </w:rPr>
      </w:pPr>
      <w:r>
        <w:rPr>
          <w:rFonts w:ascii="Arial" w:hAnsi="Arial" w:cs="Arial"/>
          <w:b/>
          <w:sz w:val="24"/>
          <w:szCs w:val="24"/>
        </w:rPr>
        <w:t>7)</w:t>
      </w:r>
      <w:r w:rsidR="00C12D9B">
        <w:rPr>
          <w:rFonts w:ascii="Arial" w:hAnsi="Arial" w:cs="Arial"/>
          <w:sz w:val="24"/>
          <w:szCs w:val="24"/>
        </w:rPr>
        <w:t xml:space="preserve"> que en el mismo sentido, con fecha 22</w:t>
      </w:r>
      <w:r>
        <w:rPr>
          <w:rFonts w:ascii="Arial" w:hAnsi="Arial" w:cs="Arial"/>
          <w:sz w:val="24"/>
          <w:szCs w:val="24"/>
        </w:rPr>
        <w:t>/</w:t>
      </w:r>
      <w:r w:rsidR="00C12D9B">
        <w:rPr>
          <w:rFonts w:ascii="Arial" w:hAnsi="Arial" w:cs="Arial"/>
          <w:sz w:val="24"/>
          <w:szCs w:val="24"/>
        </w:rPr>
        <w:t>02</w:t>
      </w:r>
      <w:r>
        <w:rPr>
          <w:rFonts w:ascii="Arial" w:hAnsi="Arial" w:cs="Arial"/>
          <w:sz w:val="24"/>
          <w:szCs w:val="24"/>
        </w:rPr>
        <w:t>/20</w:t>
      </w:r>
      <w:r w:rsidR="00C12D9B">
        <w:rPr>
          <w:rFonts w:ascii="Arial" w:hAnsi="Arial" w:cs="Arial"/>
          <w:sz w:val="24"/>
          <w:szCs w:val="24"/>
        </w:rPr>
        <w:t xml:space="preserve">17 la </w:t>
      </w:r>
      <w:r>
        <w:rPr>
          <w:rFonts w:ascii="Arial" w:hAnsi="Arial" w:cs="Arial"/>
          <w:sz w:val="24"/>
          <w:szCs w:val="24"/>
        </w:rPr>
        <w:t>D</w:t>
      </w:r>
      <w:r w:rsidR="00C12D9B">
        <w:rPr>
          <w:rFonts w:ascii="Arial" w:hAnsi="Arial" w:cs="Arial"/>
          <w:sz w:val="24"/>
          <w:szCs w:val="24"/>
        </w:rPr>
        <w:t>ivisión Jurídica informó que de los agravios manifestados por Frederick SRL</w:t>
      </w:r>
      <w:r>
        <w:rPr>
          <w:rFonts w:ascii="Arial" w:hAnsi="Arial" w:cs="Arial"/>
          <w:sz w:val="24"/>
          <w:szCs w:val="24"/>
        </w:rPr>
        <w:t xml:space="preserve"> </w:t>
      </w:r>
      <w:r w:rsidR="00C12D9B">
        <w:rPr>
          <w:rFonts w:ascii="Arial" w:hAnsi="Arial" w:cs="Arial"/>
          <w:sz w:val="24"/>
          <w:szCs w:val="24"/>
        </w:rPr>
        <w:lastRenderedPageBreak/>
        <w:t>en su petición, no surgen argumentos de derecho ni fundamentos qu</w:t>
      </w:r>
      <w:r>
        <w:rPr>
          <w:rFonts w:ascii="Arial" w:hAnsi="Arial" w:cs="Arial"/>
          <w:sz w:val="24"/>
          <w:szCs w:val="24"/>
        </w:rPr>
        <w:t>e impongan la modificación del Dictamen ni del I</w:t>
      </w:r>
      <w:r w:rsidR="00C12D9B">
        <w:rPr>
          <w:rFonts w:ascii="Arial" w:hAnsi="Arial" w:cs="Arial"/>
          <w:sz w:val="24"/>
          <w:szCs w:val="24"/>
        </w:rPr>
        <w:t>nforme realizados por la Comisión Asesora;</w:t>
      </w:r>
      <w:r w:rsidR="00C12D9B">
        <w:rPr>
          <w:rFonts w:ascii="Arial" w:hAnsi="Arial" w:cs="Arial"/>
          <w:sz w:val="24"/>
          <w:szCs w:val="24"/>
        </w:rPr>
        <w:tab/>
      </w:r>
      <w:r w:rsidR="00C12D9B">
        <w:rPr>
          <w:rFonts w:ascii="Arial" w:hAnsi="Arial" w:cs="Arial"/>
          <w:sz w:val="24"/>
          <w:szCs w:val="24"/>
        </w:rPr>
        <w:tab/>
      </w:r>
      <w:r w:rsidR="00C12D9B">
        <w:rPr>
          <w:rFonts w:ascii="Arial" w:hAnsi="Arial" w:cs="Arial"/>
          <w:sz w:val="24"/>
          <w:szCs w:val="24"/>
        </w:rPr>
        <w:tab/>
      </w:r>
    </w:p>
    <w:p w:rsidR="00BC47EB" w:rsidRDefault="00C12D9B" w:rsidP="00BC47EB">
      <w:pPr>
        <w:spacing w:after="0" w:line="360" w:lineRule="auto"/>
        <w:ind w:firstLine="2552"/>
        <w:jc w:val="both"/>
        <w:rPr>
          <w:rFonts w:ascii="Arial" w:hAnsi="Arial" w:cs="Arial"/>
          <w:sz w:val="24"/>
          <w:szCs w:val="24"/>
        </w:rPr>
      </w:pPr>
      <w:r w:rsidRPr="009960F4">
        <w:rPr>
          <w:rFonts w:ascii="Arial" w:hAnsi="Arial" w:cs="Arial"/>
          <w:b/>
          <w:sz w:val="24"/>
          <w:szCs w:val="24"/>
        </w:rPr>
        <w:t>8)</w:t>
      </w:r>
      <w:r>
        <w:rPr>
          <w:rFonts w:ascii="Arial" w:hAnsi="Arial" w:cs="Arial"/>
          <w:sz w:val="24"/>
          <w:szCs w:val="24"/>
        </w:rPr>
        <w:t xml:space="preserve"> que con fecha 22</w:t>
      </w:r>
      <w:r w:rsidR="00BC47EB">
        <w:rPr>
          <w:rFonts w:ascii="Arial" w:hAnsi="Arial" w:cs="Arial"/>
          <w:sz w:val="24"/>
          <w:szCs w:val="24"/>
        </w:rPr>
        <w:t>/</w:t>
      </w:r>
      <w:r>
        <w:rPr>
          <w:rFonts w:ascii="Arial" w:hAnsi="Arial" w:cs="Arial"/>
          <w:sz w:val="24"/>
          <w:szCs w:val="24"/>
        </w:rPr>
        <w:t>02</w:t>
      </w:r>
      <w:r w:rsidR="00BC47EB">
        <w:rPr>
          <w:rFonts w:ascii="Arial" w:hAnsi="Arial" w:cs="Arial"/>
          <w:sz w:val="24"/>
          <w:szCs w:val="24"/>
        </w:rPr>
        <w:t>/20</w:t>
      </w:r>
      <w:r>
        <w:rPr>
          <w:rFonts w:ascii="Arial" w:hAnsi="Arial" w:cs="Arial"/>
          <w:sz w:val="24"/>
          <w:szCs w:val="24"/>
        </w:rPr>
        <w:t>17, se realizó la afectación N° 112/2017</w:t>
      </w:r>
      <w:r w:rsidR="00BC47EB">
        <w:rPr>
          <w:rFonts w:ascii="Arial" w:hAnsi="Arial" w:cs="Arial"/>
          <w:sz w:val="24"/>
          <w:szCs w:val="24"/>
        </w:rPr>
        <w:t>, por los montos de $ 2:</w:t>
      </w:r>
      <w:r>
        <w:rPr>
          <w:rFonts w:ascii="Arial" w:hAnsi="Arial" w:cs="Arial"/>
          <w:sz w:val="24"/>
          <w:szCs w:val="24"/>
        </w:rPr>
        <w:t>117.674, $ 5</w:t>
      </w:r>
      <w:r w:rsidR="00BC47EB">
        <w:rPr>
          <w:rFonts w:ascii="Arial" w:hAnsi="Arial" w:cs="Arial"/>
          <w:sz w:val="24"/>
          <w:szCs w:val="24"/>
        </w:rPr>
        <w:t>:480.050 y $ 1:</w:t>
      </w:r>
      <w:r>
        <w:rPr>
          <w:rFonts w:ascii="Arial" w:hAnsi="Arial" w:cs="Arial"/>
          <w:sz w:val="24"/>
          <w:szCs w:val="24"/>
        </w:rPr>
        <w:t xml:space="preserve">042.276 </w:t>
      </w:r>
      <w:r w:rsidR="00BC47EB">
        <w:rPr>
          <w:rFonts w:ascii="Arial" w:hAnsi="Arial" w:cs="Arial"/>
          <w:sz w:val="24"/>
          <w:szCs w:val="24"/>
        </w:rPr>
        <w:t xml:space="preserve">     </w:t>
      </w:r>
      <w:r>
        <w:rPr>
          <w:rFonts w:ascii="Arial" w:hAnsi="Arial" w:cs="Arial"/>
          <w:sz w:val="24"/>
          <w:szCs w:val="24"/>
        </w:rPr>
        <w:t>(total $</w:t>
      </w:r>
      <w:r w:rsidR="00BC47EB">
        <w:rPr>
          <w:rFonts w:ascii="Arial" w:hAnsi="Arial" w:cs="Arial"/>
          <w:sz w:val="24"/>
          <w:szCs w:val="24"/>
        </w:rPr>
        <w:t xml:space="preserve"> 9:</w:t>
      </w:r>
      <w:r>
        <w:rPr>
          <w:rFonts w:ascii="Arial" w:hAnsi="Arial" w:cs="Arial"/>
          <w:sz w:val="24"/>
          <w:szCs w:val="24"/>
        </w:rPr>
        <w:t>000.000) con cargo a los Proyectos 201, 212, 213, respectivamente, de los Programas 601 y 607, Objeto del Gasto 278;</w:t>
      </w:r>
    </w:p>
    <w:p w:rsidR="00C12D9B" w:rsidRDefault="00C12D9B" w:rsidP="00BC47EB">
      <w:pPr>
        <w:spacing w:after="0" w:line="360" w:lineRule="auto"/>
        <w:ind w:firstLine="2552"/>
        <w:jc w:val="both"/>
        <w:rPr>
          <w:rFonts w:ascii="Arial" w:hAnsi="Arial" w:cs="Arial"/>
          <w:sz w:val="24"/>
          <w:szCs w:val="24"/>
        </w:rPr>
      </w:pPr>
      <w:r w:rsidRPr="009960F4">
        <w:rPr>
          <w:rFonts w:ascii="Arial" w:hAnsi="Arial" w:cs="Arial"/>
          <w:b/>
          <w:sz w:val="24"/>
          <w:szCs w:val="24"/>
        </w:rPr>
        <w:t>9)</w:t>
      </w:r>
      <w:r>
        <w:rPr>
          <w:rFonts w:ascii="Arial" w:hAnsi="Arial" w:cs="Arial"/>
          <w:sz w:val="24"/>
          <w:szCs w:val="24"/>
        </w:rPr>
        <w:t xml:space="preserve"> que habiéndose notificado en domicilio a Frederick SRL con fecha 23</w:t>
      </w:r>
      <w:r w:rsidR="00BC47EB">
        <w:rPr>
          <w:rFonts w:ascii="Arial" w:hAnsi="Arial" w:cs="Arial"/>
          <w:sz w:val="24"/>
          <w:szCs w:val="24"/>
        </w:rPr>
        <w:t>/</w:t>
      </w:r>
      <w:r>
        <w:rPr>
          <w:rFonts w:ascii="Arial" w:hAnsi="Arial" w:cs="Arial"/>
          <w:sz w:val="24"/>
          <w:szCs w:val="24"/>
        </w:rPr>
        <w:t>02</w:t>
      </w:r>
      <w:r w:rsidR="00BC47EB">
        <w:rPr>
          <w:rFonts w:ascii="Arial" w:hAnsi="Arial" w:cs="Arial"/>
          <w:sz w:val="24"/>
          <w:szCs w:val="24"/>
        </w:rPr>
        <w:t>/20</w:t>
      </w:r>
      <w:r>
        <w:rPr>
          <w:rFonts w:ascii="Arial" w:hAnsi="Arial" w:cs="Arial"/>
          <w:sz w:val="24"/>
          <w:szCs w:val="24"/>
        </w:rPr>
        <w:t>17, la referida firma no presentó nuevo escrito, dejándose constancia expresa en las actuaciones de fecha 17</w:t>
      </w:r>
      <w:r w:rsidR="00BC47EB">
        <w:rPr>
          <w:rFonts w:ascii="Arial" w:hAnsi="Arial" w:cs="Arial"/>
          <w:sz w:val="24"/>
          <w:szCs w:val="24"/>
        </w:rPr>
        <w:t>/</w:t>
      </w:r>
      <w:r>
        <w:rPr>
          <w:rFonts w:ascii="Arial" w:hAnsi="Arial" w:cs="Arial"/>
          <w:sz w:val="24"/>
          <w:szCs w:val="24"/>
        </w:rPr>
        <w:t>03</w:t>
      </w:r>
      <w:r w:rsidR="00BC47EB">
        <w:rPr>
          <w:rFonts w:ascii="Arial" w:hAnsi="Arial" w:cs="Arial"/>
          <w:sz w:val="24"/>
          <w:szCs w:val="24"/>
        </w:rPr>
        <w:t>/20</w:t>
      </w:r>
      <w:r>
        <w:rPr>
          <w:rFonts w:ascii="Arial" w:hAnsi="Arial" w:cs="Arial"/>
          <w:sz w:val="24"/>
          <w:szCs w:val="24"/>
        </w:rPr>
        <w:t>17;</w:t>
      </w:r>
    </w:p>
    <w:p w:rsidR="00C12D9B" w:rsidRDefault="00C12D9B" w:rsidP="00BC47EB">
      <w:pPr>
        <w:spacing w:after="0" w:line="360" w:lineRule="auto"/>
        <w:ind w:firstLine="2410"/>
        <w:jc w:val="both"/>
        <w:rPr>
          <w:rFonts w:ascii="Arial" w:hAnsi="Arial" w:cs="Arial"/>
          <w:sz w:val="24"/>
          <w:szCs w:val="24"/>
        </w:rPr>
      </w:pPr>
      <w:r w:rsidRPr="009F13DC">
        <w:rPr>
          <w:rFonts w:ascii="Arial" w:hAnsi="Arial" w:cs="Arial"/>
          <w:b/>
          <w:sz w:val="24"/>
          <w:szCs w:val="24"/>
        </w:rPr>
        <w:t xml:space="preserve">10) </w:t>
      </w:r>
      <w:r>
        <w:rPr>
          <w:rFonts w:ascii="Arial" w:hAnsi="Arial" w:cs="Arial"/>
          <w:sz w:val="24"/>
          <w:szCs w:val="24"/>
        </w:rPr>
        <w:t>que mediante Resoluci</w:t>
      </w:r>
      <w:r w:rsidR="00BC47EB">
        <w:rPr>
          <w:rFonts w:ascii="Arial" w:hAnsi="Arial" w:cs="Arial"/>
          <w:sz w:val="24"/>
          <w:szCs w:val="24"/>
        </w:rPr>
        <w:t>ón N° 32, Acta N° 8 de fecha 22/</w:t>
      </w:r>
      <w:r>
        <w:rPr>
          <w:rFonts w:ascii="Arial" w:hAnsi="Arial" w:cs="Arial"/>
          <w:sz w:val="24"/>
          <w:szCs w:val="24"/>
        </w:rPr>
        <w:t>03</w:t>
      </w:r>
      <w:r w:rsidR="00BC47EB">
        <w:rPr>
          <w:rFonts w:ascii="Arial" w:hAnsi="Arial" w:cs="Arial"/>
          <w:sz w:val="24"/>
          <w:szCs w:val="24"/>
        </w:rPr>
        <w:t>/</w:t>
      </w:r>
      <w:r>
        <w:rPr>
          <w:rFonts w:ascii="Arial" w:hAnsi="Arial" w:cs="Arial"/>
          <w:sz w:val="24"/>
          <w:szCs w:val="24"/>
        </w:rPr>
        <w:t>17, el Consejo de Formación en Educación</w:t>
      </w:r>
      <w:r w:rsidRPr="009F13DC">
        <w:rPr>
          <w:rFonts w:ascii="Arial" w:hAnsi="Arial" w:cs="Arial"/>
          <w:sz w:val="24"/>
          <w:szCs w:val="24"/>
        </w:rPr>
        <w:t xml:space="preserve"> </w:t>
      </w:r>
      <w:r>
        <w:rPr>
          <w:rFonts w:ascii="Arial" w:hAnsi="Arial" w:cs="Arial"/>
          <w:sz w:val="24"/>
          <w:szCs w:val="24"/>
        </w:rPr>
        <w:t xml:space="preserve">adjudicó la licitación de referencia a </w:t>
      </w:r>
      <w:proofErr w:type="spellStart"/>
      <w:r>
        <w:rPr>
          <w:rFonts w:ascii="Arial" w:hAnsi="Arial" w:cs="Arial"/>
          <w:sz w:val="24"/>
          <w:szCs w:val="24"/>
        </w:rPr>
        <w:t>Yolby</w:t>
      </w:r>
      <w:proofErr w:type="spellEnd"/>
      <w:r>
        <w:rPr>
          <w:rFonts w:ascii="Arial" w:hAnsi="Arial" w:cs="Arial"/>
          <w:sz w:val="24"/>
          <w:szCs w:val="24"/>
        </w:rPr>
        <w:t xml:space="preserve"> S.A, </w:t>
      </w:r>
      <w:r w:rsidR="00BC47EB">
        <w:rPr>
          <w:rFonts w:ascii="Arial" w:hAnsi="Arial" w:cs="Arial"/>
          <w:sz w:val="24"/>
          <w:szCs w:val="24"/>
        </w:rPr>
        <w:t xml:space="preserve"> </w:t>
      </w:r>
      <w:r>
        <w:rPr>
          <w:rFonts w:ascii="Arial" w:hAnsi="Arial" w:cs="Arial"/>
          <w:sz w:val="24"/>
          <w:szCs w:val="24"/>
        </w:rPr>
        <w:t>por un monto total de hasta $ 7: 099.230 IVA incluido; $ 1:536.904 con cargo al Grup</w:t>
      </w:r>
      <w:r w:rsidR="00BC47EB">
        <w:rPr>
          <w:rFonts w:ascii="Arial" w:hAnsi="Arial" w:cs="Arial"/>
          <w:sz w:val="24"/>
          <w:szCs w:val="24"/>
        </w:rPr>
        <w:t>o 2, Programa 601, Proyecto 201;</w:t>
      </w:r>
      <w:r>
        <w:rPr>
          <w:rFonts w:ascii="Arial" w:hAnsi="Arial" w:cs="Arial"/>
          <w:sz w:val="24"/>
          <w:szCs w:val="24"/>
        </w:rPr>
        <w:t xml:space="preserve"> $ 4:410.050, con cargo al Grup</w:t>
      </w:r>
      <w:r w:rsidR="00BC47EB">
        <w:rPr>
          <w:rFonts w:ascii="Arial" w:hAnsi="Arial" w:cs="Arial"/>
          <w:sz w:val="24"/>
          <w:szCs w:val="24"/>
        </w:rPr>
        <w:t>o 2, Programa 607, Proyecto 212;</w:t>
      </w:r>
      <w:r>
        <w:rPr>
          <w:rFonts w:ascii="Arial" w:hAnsi="Arial" w:cs="Arial"/>
          <w:sz w:val="24"/>
          <w:szCs w:val="24"/>
        </w:rPr>
        <w:t xml:space="preserve"> $ 1:152.276, con cargo al Grupo 2, Programa 607, Proyecto 213, previa intervención de este Tribunal conforme al detalle a continuación, autorizando a la división Financiero Contable a realizar los pagos correspondientes:</w:t>
      </w:r>
    </w:p>
    <w:tbl>
      <w:tblPr>
        <w:tblStyle w:val="Tablaconcuadrcula"/>
        <w:tblW w:w="0" w:type="auto"/>
        <w:tblLook w:val="04A0" w:firstRow="1" w:lastRow="0" w:firstColumn="1" w:lastColumn="0" w:noHBand="0" w:noVBand="1"/>
      </w:tblPr>
      <w:tblGrid>
        <w:gridCol w:w="2518"/>
        <w:gridCol w:w="2977"/>
        <w:gridCol w:w="3164"/>
      </w:tblGrid>
      <w:tr w:rsidR="00C12D9B" w:rsidTr="008138EF">
        <w:trPr>
          <w:trHeight w:val="474"/>
        </w:trPr>
        <w:tc>
          <w:tcPr>
            <w:tcW w:w="8659" w:type="dxa"/>
            <w:gridSpan w:val="3"/>
            <w:vAlign w:val="center"/>
          </w:tcPr>
          <w:p w:rsidR="00C12D9B" w:rsidRPr="00672B3F" w:rsidRDefault="00C12D9B" w:rsidP="008738CB">
            <w:pPr>
              <w:jc w:val="center"/>
              <w:rPr>
                <w:rFonts w:ascii="Arial" w:hAnsi="Arial" w:cs="Arial"/>
                <w:b/>
                <w:sz w:val="20"/>
                <w:szCs w:val="20"/>
              </w:rPr>
            </w:pPr>
            <w:r w:rsidRPr="00672B3F">
              <w:rPr>
                <w:rFonts w:ascii="Arial" w:hAnsi="Arial" w:cs="Arial"/>
                <w:b/>
                <w:sz w:val="20"/>
                <w:szCs w:val="20"/>
              </w:rPr>
              <w:t>YOLBY S.A</w:t>
            </w:r>
          </w:p>
        </w:tc>
      </w:tr>
      <w:tr w:rsidR="00C12D9B" w:rsidTr="008138EF">
        <w:trPr>
          <w:trHeight w:val="474"/>
        </w:trPr>
        <w:tc>
          <w:tcPr>
            <w:tcW w:w="2518" w:type="dxa"/>
            <w:vAlign w:val="center"/>
          </w:tcPr>
          <w:p w:rsidR="00C12D9B" w:rsidRPr="00672B3F" w:rsidRDefault="00C12D9B" w:rsidP="008738CB">
            <w:pPr>
              <w:jc w:val="center"/>
              <w:rPr>
                <w:rFonts w:ascii="Arial" w:hAnsi="Arial" w:cs="Arial"/>
                <w:b/>
                <w:sz w:val="20"/>
                <w:szCs w:val="20"/>
              </w:rPr>
            </w:pPr>
          </w:p>
        </w:tc>
        <w:tc>
          <w:tcPr>
            <w:tcW w:w="2977" w:type="dxa"/>
            <w:vAlign w:val="center"/>
          </w:tcPr>
          <w:p w:rsidR="00C12D9B" w:rsidRDefault="00C12D9B" w:rsidP="008738CB">
            <w:pPr>
              <w:jc w:val="center"/>
              <w:rPr>
                <w:rFonts w:ascii="Arial" w:hAnsi="Arial" w:cs="Arial"/>
                <w:b/>
                <w:sz w:val="20"/>
                <w:szCs w:val="20"/>
              </w:rPr>
            </w:pPr>
            <w:r>
              <w:rPr>
                <w:rFonts w:ascii="Arial" w:hAnsi="Arial" w:cs="Arial"/>
                <w:b/>
                <w:sz w:val="20"/>
                <w:szCs w:val="20"/>
              </w:rPr>
              <w:t>Precio sin impuestos / hora</w:t>
            </w:r>
          </w:p>
          <w:p w:rsidR="00C12D9B" w:rsidRPr="00672B3F" w:rsidRDefault="00C12D9B" w:rsidP="008738CB">
            <w:pPr>
              <w:jc w:val="center"/>
              <w:rPr>
                <w:rFonts w:ascii="Arial" w:hAnsi="Arial" w:cs="Arial"/>
                <w:b/>
                <w:sz w:val="20"/>
                <w:szCs w:val="20"/>
              </w:rPr>
            </w:pPr>
            <w:r>
              <w:rPr>
                <w:rFonts w:ascii="Arial" w:hAnsi="Arial" w:cs="Arial"/>
                <w:b/>
                <w:sz w:val="20"/>
                <w:szCs w:val="20"/>
              </w:rPr>
              <w:t>($)</w:t>
            </w:r>
          </w:p>
        </w:tc>
        <w:tc>
          <w:tcPr>
            <w:tcW w:w="3164" w:type="dxa"/>
            <w:vAlign w:val="center"/>
          </w:tcPr>
          <w:p w:rsidR="00C12D9B" w:rsidRDefault="00C12D9B" w:rsidP="008738CB">
            <w:pPr>
              <w:jc w:val="center"/>
              <w:rPr>
                <w:rFonts w:ascii="Arial" w:hAnsi="Arial" w:cs="Arial"/>
                <w:b/>
                <w:sz w:val="20"/>
                <w:szCs w:val="20"/>
              </w:rPr>
            </w:pPr>
            <w:r>
              <w:rPr>
                <w:rFonts w:ascii="Arial" w:hAnsi="Arial" w:cs="Arial"/>
                <w:b/>
                <w:sz w:val="20"/>
                <w:szCs w:val="20"/>
              </w:rPr>
              <w:t>Precio con impuestos / hora</w:t>
            </w:r>
          </w:p>
          <w:p w:rsidR="00C12D9B" w:rsidRPr="00672B3F" w:rsidRDefault="00C12D9B" w:rsidP="008738CB">
            <w:pPr>
              <w:jc w:val="center"/>
              <w:rPr>
                <w:rFonts w:ascii="Arial" w:hAnsi="Arial" w:cs="Arial"/>
                <w:b/>
                <w:sz w:val="20"/>
                <w:szCs w:val="20"/>
              </w:rPr>
            </w:pPr>
            <w:r>
              <w:rPr>
                <w:rFonts w:ascii="Arial" w:hAnsi="Arial" w:cs="Arial"/>
                <w:b/>
                <w:sz w:val="20"/>
                <w:szCs w:val="20"/>
              </w:rPr>
              <w:t>($)</w:t>
            </w:r>
          </w:p>
        </w:tc>
      </w:tr>
      <w:tr w:rsidR="00C12D9B" w:rsidTr="008138EF">
        <w:trPr>
          <w:trHeight w:val="491"/>
        </w:trPr>
        <w:tc>
          <w:tcPr>
            <w:tcW w:w="2518" w:type="dxa"/>
            <w:vAlign w:val="center"/>
          </w:tcPr>
          <w:p w:rsidR="00C12D9B" w:rsidRPr="00672B3F" w:rsidRDefault="00C12D9B" w:rsidP="008738CB">
            <w:pPr>
              <w:jc w:val="center"/>
              <w:rPr>
                <w:rFonts w:ascii="Arial" w:hAnsi="Arial" w:cs="Arial"/>
                <w:b/>
                <w:sz w:val="20"/>
                <w:szCs w:val="20"/>
              </w:rPr>
            </w:pPr>
            <w:r>
              <w:rPr>
                <w:rFonts w:ascii="Arial" w:hAnsi="Arial" w:cs="Arial"/>
                <w:b/>
                <w:sz w:val="20"/>
                <w:szCs w:val="20"/>
              </w:rPr>
              <w:t>Ítem I: limpiador</w:t>
            </w:r>
          </w:p>
        </w:tc>
        <w:tc>
          <w:tcPr>
            <w:tcW w:w="2977" w:type="dxa"/>
            <w:vAlign w:val="center"/>
          </w:tcPr>
          <w:p w:rsidR="00C12D9B" w:rsidRPr="004359F1" w:rsidRDefault="00C12D9B" w:rsidP="008738CB">
            <w:pPr>
              <w:jc w:val="center"/>
              <w:rPr>
                <w:rFonts w:ascii="Arial" w:hAnsi="Arial" w:cs="Arial"/>
                <w:sz w:val="20"/>
                <w:szCs w:val="20"/>
              </w:rPr>
            </w:pPr>
            <w:r>
              <w:rPr>
                <w:rFonts w:ascii="Arial" w:hAnsi="Arial" w:cs="Arial"/>
                <w:sz w:val="20"/>
                <w:szCs w:val="20"/>
              </w:rPr>
              <w:t>141</w:t>
            </w:r>
          </w:p>
        </w:tc>
        <w:tc>
          <w:tcPr>
            <w:tcW w:w="3164" w:type="dxa"/>
            <w:vAlign w:val="center"/>
          </w:tcPr>
          <w:p w:rsidR="00C12D9B" w:rsidRPr="004359F1" w:rsidRDefault="00C12D9B" w:rsidP="008738CB">
            <w:pPr>
              <w:jc w:val="center"/>
              <w:rPr>
                <w:rFonts w:ascii="Arial" w:hAnsi="Arial" w:cs="Arial"/>
                <w:sz w:val="20"/>
                <w:szCs w:val="20"/>
              </w:rPr>
            </w:pPr>
            <w:r>
              <w:rPr>
                <w:rFonts w:ascii="Arial" w:hAnsi="Arial" w:cs="Arial"/>
                <w:sz w:val="20"/>
                <w:szCs w:val="20"/>
              </w:rPr>
              <w:t>172</w:t>
            </w:r>
          </w:p>
        </w:tc>
      </w:tr>
      <w:tr w:rsidR="00C12D9B" w:rsidTr="008138EF">
        <w:trPr>
          <w:trHeight w:val="474"/>
        </w:trPr>
        <w:tc>
          <w:tcPr>
            <w:tcW w:w="2518" w:type="dxa"/>
            <w:vAlign w:val="center"/>
          </w:tcPr>
          <w:p w:rsidR="00C12D9B" w:rsidRPr="00672B3F" w:rsidRDefault="00C12D9B" w:rsidP="008738CB">
            <w:pPr>
              <w:jc w:val="center"/>
              <w:rPr>
                <w:rFonts w:ascii="Arial" w:hAnsi="Arial" w:cs="Arial"/>
                <w:b/>
                <w:sz w:val="20"/>
                <w:szCs w:val="20"/>
              </w:rPr>
            </w:pPr>
            <w:r>
              <w:rPr>
                <w:rFonts w:ascii="Arial" w:hAnsi="Arial" w:cs="Arial"/>
                <w:b/>
                <w:sz w:val="20"/>
                <w:szCs w:val="20"/>
              </w:rPr>
              <w:t>Ítem II: limpiavidrios</w:t>
            </w:r>
          </w:p>
        </w:tc>
        <w:tc>
          <w:tcPr>
            <w:tcW w:w="2977" w:type="dxa"/>
            <w:vAlign w:val="center"/>
          </w:tcPr>
          <w:p w:rsidR="00C12D9B" w:rsidRPr="004359F1" w:rsidRDefault="00C12D9B" w:rsidP="008738CB">
            <w:pPr>
              <w:jc w:val="center"/>
              <w:rPr>
                <w:rFonts w:ascii="Arial" w:hAnsi="Arial" w:cs="Arial"/>
                <w:sz w:val="20"/>
                <w:szCs w:val="20"/>
              </w:rPr>
            </w:pPr>
            <w:r>
              <w:rPr>
                <w:rFonts w:ascii="Arial" w:hAnsi="Arial" w:cs="Arial"/>
                <w:sz w:val="20"/>
                <w:szCs w:val="20"/>
              </w:rPr>
              <w:t>161</w:t>
            </w:r>
          </w:p>
        </w:tc>
        <w:tc>
          <w:tcPr>
            <w:tcW w:w="3164" w:type="dxa"/>
            <w:vAlign w:val="center"/>
          </w:tcPr>
          <w:p w:rsidR="00C12D9B" w:rsidRPr="004359F1" w:rsidRDefault="00C12D9B" w:rsidP="008738CB">
            <w:pPr>
              <w:jc w:val="center"/>
              <w:rPr>
                <w:rFonts w:ascii="Arial" w:hAnsi="Arial" w:cs="Arial"/>
                <w:sz w:val="20"/>
                <w:szCs w:val="20"/>
              </w:rPr>
            </w:pPr>
            <w:r>
              <w:rPr>
                <w:rFonts w:ascii="Arial" w:hAnsi="Arial" w:cs="Arial"/>
                <w:sz w:val="20"/>
                <w:szCs w:val="20"/>
              </w:rPr>
              <w:t>196</w:t>
            </w:r>
          </w:p>
        </w:tc>
      </w:tr>
      <w:tr w:rsidR="00C12D9B" w:rsidTr="008138EF">
        <w:trPr>
          <w:trHeight w:val="491"/>
        </w:trPr>
        <w:tc>
          <w:tcPr>
            <w:tcW w:w="2518" w:type="dxa"/>
            <w:vAlign w:val="center"/>
          </w:tcPr>
          <w:p w:rsidR="00C12D9B" w:rsidRPr="00672B3F" w:rsidRDefault="00C12D9B" w:rsidP="008738CB">
            <w:pPr>
              <w:jc w:val="center"/>
              <w:rPr>
                <w:rFonts w:ascii="Arial" w:hAnsi="Arial" w:cs="Arial"/>
                <w:b/>
                <w:sz w:val="20"/>
                <w:szCs w:val="20"/>
              </w:rPr>
            </w:pPr>
            <w:r>
              <w:rPr>
                <w:rFonts w:ascii="Arial" w:hAnsi="Arial" w:cs="Arial"/>
                <w:b/>
                <w:sz w:val="20"/>
                <w:szCs w:val="20"/>
              </w:rPr>
              <w:t>Ítem III: limpiador encargado</w:t>
            </w:r>
          </w:p>
        </w:tc>
        <w:tc>
          <w:tcPr>
            <w:tcW w:w="2977" w:type="dxa"/>
            <w:vAlign w:val="center"/>
          </w:tcPr>
          <w:p w:rsidR="00C12D9B" w:rsidRPr="004359F1" w:rsidRDefault="00C12D9B" w:rsidP="008738CB">
            <w:pPr>
              <w:jc w:val="center"/>
              <w:rPr>
                <w:rFonts w:ascii="Arial" w:hAnsi="Arial" w:cs="Arial"/>
                <w:sz w:val="20"/>
                <w:szCs w:val="20"/>
              </w:rPr>
            </w:pPr>
            <w:r>
              <w:rPr>
                <w:rFonts w:ascii="Arial" w:hAnsi="Arial" w:cs="Arial"/>
                <w:sz w:val="20"/>
                <w:szCs w:val="20"/>
              </w:rPr>
              <w:t>151</w:t>
            </w:r>
          </w:p>
        </w:tc>
        <w:tc>
          <w:tcPr>
            <w:tcW w:w="3164" w:type="dxa"/>
            <w:vAlign w:val="center"/>
          </w:tcPr>
          <w:p w:rsidR="00C12D9B" w:rsidRPr="004359F1" w:rsidRDefault="00C12D9B" w:rsidP="008738CB">
            <w:pPr>
              <w:jc w:val="center"/>
              <w:rPr>
                <w:rFonts w:ascii="Arial" w:hAnsi="Arial" w:cs="Arial"/>
                <w:sz w:val="20"/>
                <w:szCs w:val="20"/>
              </w:rPr>
            </w:pPr>
            <w:r>
              <w:rPr>
                <w:rFonts w:ascii="Arial" w:hAnsi="Arial" w:cs="Arial"/>
                <w:sz w:val="20"/>
                <w:szCs w:val="20"/>
              </w:rPr>
              <w:t>184</w:t>
            </w:r>
          </w:p>
        </w:tc>
      </w:tr>
    </w:tbl>
    <w:p w:rsidR="00C12D9B" w:rsidRPr="00642EC3" w:rsidRDefault="00C12D9B" w:rsidP="008738CB">
      <w:pPr>
        <w:spacing w:after="0" w:line="240" w:lineRule="auto"/>
        <w:jc w:val="both"/>
        <w:rPr>
          <w:rFonts w:ascii="Arial" w:hAnsi="Arial" w:cs="Arial"/>
          <w:b/>
          <w:sz w:val="24"/>
          <w:szCs w:val="24"/>
        </w:rPr>
      </w:pPr>
      <w:r>
        <w:rPr>
          <w:rFonts w:ascii="Arial" w:hAnsi="Arial" w:cs="Arial"/>
          <w:b/>
          <w:sz w:val="24"/>
          <w:szCs w:val="24"/>
        </w:rPr>
        <w:tab/>
      </w:r>
    </w:p>
    <w:p w:rsidR="000C003F" w:rsidRDefault="00C12D9B" w:rsidP="000C003F">
      <w:pPr>
        <w:spacing w:after="0" w:line="360" w:lineRule="auto"/>
        <w:ind w:firstLine="709"/>
        <w:jc w:val="both"/>
        <w:rPr>
          <w:rFonts w:ascii="Arial" w:hAnsi="Arial" w:cs="Arial"/>
          <w:sz w:val="24"/>
          <w:szCs w:val="24"/>
        </w:rPr>
      </w:pPr>
      <w:r w:rsidRPr="00642EC3">
        <w:rPr>
          <w:rFonts w:ascii="Arial" w:hAnsi="Arial" w:cs="Arial"/>
          <w:b/>
          <w:sz w:val="24"/>
          <w:szCs w:val="24"/>
        </w:rPr>
        <w:t>CONSIDERANDO:</w:t>
      </w:r>
      <w:r>
        <w:rPr>
          <w:rFonts w:ascii="Arial" w:hAnsi="Arial" w:cs="Arial"/>
          <w:b/>
          <w:sz w:val="24"/>
          <w:szCs w:val="24"/>
        </w:rPr>
        <w:tab/>
        <w:t xml:space="preserve">1) </w:t>
      </w:r>
      <w:r w:rsidR="00C26A16">
        <w:rPr>
          <w:rFonts w:ascii="Arial" w:hAnsi="Arial" w:cs="Arial"/>
          <w:sz w:val="24"/>
          <w:szCs w:val="24"/>
        </w:rPr>
        <w:t>que el A</w:t>
      </w:r>
      <w:r w:rsidRPr="00797FD6">
        <w:rPr>
          <w:rFonts w:ascii="Arial" w:hAnsi="Arial" w:cs="Arial"/>
          <w:sz w:val="24"/>
          <w:szCs w:val="24"/>
        </w:rPr>
        <w:t>rtículo 7</w:t>
      </w:r>
      <w:r>
        <w:rPr>
          <w:rFonts w:ascii="Arial" w:hAnsi="Arial" w:cs="Arial"/>
          <w:sz w:val="24"/>
          <w:szCs w:val="24"/>
        </w:rPr>
        <w:t>.1</w:t>
      </w:r>
      <w:r w:rsidRPr="00797FD6">
        <w:rPr>
          <w:rFonts w:ascii="Arial" w:hAnsi="Arial" w:cs="Arial"/>
          <w:sz w:val="24"/>
          <w:szCs w:val="24"/>
        </w:rPr>
        <w:t xml:space="preserve"> del Pliego de Condiciones Particulares establece que las ofertas deberán cotizar por hora de servicio pa</w:t>
      </w:r>
      <w:r>
        <w:rPr>
          <w:rFonts w:ascii="Arial" w:hAnsi="Arial" w:cs="Arial"/>
          <w:sz w:val="24"/>
          <w:szCs w:val="24"/>
        </w:rPr>
        <w:t xml:space="preserve">ra cada una de las categorías y el </w:t>
      </w:r>
      <w:r w:rsidR="00C26A16">
        <w:rPr>
          <w:rFonts w:ascii="Arial" w:hAnsi="Arial" w:cs="Arial"/>
          <w:sz w:val="24"/>
          <w:szCs w:val="24"/>
        </w:rPr>
        <w:t>A</w:t>
      </w:r>
      <w:r>
        <w:rPr>
          <w:rFonts w:ascii="Arial" w:hAnsi="Arial" w:cs="Arial"/>
          <w:sz w:val="24"/>
          <w:szCs w:val="24"/>
        </w:rPr>
        <w:t xml:space="preserve">rtículo </w:t>
      </w:r>
      <w:r w:rsidRPr="00797FD6">
        <w:rPr>
          <w:rFonts w:ascii="Arial" w:hAnsi="Arial" w:cs="Arial"/>
          <w:sz w:val="24"/>
          <w:szCs w:val="24"/>
        </w:rPr>
        <w:t>22</w:t>
      </w:r>
      <w:r>
        <w:rPr>
          <w:rFonts w:ascii="Arial" w:hAnsi="Arial" w:cs="Arial"/>
          <w:sz w:val="24"/>
          <w:szCs w:val="24"/>
        </w:rPr>
        <w:t>.1</w:t>
      </w:r>
      <w:r w:rsidRPr="00797FD6">
        <w:rPr>
          <w:rFonts w:ascii="Arial" w:hAnsi="Arial" w:cs="Arial"/>
          <w:sz w:val="24"/>
          <w:szCs w:val="24"/>
        </w:rPr>
        <w:t xml:space="preserve"> prevé que la</w:t>
      </w:r>
      <w:r w:rsidRPr="00797FD6">
        <w:rPr>
          <w:rFonts w:ascii="Arial" w:hAnsi="Arial" w:cs="Arial"/>
          <w:b/>
          <w:sz w:val="24"/>
          <w:szCs w:val="24"/>
        </w:rPr>
        <w:t xml:space="preserve"> </w:t>
      </w:r>
      <w:r w:rsidRPr="00797FD6">
        <w:rPr>
          <w:rFonts w:ascii="Arial" w:hAnsi="Arial" w:cs="Arial"/>
          <w:sz w:val="24"/>
          <w:szCs w:val="24"/>
        </w:rPr>
        <w:t xml:space="preserve">adjudicación se realizará por </w:t>
      </w:r>
      <w:r>
        <w:rPr>
          <w:rFonts w:ascii="Arial" w:hAnsi="Arial" w:cs="Arial"/>
          <w:sz w:val="24"/>
          <w:szCs w:val="24"/>
        </w:rPr>
        <w:t xml:space="preserve">el total del objeto, por lo que la oferta presentada por </w:t>
      </w:r>
      <w:proofErr w:type="spellStart"/>
      <w:r>
        <w:rPr>
          <w:rFonts w:ascii="Arial" w:hAnsi="Arial" w:cs="Arial"/>
          <w:sz w:val="24"/>
          <w:szCs w:val="24"/>
        </w:rPr>
        <w:t>Direnna</w:t>
      </w:r>
      <w:proofErr w:type="spellEnd"/>
      <w:r>
        <w:rPr>
          <w:rFonts w:ascii="Arial" w:hAnsi="Arial" w:cs="Arial"/>
          <w:sz w:val="24"/>
          <w:szCs w:val="24"/>
        </w:rPr>
        <w:t xml:space="preserve"> Cardozo</w:t>
      </w:r>
      <w:r w:rsidR="00C26A16">
        <w:rPr>
          <w:rFonts w:ascii="Arial" w:hAnsi="Arial" w:cs="Arial"/>
          <w:sz w:val="24"/>
          <w:szCs w:val="24"/>
        </w:rPr>
        <w:t>,</w:t>
      </w:r>
      <w:r>
        <w:rPr>
          <w:rFonts w:ascii="Arial" w:hAnsi="Arial" w:cs="Arial"/>
          <w:sz w:val="24"/>
          <w:szCs w:val="24"/>
        </w:rPr>
        <w:t xml:space="preserve"> Diego Emiliano, que sólo cotizó un ítem, no debió ser estudiada, por no ofertar la totalidad del objeto licitado;</w:t>
      </w:r>
    </w:p>
    <w:p w:rsidR="00C26A16" w:rsidRDefault="00C12D9B" w:rsidP="000C003F">
      <w:pPr>
        <w:spacing w:after="0" w:line="360" w:lineRule="auto"/>
        <w:ind w:firstLine="2835"/>
        <w:jc w:val="both"/>
        <w:rPr>
          <w:rFonts w:ascii="Arial" w:hAnsi="Arial" w:cs="Arial"/>
          <w:sz w:val="24"/>
          <w:szCs w:val="24"/>
        </w:rPr>
      </w:pPr>
      <w:r>
        <w:rPr>
          <w:rFonts w:ascii="Arial" w:hAnsi="Arial" w:cs="Arial"/>
          <w:b/>
          <w:sz w:val="24"/>
          <w:szCs w:val="24"/>
        </w:rPr>
        <w:lastRenderedPageBreak/>
        <w:t xml:space="preserve">2) </w:t>
      </w:r>
      <w:r>
        <w:rPr>
          <w:rFonts w:ascii="Arial" w:hAnsi="Arial" w:cs="Arial"/>
          <w:sz w:val="24"/>
          <w:szCs w:val="24"/>
        </w:rPr>
        <w:t xml:space="preserve">que </w:t>
      </w:r>
      <w:r w:rsidRPr="00A70BB1">
        <w:rPr>
          <w:rFonts w:ascii="Arial" w:hAnsi="Arial" w:cs="Arial"/>
          <w:sz w:val="24"/>
          <w:szCs w:val="24"/>
        </w:rPr>
        <w:t xml:space="preserve">en contravención de lo dispuesto en el </w:t>
      </w:r>
      <w:r w:rsidR="00C26A16">
        <w:rPr>
          <w:rFonts w:ascii="Arial" w:hAnsi="Arial" w:cs="Arial"/>
          <w:sz w:val="24"/>
          <w:szCs w:val="24"/>
        </w:rPr>
        <w:t>Artículo 65 L</w:t>
      </w:r>
      <w:r w:rsidRPr="00A70BB1">
        <w:rPr>
          <w:rFonts w:ascii="Arial" w:hAnsi="Arial" w:cs="Arial"/>
          <w:sz w:val="24"/>
          <w:szCs w:val="24"/>
        </w:rPr>
        <w:t>iteral C) del TOCAF, que establece el deber de juzgar los antecedentes de los oferentes y el contenido de las ofertas en base a criterios objetivos, el</w:t>
      </w:r>
      <w:r w:rsidR="00C26A16">
        <w:rPr>
          <w:rFonts w:ascii="Arial" w:hAnsi="Arial" w:cs="Arial"/>
          <w:sz w:val="24"/>
          <w:szCs w:val="24"/>
        </w:rPr>
        <w:t xml:space="preserve"> A</w:t>
      </w:r>
      <w:r>
        <w:rPr>
          <w:rFonts w:ascii="Arial" w:hAnsi="Arial" w:cs="Arial"/>
          <w:sz w:val="24"/>
          <w:szCs w:val="24"/>
        </w:rPr>
        <w:t>rtículo 16.4 del</w:t>
      </w:r>
      <w:r w:rsidRPr="00A70BB1">
        <w:rPr>
          <w:rFonts w:ascii="Arial" w:hAnsi="Arial" w:cs="Arial"/>
          <w:sz w:val="24"/>
          <w:szCs w:val="24"/>
        </w:rPr>
        <w:t xml:space="preserve"> Pliego de Condiciones Particulares </w:t>
      </w:r>
      <w:r>
        <w:rPr>
          <w:rFonts w:ascii="Arial" w:hAnsi="Arial" w:cs="Arial"/>
          <w:sz w:val="24"/>
          <w:szCs w:val="24"/>
        </w:rPr>
        <w:t xml:space="preserve">dispone que el </w:t>
      </w:r>
      <w:r w:rsidRPr="002D3F25">
        <w:rPr>
          <w:rFonts w:ascii="Arial" w:hAnsi="Arial" w:cs="Arial"/>
          <w:sz w:val="24"/>
          <w:szCs w:val="24"/>
        </w:rPr>
        <w:t>Consejo de Formación en Educación se reserva el derecho de rechazar una propuesta en casos de falta de información suficiente</w:t>
      </w:r>
      <w:r w:rsidRPr="00C81C6C">
        <w:rPr>
          <w:rFonts w:ascii="Arial" w:hAnsi="Arial" w:cs="Arial"/>
          <w:sz w:val="24"/>
          <w:szCs w:val="24"/>
        </w:rPr>
        <w:t xml:space="preserve"> </w:t>
      </w:r>
      <w:r w:rsidR="00C26A16">
        <w:rPr>
          <w:rFonts w:ascii="Arial" w:hAnsi="Arial" w:cs="Arial"/>
          <w:sz w:val="24"/>
          <w:szCs w:val="24"/>
        </w:rPr>
        <w:t>y el A</w:t>
      </w:r>
      <w:r>
        <w:rPr>
          <w:rFonts w:ascii="Arial" w:hAnsi="Arial" w:cs="Arial"/>
          <w:sz w:val="24"/>
          <w:szCs w:val="24"/>
        </w:rPr>
        <w:t>rtículo 22.2, establece la facultad de rechazar la totalidad de las ofertas a su exclusivo juicio</w:t>
      </w:r>
      <w:r w:rsidRPr="002D3F25">
        <w:rPr>
          <w:rFonts w:ascii="Arial" w:hAnsi="Arial" w:cs="Arial"/>
          <w:sz w:val="24"/>
          <w:szCs w:val="24"/>
        </w:rPr>
        <w:t>, siendo</w:t>
      </w:r>
      <w:r>
        <w:rPr>
          <w:rFonts w:ascii="Arial" w:hAnsi="Arial" w:cs="Arial"/>
          <w:sz w:val="24"/>
          <w:szCs w:val="24"/>
        </w:rPr>
        <w:t xml:space="preserve"> que corresponde a la Administración, al momento de confeccionar las bases del llamado, determinar de manera objetiva cuáles son los requerimientos exigidos en el procedimiento, no pudiendo rechazar propuestas en base al criterio indeterminado de “falta de información suficiente” y/o “a su exclusivo juicio”; </w:t>
      </w:r>
      <w:r>
        <w:rPr>
          <w:rFonts w:ascii="Arial" w:hAnsi="Arial" w:cs="Arial"/>
          <w:sz w:val="24"/>
          <w:szCs w:val="24"/>
        </w:rPr>
        <w:tab/>
      </w:r>
      <w:r>
        <w:rPr>
          <w:rFonts w:ascii="Arial" w:hAnsi="Arial" w:cs="Arial"/>
          <w:sz w:val="24"/>
          <w:szCs w:val="24"/>
        </w:rPr>
        <w:tab/>
      </w:r>
      <w:r>
        <w:rPr>
          <w:rFonts w:ascii="Arial" w:hAnsi="Arial" w:cs="Arial"/>
          <w:sz w:val="24"/>
          <w:szCs w:val="24"/>
        </w:rPr>
        <w:tab/>
      </w:r>
    </w:p>
    <w:p w:rsidR="00C26A16" w:rsidRDefault="00C12D9B" w:rsidP="00C26A16">
      <w:pPr>
        <w:spacing w:after="0" w:line="360" w:lineRule="auto"/>
        <w:ind w:firstLine="2835"/>
        <w:jc w:val="both"/>
        <w:rPr>
          <w:rFonts w:ascii="Arial" w:hAnsi="Arial" w:cs="Arial"/>
          <w:sz w:val="24"/>
          <w:szCs w:val="24"/>
        </w:rPr>
      </w:pPr>
      <w:r>
        <w:rPr>
          <w:rFonts w:ascii="Arial" w:hAnsi="Arial" w:cs="Arial"/>
          <w:b/>
          <w:sz w:val="24"/>
          <w:szCs w:val="24"/>
        </w:rPr>
        <w:t>3</w:t>
      </w:r>
      <w:r w:rsidRPr="002D3F25">
        <w:rPr>
          <w:rFonts w:ascii="Arial" w:hAnsi="Arial" w:cs="Arial"/>
          <w:b/>
          <w:sz w:val="24"/>
          <w:szCs w:val="24"/>
        </w:rPr>
        <w:t>)</w:t>
      </w:r>
      <w:r>
        <w:rPr>
          <w:rFonts w:ascii="Arial" w:hAnsi="Arial" w:cs="Arial"/>
          <w:sz w:val="24"/>
          <w:szCs w:val="24"/>
        </w:rPr>
        <w:t xml:space="preserve"> </w:t>
      </w:r>
      <w:r w:rsidRPr="00C81C6C">
        <w:rPr>
          <w:rFonts w:ascii="Arial" w:hAnsi="Arial" w:cs="Arial"/>
          <w:sz w:val="24"/>
          <w:szCs w:val="24"/>
        </w:rPr>
        <w:t>que asimismo,</w:t>
      </w:r>
      <w:r>
        <w:rPr>
          <w:rFonts w:ascii="Arial" w:hAnsi="Arial" w:cs="Arial"/>
          <w:sz w:val="24"/>
          <w:szCs w:val="24"/>
        </w:rPr>
        <w:t xml:space="preserve"> </w:t>
      </w:r>
      <w:r w:rsidR="00E51FE7">
        <w:rPr>
          <w:rFonts w:ascii="Arial" w:hAnsi="Arial" w:cs="Arial"/>
          <w:sz w:val="24"/>
          <w:szCs w:val="24"/>
        </w:rPr>
        <w:t xml:space="preserve">la Administración debe proceder al rechazo de las ofertas </w:t>
      </w:r>
      <w:r>
        <w:rPr>
          <w:rFonts w:ascii="Arial" w:hAnsi="Arial" w:cs="Arial"/>
          <w:sz w:val="24"/>
          <w:szCs w:val="24"/>
        </w:rPr>
        <w:t xml:space="preserve">en las situaciones de </w:t>
      </w:r>
      <w:r w:rsidRPr="00C81C6C">
        <w:rPr>
          <w:rFonts w:ascii="Arial" w:hAnsi="Arial" w:cs="Arial"/>
          <w:sz w:val="24"/>
          <w:szCs w:val="24"/>
        </w:rPr>
        <w:t xml:space="preserve">concusión, cohecho, soborno, fraude, abuso de funciones, tráfico de influencias, tratar de influir en los funcionarios intervinientes en el proceso de licitación para obtener una decisión favorable, </w:t>
      </w:r>
      <w:r>
        <w:rPr>
          <w:rFonts w:ascii="Arial" w:hAnsi="Arial" w:cs="Arial"/>
          <w:sz w:val="24"/>
          <w:szCs w:val="24"/>
        </w:rPr>
        <w:t>establecidas</w:t>
      </w:r>
      <w:r w:rsidRPr="00C81C6C">
        <w:rPr>
          <w:rFonts w:ascii="Arial" w:hAnsi="Arial" w:cs="Arial"/>
          <w:sz w:val="24"/>
          <w:szCs w:val="24"/>
        </w:rPr>
        <w:t xml:space="preserve"> en el </w:t>
      </w:r>
      <w:r w:rsidR="00C26A16">
        <w:rPr>
          <w:rFonts w:ascii="Arial" w:hAnsi="Arial" w:cs="Arial"/>
          <w:sz w:val="24"/>
          <w:szCs w:val="24"/>
        </w:rPr>
        <w:t>A</w:t>
      </w:r>
      <w:r w:rsidRPr="00C81C6C">
        <w:rPr>
          <w:rFonts w:ascii="Arial" w:hAnsi="Arial" w:cs="Arial"/>
          <w:sz w:val="24"/>
          <w:szCs w:val="24"/>
        </w:rPr>
        <w:t>rtículo 16.4 del Pliego de Condiciones Particulares</w:t>
      </w:r>
      <w:r w:rsidR="00E51FE7">
        <w:rPr>
          <w:rFonts w:ascii="Arial" w:hAnsi="Arial" w:cs="Arial"/>
          <w:sz w:val="24"/>
          <w:szCs w:val="24"/>
        </w:rPr>
        <w:t>, con</w:t>
      </w:r>
      <w:r>
        <w:rPr>
          <w:rFonts w:ascii="Arial" w:hAnsi="Arial" w:cs="Arial"/>
          <w:sz w:val="24"/>
          <w:szCs w:val="24"/>
        </w:rPr>
        <w:t xml:space="preserve"> las denuncias penales correspondientes, no pudi</w:t>
      </w:r>
      <w:r w:rsidR="008138EF">
        <w:rPr>
          <w:rFonts w:ascii="Arial" w:hAnsi="Arial" w:cs="Arial"/>
          <w:sz w:val="24"/>
          <w:szCs w:val="24"/>
        </w:rPr>
        <w:t>endo</w:t>
      </w:r>
      <w:r>
        <w:rPr>
          <w:rFonts w:ascii="Arial" w:hAnsi="Arial" w:cs="Arial"/>
          <w:sz w:val="24"/>
          <w:szCs w:val="24"/>
        </w:rPr>
        <w:t xml:space="preserve"> reservarse</w:t>
      </w:r>
      <w:r w:rsidR="00E51FE7">
        <w:rPr>
          <w:rFonts w:ascii="Arial" w:hAnsi="Arial" w:cs="Arial"/>
          <w:sz w:val="24"/>
          <w:szCs w:val="24"/>
        </w:rPr>
        <w:t xml:space="preserve"> la Administración</w:t>
      </w:r>
      <w:r w:rsidRPr="00C81C6C">
        <w:rPr>
          <w:rFonts w:ascii="Arial" w:hAnsi="Arial" w:cs="Arial"/>
          <w:sz w:val="24"/>
          <w:szCs w:val="24"/>
        </w:rPr>
        <w:t xml:space="preserve"> el derecho </w:t>
      </w:r>
      <w:r>
        <w:rPr>
          <w:rFonts w:ascii="Arial" w:hAnsi="Arial" w:cs="Arial"/>
          <w:sz w:val="24"/>
          <w:szCs w:val="24"/>
        </w:rPr>
        <w:t xml:space="preserve">a rechazar ofertas en las </w:t>
      </w:r>
      <w:r w:rsidR="00E51FE7">
        <w:rPr>
          <w:rFonts w:ascii="Arial" w:hAnsi="Arial" w:cs="Arial"/>
          <w:sz w:val="24"/>
          <w:szCs w:val="24"/>
        </w:rPr>
        <w:t>circunstancias</w:t>
      </w:r>
      <w:r>
        <w:rPr>
          <w:rFonts w:ascii="Arial" w:hAnsi="Arial" w:cs="Arial"/>
          <w:sz w:val="24"/>
          <w:szCs w:val="24"/>
        </w:rPr>
        <w:t xml:space="preserve"> referidas; </w:t>
      </w:r>
    </w:p>
    <w:p w:rsidR="00C26A16" w:rsidRDefault="00C12D9B" w:rsidP="00C26A16">
      <w:pPr>
        <w:spacing w:after="0" w:line="360" w:lineRule="auto"/>
        <w:ind w:firstLine="2835"/>
        <w:jc w:val="both"/>
        <w:rPr>
          <w:rFonts w:ascii="Arial" w:hAnsi="Arial" w:cs="Arial"/>
          <w:sz w:val="24"/>
          <w:szCs w:val="24"/>
        </w:rPr>
      </w:pPr>
      <w:r>
        <w:rPr>
          <w:rFonts w:ascii="Arial" w:hAnsi="Arial" w:cs="Arial"/>
          <w:b/>
          <w:sz w:val="24"/>
          <w:szCs w:val="24"/>
        </w:rPr>
        <w:t>4</w:t>
      </w:r>
      <w:r w:rsidRPr="00C81C6C">
        <w:rPr>
          <w:rFonts w:ascii="Arial" w:hAnsi="Arial" w:cs="Arial"/>
          <w:b/>
          <w:sz w:val="24"/>
          <w:szCs w:val="24"/>
        </w:rPr>
        <w:t xml:space="preserve">) </w:t>
      </w:r>
      <w:r w:rsidRPr="003F76AC">
        <w:rPr>
          <w:rFonts w:ascii="Arial" w:hAnsi="Arial" w:cs="Arial"/>
          <w:sz w:val="24"/>
          <w:szCs w:val="24"/>
        </w:rPr>
        <w:t xml:space="preserve">que </w:t>
      </w:r>
      <w:r>
        <w:rPr>
          <w:rFonts w:ascii="Arial" w:hAnsi="Arial" w:cs="Arial"/>
          <w:sz w:val="24"/>
          <w:szCs w:val="24"/>
        </w:rPr>
        <w:t xml:space="preserve">el </w:t>
      </w:r>
      <w:r w:rsidR="00C26A16">
        <w:rPr>
          <w:rFonts w:ascii="Arial" w:hAnsi="Arial" w:cs="Arial"/>
          <w:sz w:val="24"/>
          <w:szCs w:val="24"/>
        </w:rPr>
        <w:t>A</w:t>
      </w:r>
      <w:r w:rsidRPr="003F76AC">
        <w:rPr>
          <w:rFonts w:ascii="Arial" w:hAnsi="Arial" w:cs="Arial"/>
          <w:sz w:val="24"/>
          <w:szCs w:val="24"/>
        </w:rPr>
        <w:t>rtículo 23.2 del Pliego de Condiciones Particulares</w:t>
      </w:r>
      <w:r>
        <w:rPr>
          <w:rFonts w:ascii="Arial" w:hAnsi="Arial" w:cs="Arial"/>
          <w:sz w:val="24"/>
          <w:szCs w:val="24"/>
        </w:rPr>
        <w:t xml:space="preserve"> prevé el otorgamiento de u</w:t>
      </w:r>
      <w:r w:rsidRPr="003F76AC">
        <w:rPr>
          <w:rFonts w:ascii="Arial" w:hAnsi="Arial" w:cs="Arial"/>
          <w:sz w:val="24"/>
          <w:szCs w:val="24"/>
        </w:rPr>
        <w:t>n plazo de dos días hábiles</w:t>
      </w:r>
      <w:r>
        <w:rPr>
          <w:rFonts w:ascii="Arial" w:hAnsi="Arial" w:cs="Arial"/>
          <w:sz w:val="24"/>
          <w:szCs w:val="24"/>
        </w:rPr>
        <w:t>,</w:t>
      </w:r>
      <w:r w:rsidRPr="003F76AC">
        <w:rPr>
          <w:rFonts w:ascii="Arial" w:hAnsi="Arial" w:cs="Arial"/>
          <w:sz w:val="24"/>
          <w:szCs w:val="24"/>
        </w:rPr>
        <w:t xml:space="preserve"> contad</w:t>
      </w:r>
      <w:r>
        <w:rPr>
          <w:rFonts w:ascii="Arial" w:hAnsi="Arial" w:cs="Arial"/>
          <w:sz w:val="24"/>
          <w:szCs w:val="24"/>
        </w:rPr>
        <w:t xml:space="preserve">os a partir de </w:t>
      </w:r>
      <w:r w:rsidRPr="003F76AC">
        <w:rPr>
          <w:rFonts w:ascii="Arial" w:hAnsi="Arial" w:cs="Arial"/>
          <w:sz w:val="24"/>
          <w:szCs w:val="24"/>
        </w:rPr>
        <w:t>la notificación de la adjudicación</w:t>
      </w:r>
      <w:r>
        <w:rPr>
          <w:rFonts w:ascii="Arial" w:hAnsi="Arial" w:cs="Arial"/>
          <w:sz w:val="24"/>
          <w:szCs w:val="24"/>
        </w:rPr>
        <w:t xml:space="preserve">, si a ese momento el proveedor que </w:t>
      </w:r>
      <w:r w:rsidRPr="003F76AC">
        <w:rPr>
          <w:rFonts w:ascii="Arial" w:hAnsi="Arial" w:cs="Arial"/>
          <w:sz w:val="24"/>
          <w:szCs w:val="24"/>
        </w:rPr>
        <w:t xml:space="preserve">resulte adjudicatario no hubiese adquirido el estado </w:t>
      </w:r>
      <w:r w:rsidRPr="003F76AC">
        <w:rPr>
          <w:rFonts w:ascii="Arial" w:hAnsi="Arial" w:cs="Arial"/>
          <w:i/>
          <w:sz w:val="24"/>
          <w:szCs w:val="24"/>
        </w:rPr>
        <w:t>activo</w:t>
      </w:r>
      <w:r>
        <w:rPr>
          <w:rFonts w:ascii="Arial" w:hAnsi="Arial" w:cs="Arial"/>
          <w:sz w:val="24"/>
          <w:szCs w:val="24"/>
        </w:rPr>
        <w:t xml:space="preserve"> en RUPE, lo que contraviene el Pliego Único de Bases y Condiciones Generales para los Contratos de Suministros y Servic</w:t>
      </w:r>
      <w:r w:rsidR="00C26A16">
        <w:rPr>
          <w:rFonts w:ascii="Arial" w:hAnsi="Arial" w:cs="Arial"/>
          <w:sz w:val="24"/>
          <w:szCs w:val="24"/>
        </w:rPr>
        <w:t>ios No Personales, en tanto su A</w:t>
      </w:r>
      <w:r>
        <w:rPr>
          <w:rFonts w:ascii="Arial" w:hAnsi="Arial" w:cs="Arial"/>
          <w:sz w:val="24"/>
          <w:szCs w:val="24"/>
        </w:rPr>
        <w:t>rtículo 14.2 prevé que la Administración confiera al adjudicatario un plazo para  presenta</w:t>
      </w:r>
      <w:r w:rsidR="008738CB">
        <w:rPr>
          <w:rFonts w:ascii="Arial" w:hAnsi="Arial" w:cs="Arial"/>
          <w:sz w:val="24"/>
          <w:szCs w:val="24"/>
        </w:rPr>
        <w:t>r</w:t>
      </w:r>
      <w:r>
        <w:rPr>
          <w:rFonts w:ascii="Arial" w:hAnsi="Arial" w:cs="Arial"/>
          <w:sz w:val="24"/>
          <w:szCs w:val="24"/>
        </w:rPr>
        <w:t xml:space="preserve"> todos los requisitos formales que corresponda, a efectos de acreditar que se encuentra en condiciones de contratar con el  Estado, una vez dictado el acto de adjudicación, pero previo a su notificación y no luego de la misma;</w:t>
      </w:r>
      <w:r>
        <w:rPr>
          <w:rFonts w:ascii="Arial" w:hAnsi="Arial" w:cs="Arial"/>
          <w:sz w:val="24"/>
          <w:szCs w:val="24"/>
        </w:rPr>
        <w:tab/>
      </w:r>
      <w:r>
        <w:rPr>
          <w:rFonts w:ascii="Arial" w:hAnsi="Arial" w:cs="Arial"/>
          <w:sz w:val="24"/>
          <w:szCs w:val="24"/>
        </w:rPr>
        <w:tab/>
      </w:r>
    </w:p>
    <w:p w:rsidR="00C26A16" w:rsidRDefault="00C12D9B" w:rsidP="00C26A16">
      <w:pPr>
        <w:spacing w:after="0" w:line="360" w:lineRule="auto"/>
        <w:ind w:firstLine="2835"/>
        <w:jc w:val="both"/>
        <w:rPr>
          <w:rFonts w:ascii="Arial" w:hAnsi="Arial" w:cs="Arial"/>
          <w:sz w:val="24"/>
          <w:szCs w:val="24"/>
        </w:rPr>
      </w:pPr>
      <w:r w:rsidRPr="000E5575">
        <w:rPr>
          <w:rFonts w:ascii="Arial" w:hAnsi="Arial" w:cs="Arial"/>
          <w:b/>
          <w:sz w:val="24"/>
          <w:szCs w:val="24"/>
        </w:rPr>
        <w:lastRenderedPageBreak/>
        <w:t>5)</w:t>
      </w:r>
      <w:r>
        <w:rPr>
          <w:rFonts w:ascii="Arial" w:hAnsi="Arial" w:cs="Arial"/>
          <w:sz w:val="24"/>
          <w:szCs w:val="24"/>
        </w:rPr>
        <w:t xml:space="preserve"> que el Pliego de Condiciones Particulares incluye normas contradictorias que confunden las etapas de admisibilidad y de evaluación de ofertas, en tanto el </w:t>
      </w:r>
      <w:r w:rsidR="00C26A16">
        <w:rPr>
          <w:rFonts w:ascii="Arial" w:hAnsi="Arial" w:cs="Arial"/>
          <w:sz w:val="24"/>
          <w:szCs w:val="24"/>
        </w:rPr>
        <w:t>A</w:t>
      </w:r>
      <w:r>
        <w:rPr>
          <w:rFonts w:ascii="Arial" w:hAnsi="Arial" w:cs="Arial"/>
          <w:sz w:val="24"/>
          <w:szCs w:val="24"/>
        </w:rPr>
        <w:t xml:space="preserve">rtículo </w:t>
      </w:r>
      <w:r w:rsidRPr="00D2182C">
        <w:rPr>
          <w:rFonts w:ascii="Arial" w:hAnsi="Arial" w:cs="Arial"/>
          <w:sz w:val="24"/>
          <w:szCs w:val="24"/>
        </w:rPr>
        <w:t>12</w:t>
      </w:r>
      <w:r>
        <w:rPr>
          <w:rFonts w:ascii="Arial" w:hAnsi="Arial" w:cs="Arial"/>
          <w:sz w:val="24"/>
          <w:szCs w:val="24"/>
        </w:rPr>
        <w:t xml:space="preserve">.2 establece que es un requisito para participar del llamado la presentación </w:t>
      </w:r>
      <w:r w:rsidRPr="00D2182C">
        <w:rPr>
          <w:rFonts w:ascii="Arial" w:hAnsi="Arial" w:cs="Arial"/>
          <w:sz w:val="24"/>
          <w:szCs w:val="24"/>
        </w:rPr>
        <w:t xml:space="preserve">de </w:t>
      </w:r>
      <w:r>
        <w:rPr>
          <w:rFonts w:ascii="Arial" w:hAnsi="Arial" w:cs="Arial"/>
          <w:sz w:val="24"/>
          <w:szCs w:val="24"/>
        </w:rPr>
        <w:t>a</w:t>
      </w:r>
      <w:r w:rsidRPr="00D2182C">
        <w:rPr>
          <w:rFonts w:ascii="Arial" w:hAnsi="Arial" w:cs="Arial"/>
          <w:sz w:val="24"/>
          <w:szCs w:val="24"/>
        </w:rPr>
        <w:t>ntecedentes satisfac</w:t>
      </w:r>
      <w:r>
        <w:rPr>
          <w:rFonts w:ascii="Arial" w:hAnsi="Arial" w:cs="Arial"/>
          <w:sz w:val="24"/>
          <w:szCs w:val="24"/>
        </w:rPr>
        <w:t xml:space="preserve">torios en el área que se licita y, al mismo tiempo, el </w:t>
      </w:r>
      <w:r w:rsidR="00C26A16">
        <w:rPr>
          <w:rFonts w:ascii="Arial" w:hAnsi="Arial" w:cs="Arial"/>
          <w:sz w:val="24"/>
          <w:szCs w:val="24"/>
        </w:rPr>
        <w:t>A</w:t>
      </w:r>
      <w:r>
        <w:rPr>
          <w:rFonts w:ascii="Arial" w:hAnsi="Arial" w:cs="Arial"/>
          <w:sz w:val="24"/>
          <w:szCs w:val="24"/>
        </w:rPr>
        <w:t xml:space="preserve">rtículo 20 pondera los antecedentes positivos y negativos, incluyéndolos como factor de evaluación, por lo que, no es posible determinar claramente si, conforme lo establecido en el </w:t>
      </w:r>
      <w:r w:rsidR="00C26A16">
        <w:rPr>
          <w:rFonts w:ascii="Arial" w:hAnsi="Arial" w:cs="Arial"/>
          <w:sz w:val="24"/>
          <w:szCs w:val="24"/>
        </w:rPr>
        <w:t>A</w:t>
      </w:r>
      <w:r>
        <w:rPr>
          <w:rFonts w:ascii="Arial" w:hAnsi="Arial" w:cs="Arial"/>
          <w:sz w:val="24"/>
          <w:szCs w:val="24"/>
        </w:rPr>
        <w:t>rtículo 12.2, la no presentación de antecedentes satisfactorios apareja el rechazo de la propuesta corre</w:t>
      </w:r>
      <w:r w:rsidR="00C26A16">
        <w:rPr>
          <w:rFonts w:ascii="Arial" w:hAnsi="Arial" w:cs="Arial"/>
          <w:sz w:val="24"/>
          <w:szCs w:val="24"/>
        </w:rPr>
        <w:t>spondiente, o si de acuerdo al A</w:t>
      </w:r>
      <w:r>
        <w:rPr>
          <w:rFonts w:ascii="Arial" w:hAnsi="Arial" w:cs="Arial"/>
          <w:sz w:val="24"/>
          <w:szCs w:val="24"/>
        </w:rPr>
        <w:t>rtículo 20, se trata de un factor de ponderación de ofertas;</w:t>
      </w:r>
      <w:r w:rsidR="00E51FE7">
        <w:rPr>
          <w:rFonts w:ascii="Arial" w:hAnsi="Arial" w:cs="Arial"/>
          <w:sz w:val="24"/>
          <w:szCs w:val="24"/>
        </w:rPr>
        <w:tab/>
      </w:r>
      <w:r w:rsidR="00E51FE7">
        <w:rPr>
          <w:rFonts w:ascii="Arial" w:hAnsi="Arial" w:cs="Arial"/>
          <w:sz w:val="24"/>
          <w:szCs w:val="24"/>
        </w:rPr>
        <w:tab/>
      </w:r>
      <w:r w:rsidR="00E51FE7">
        <w:rPr>
          <w:rFonts w:ascii="Arial" w:hAnsi="Arial" w:cs="Arial"/>
          <w:sz w:val="24"/>
          <w:szCs w:val="24"/>
        </w:rPr>
        <w:tab/>
      </w:r>
    </w:p>
    <w:p w:rsidR="00E51FE7" w:rsidRPr="00E51FE7" w:rsidRDefault="00E51FE7" w:rsidP="00C26A16">
      <w:pPr>
        <w:spacing w:after="0" w:line="360" w:lineRule="auto"/>
        <w:ind w:firstLine="2835"/>
        <w:jc w:val="both"/>
        <w:rPr>
          <w:rFonts w:ascii="Arial" w:hAnsi="Arial" w:cs="Arial"/>
          <w:b/>
          <w:sz w:val="24"/>
          <w:szCs w:val="24"/>
        </w:rPr>
      </w:pPr>
      <w:r w:rsidRPr="00E51FE7">
        <w:rPr>
          <w:rFonts w:ascii="Arial" w:hAnsi="Arial" w:cs="Arial"/>
          <w:b/>
          <w:sz w:val="24"/>
          <w:szCs w:val="24"/>
        </w:rPr>
        <w:t>6)</w:t>
      </w:r>
      <w:r>
        <w:rPr>
          <w:rFonts w:ascii="Arial" w:hAnsi="Arial" w:cs="Arial"/>
          <w:b/>
          <w:sz w:val="24"/>
          <w:szCs w:val="24"/>
        </w:rPr>
        <w:t xml:space="preserve"> </w:t>
      </w:r>
      <w:r>
        <w:rPr>
          <w:rFonts w:ascii="Arial" w:hAnsi="Arial" w:cs="Arial"/>
          <w:sz w:val="24"/>
          <w:szCs w:val="24"/>
        </w:rPr>
        <w:t xml:space="preserve">que el </w:t>
      </w:r>
      <w:r w:rsidR="00C26A16">
        <w:rPr>
          <w:rFonts w:ascii="Arial" w:hAnsi="Arial" w:cs="Arial"/>
          <w:sz w:val="24"/>
          <w:szCs w:val="24"/>
        </w:rPr>
        <w:t>A</w:t>
      </w:r>
      <w:r>
        <w:rPr>
          <w:rFonts w:ascii="Arial" w:hAnsi="Arial" w:cs="Arial"/>
          <w:sz w:val="24"/>
          <w:szCs w:val="24"/>
        </w:rPr>
        <w:t xml:space="preserve">rtículo 7.8 del Pliego de Condiciones Particulares establece que, vencido el plazo para la presentación de las ofertas, no se tomará en cuenta ninguna interpretación, aclaración o ampliación de ellas, salvo aquellas que fueran directa y expresamente autorizadas en el expediente licitatorio o por la Comisión Asesora de Adjudicaciones, puesto que la solicitud de ampliación de una oferta implica una modificación de la misma, en contravención a lo dispuesto por el </w:t>
      </w:r>
      <w:r w:rsidR="00C26A16">
        <w:rPr>
          <w:rFonts w:ascii="Arial" w:hAnsi="Arial" w:cs="Arial"/>
          <w:sz w:val="24"/>
          <w:szCs w:val="24"/>
        </w:rPr>
        <w:t>A</w:t>
      </w:r>
      <w:r>
        <w:rPr>
          <w:rFonts w:ascii="Arial" w:hAnsi="Arial" w:cs="Arial"/>
          <w:sz w:val="24"/>
          <w:szCs w:val="24"/>
        </w:rPr>
        <w:t>rtículo 65 del TOCAF;</w:t>
      </w:r>
      <w:r w:rsidRPr="00E51FE7">
        <w:rPr>
          <w:rFonts w:ascii="Arial" w:hAnsi="Arial" w:cs="Arial"/>
          <w:b/>
          <w:sz w:val="24"/>
          <w:szCs w:val="24"/>
        </w:rPr>
        <w:t xml:space="preserve"> </w:t>
      </w:r>
    </w:p>
    <w:p w:rsidR="00C12D9B" w:rsidRPr="006B3B84" w:rsidRDefault="00C12D9B" w:rsidP="00C26A16">
      <w:pPr>
        <w:spacing w:after="0" w:line="360" w:lineRule="auto"/>
        <w:ind w:firstLine="709"/>
        <w:jc w:val="both"/>
        <w:rPr>
          <w:rFonts w:ascii="Arial" w:hAnsi="Arial" w:cs="Arial"/>
          <w:b/>
          <w:sz w:val="24"/>
          <w:szCs w:val="24"/>
        </w:rPr>
      </w:pPr>
      <w:r w:rsidRPr="006B3B84">
        <w:rPr>
          <w:rFonts w:ascii="Arial" w:hAnsi="Arial" w:cs="Arial"/>
          <w:b/>
          <w:sz w:val="24"/>
          <w:szCs w:val="24"/>
        </w:rPr>
        <w:t>ATENTO:</w:t>
      </w:r>
      <w:r w:rsidRPr="006B3B84">
        <w:rPr>
          <w:rFonts w:ascii="Arial" w:hAnsi="Arial" w:cs="Arial"/>
          <w:sz w:val="24"/>
          <w:szCs w:val="24"/>
        </w:rPr>
        <w:t xml:space="preserve"> a lo ex</w:t>
      </w:r>
      <w:r w:rsidR="00C26A16">
        <w:rPr>
          <w:rFonts w:ascii="Arial" w:hAnsi="Arial" w:cs="Arial"/>
          <w:sz w:val="24"/>
          <w:szCs w:val="24"/>
        </w:rPr>
        <w:t>puesto y a lo dispuesto por el Artículo 211 L</w:t>
      </w:r>
      <w:r w:rsidRPr="006B3B84">
        <w:rPr>
          <w:rFonts w:ascii="Arial" w:hAnsi="Arial" w:cs="Arial"/>
          <w:sz w:val="24"/>
          <w:szCs w:val="24"/>
        </w:rPr>
        <w:t>iteral B) de la Constitución de la República;</w:t>
      </w:r>
    </w:p>
    <w:p w:rsidR="00C12D9B" w:rsidRPr="006B3B84" w:rsidRDefault="00C12D9B" w:rsidP="003F4876">
      <w:pPr>
        <w:spacing w:after="0" w:line="360" w:lineRule="auto"/>
        <w:jc w:val="center"/>
        <w:rPr>
          <w:rFonts w:ascii="Arial" w:hAnsi="Arial" w:cs="Arial"/>
          <w:b/>
          <w:sz w:val="24"/>
          <w:szCs w:val="24"/>
        </w:rPr>
      </w:pPr>
      <w:r w:rsidRPr="006B3B84">
        <w:rPr>
          <w:rFonts w:ascii="Arial" w:hAnsi="Arial" w:cs="Arial"/>
          <w:b/>
          <w:sz w:val="24"/>
          <w:szCs w:val="24"/>
        </w:rPr>
        <w:t>EL TRIBUNAL ACUERDA</w:t>
      </w:r>
    </w:p>
    <w:p w:rsidR="00C12D9B" w:rsidRDefault="00C12D9B" w:rsidP="003F4876">
      <w:pPr>
        <w:spacing w:after="0" w:line="360" w:lineRule="auto"/>
        <w:jc w:val="both"/>
        <w:rPr>
          <w:rFonts w:ascii="Arial" w:hAnsi="Arial" w:cs="Arial"/>
          <w:sz w:val="24"/>
          <w:szCs w:val="24"/>
        </w:rPr>
      </w:pPr>
      <w:r w:rsidRPr="006B3B84">
        <w:rPr>
          <w:rFonts w:ascii="Arial" w:hAnsi="Arial" w:cs="Arial"/>
          <w:b/>
          <w:sz w:val="24"/>
          <w:szCs w:val="24"/>
        </w:rPr>
        <w:t>1)</w:t>
      </w:r>
      <w:r w:rsidR="00C26A16">
        <w:rPr>
          <w:rFonts w:ascii="Arial" w:hAnsi="Arial" w:cs="Arial"/>
          <w:sz w:val="24"/>
          <w:szCs w:val="24"/>
        </w:rPr>
        <w:t xml:space="preserve"> </w:t>
      </w:r>
      <w:r w:rsidRPr="006B3B84">
        <w:rPr>
          <w:rFonts w:ascii="Arial" w:hAnsi="Arial" w:cs="Arial"/>
          <w:sz w:val="24"/>
          <w:szCs w:val="24"/>
        </w:rPr>
        <w:t>Observar el gasto</w:t>
      </w:r>
      <w:r>
        <w:rPr>
          <w:rFonts w:ascii="Arial" w:hAnsi="Arial" w:cs="Arial"/>
          <w:sz w:val="24"/>
          <w:szCs w:val="24"/>
        </w:rPr>
        <w:t xml:space="preserve"> por lo est</w:t>
      </w:r>
      <w:r w:rsidR="00C26A16">
        <w:rPr>
          <w:rFonts w:ascii="Arial" w:hAnsi="Arial" w:cs="Arial"/>
          <w:sz w:val="24"/>
          <w:szCs w:val="24"/>
        </w:rPr>
        <w:t xml:space="preserve">ablecido en los Considerandos </w:t>
      </w:r>
      <w:proofErr w:type="spellStart"/>
      <w:r w:rsidR="00C26A16">
        <w:rPr>
          <w:rFonts w:ascii="Arial" w:hAnsi="Arial" w:cs="Arial"/>
          <w:sz w:val="24"/>
          <w:szCs w:val="24"/>
        </w:rPr>
        <w:t>Nros</w:t>
      </w:r>
      <w:proofErr w:type="spellEnd"/>
      <w:r w:rsidR="00C26A16">
        <w:rPr>
          <w:rFonts w:ascii="Arial" w:hAnsi="Arial" w:cs="Arial"/>
          <w:sz w:val="24"/>
          <w:szCs w:val="24"/>
        </w:rPr>
        <w:t>.</w:t>
      </w:r>
      <w:r>
        <w:rPr>
          <w:rFonts w:ascii="Arial" w:hAnsi="Arial" w:cs="Arial"/>
          <w:sz w:val="24"/>
          <w:szCs w:val="24"/>
        </w:rPr>
        <w:t xml:space="preserve"> </w:t>
      </w:r>
      <w:r w:rsidR="00E51FE7">
        <w:rPr>
          <w:rFonts w:ascii="Arial" w:hAnsi="Arial" w:cs="Arial"/>
          <w:sz w:val="24"/>
          <w:szCs w:val="24"/>
        </w:rPr>
        <w:t>2)</w:t>
      </w:r>
      <w:r>
        <w:rPr>
          <w:rFonts w:ascii="Arial" w:hAnsi="Arial" w:cs="Arial"/>
          <w:sz w:val="24"/>
          <w:szCs w:val="24"/>
        </w:rPr>
        <w:t xml:space="preserve"> a 4</w:t>
      </w:r>
      <w:r w:rsidR="00E51FE7">
        <w:rPr>
          <w:rFonts w:ascii="Arial" w:hAnsi="Arial" w:cs="Arial"/>
          <w:sz w:val="24"/>
          <w:szCs w:val="24"/>
        </w:rPr>
        <w:t>) y 6)</w:t>
      </w:r>
      <w:r w:rsidRPr="006B3B84">
        <w:rPr>
          <w:rFonts w:ascii="Arial" w:hAnsi="Arial" w:cs="Arial"/>
          <w:sz w:val="24"/>
          <w:szCs w:val="24"/>
        </w:rPr>
        <w:t>;</w:t>
      </w:r>
    </w:p>
    <w:p w:rsidR="00C12D9B" w:rsidRPr="006B3B84" w:rsidRDefault="00C12D9B" w:rsidP="003F4876">
      <w:pPr>
        <w:spacing w:after="0" w:line="360" w:lineRule="auto"/>
        <w:jc w:val="both"/>
        <w:rPr>
          <w:rFonts w:ascii="Arial" w:hAnsi="Arial" w:cs="Arial"/>
          <w:sz w:val="24"/>
          <w:szCs w:val="24"/>
        </w:rPr>
      </w:pPr>
      <w:r w:rsidRPr="00FF6E21">
        <w:rPr>
          <w:rFonts w:ascii="Arial" w:hAnsi="Arial" w:cs="Arial"/>
          <w:b/>
          <w:sz w:val="24"/>
          <w:szCs w:val="24"/>
        </w:rPr>
        <w:t>2)</w:t>
      </w:r>
      <w:r>
        <w:rPr>
          <w:rFonts w:ascii="Arial" w:hAnsi="Arial" w:cs="Arial"/>
          <w:sz w:val="24"/>
          <w:szCs w:val="24"/>
        </w:rPr>
        <w:t xml:space="preserve"> Ténga</w:t>
      </w:r>
      <w:r w:rsidR="00E51FE7">
        <w:rPr>
          <w:rFonts w:ascii="Arial" w:hAnsi="Arial" w:cs="Arial"/>
          <w:sz w:val="24"/>
          <w:szCs w:val="24"/>
        </w:rPr>
        <w:t>se presente lo establecido en los</w:t>
      </w:r>
      <w:r>
        <w:rPr>
          <w:rFonts w:ascii="Arial" w:hAnsi="Arial" w:cs="Arial"/>
          <w:sz w:val="24"/>
          <w:szCs w:val="24"/>
        </w:rPr>
        <w:t xml:space="preserve"> Considerando</w:t>
      </w:r>
      <w:r w:rsidR="00E51FE7">
        <w:rPr>
          <w:rFonts w:ascii="Arial" w:hAnsi="Arial" w:cs="Arial"/>
          <w:sz w:val="24"/>
          <w:szCs w:val="24"/>
        </w:rPr>
        <w:t>s</w:t>
      </w:r>
      <w:r>
        <w:rPr>
          <w:rFonts w:ascii="Arial" w:hAnsi="Arial" w:cs="Arial"/>
          <w:sz w:val="24"/>
          <w:szCs w:val="24"/>
        </w:rPr>
        <w:t xml:space="preserve"> </w:t>
      </w:r>
      <w:proofErr w:type="spellStart"/>
      <w:r>
        <w:rPr>
          <w:rFonts w:ascii="Arial" w:hAnsi="Arial" w:cs="Arial"/>
          <w:sz w:val="24"/>
          <w:szCs w:val="24"/>
        </w:rPr>
        <w:t>N</w:t>
      </w:r>
      <w:r w:rsidR="00C26A16">
        <w:rPr>
          <w:rFonts w:ascii="Arial" w:hAnsi="Arial" w:cs="Arial"/>
          <w:sz w:val="24"/>
          <w:szCs w:val="24"/>
        </w:rPr>
        <w:t>ros</w:t>
      </w:r>
      <w:proofErr w:type="spellEnd"/>
      <w:r w:rsidR="00C26A16">
        <w:rPr>
          <w:rFonts w:ascii="Arial" w:hAnsi="Arial" w:cs="Arial"/>
          <w:sz w:val="24"/>
          <w:szCs w:val="24"/>
        </w:rPr>
        <w:t>.</w:t>
      </w:r>
      <w:r w:rsidR="00E51FE7">
        <w:rPr>
          <w:rFonts w:ascii="Arial" w:hAnsi="Arial" w:cs="Arial"/>
          <w:sz w:val="24"/>
          <w:szCs w:val="24"/>
        </w:rPr>
        <w:t xml:space="preserve"> 1) y</w:t>
      </w:r>
      <w:r>
        <w:rPr>
          <w:rFonts w:ascii="Arial" w:hAnsi="Arial" w:cs="Arial"/>
          <w:sz w:val="24"/>
          <w:szCs w:val="24"/>
        </w:rPr>
        <w:t xml:space="preserve"> 5);</w:t>
      </w:r>
      <w:r w:rsidR="000C003F">
        <w:rPr>
          <w:rFonts w:ascii="Arial" w:hAnsi="Arial" w:cs="Arial"/>
          <w:sz w:val="24"/>
          <w:szCs w:val="24"/>
        </w:rPr>
        <w:t xml:space="preserve"> y</w:t>
      </w:r>
      <w:bookmarkStart w:id="0" w:name="_GoBack"/>
      <w:bookmarkEnd w:id="0"/>
    </w:p>
    <w:p w:rsidR="00C12D9B" w:rsidRPr="006B3B84" w:rsidRDefault="00C12D9B" w:rsidP="003F4876">
      <w:pPr>
        <w:spacing w:after="0" w:line="360" w:lineRule="auto"/>
        <w:jc w:val="both"/>
        <w:rPr>
          <w:rFonts w:ascii="Arial" w:hAnsi="Arial" w:cs="Arial"/>
          <w:sz w:val="24"/>
          <w:szCs w:val="24"/>
        </w:rPr>
      </w:pPr>
      <w:r>
        <w:rPr>
          <w:rFonts w:ascii="Arial" w:hAnsi="Arial" w:cs="Arial"/>
          <w:b/>
          <w:sz w:val="24"/>
          <w:szCs w:val="24"/>
        </w:rPr>
        <w:t>3</w:t>
      </w:r>
      <w:r w:rsidRPr="006B3B84">
        <w:rPr>
          <w:rFonts w:ascii="Arial" w:hAnsi="Arial" w:cs="Arial"/>
          <w:b/>
          <w:sz w:val="24"/>
          <w:szCs w:val="24"/>
        </w:rPr>
        <w:t>)</w:t>
      </w:r>
      <w:r w:rsidR="00C26A16">
        <w:rPr>
          <w:rFonts w:ascii="Arial" w:hAnsi="Arial" w:cs="Arial"/>
          <w:b/>
          <w:sz w:val="24"/>
          <w:szCs w:val="24"/>
        </w:rPr>
        <w:t xml:space="preserve"> </w:t>
      </w:r>
      <w:r w:rsidRPr="006B3B84">
        <w:rPr>
          <w:rFonts w:ascii="Arial" w:hAnsi="Arial" w:cs="Arial"/>
          <w:sz w:val="24"/>
          <w:szCs w:val="24"/>
        </w:rPr>
        <w:t>Devolver las actuaciones.</w:t>
      </w:r>
    </w:p>
    <w:p w:rsidR="00C12D9B" w:rsidRDefault="00C12D9B" w:rsidP="003F4876">
      <w:pPr>
        <w:spacing w:after="0" w:line="360" w:lineRule="auto"/>
        <w:jc w:val="both"/>
        <w:rPr>
          <w:rFonts w:ascii="Arial" w:hAnsi="Arial" w:cs="Arial"/>
          <w:sz w:val="24"/>
          <w:szCs w:val="24"/>
        </w:rPr>
      </w:pPr>
    </w:p>
    <w:p w:rsidR="00C26A16" w:rsidRPr="006B3B84" w:rsidRDefault="00C26A16" w:rsidP="003F4876">
      <w:pPr>
        <w:spacing w:after="0" w:line="360" w:lineRule="auto"/>
        <w:jc w:val="both"/>
        <w:rPr>
          <w:rFonts w:ascii="Arial" w:hAnsi="Arial" w:cs="Arial"/>
          <w:sz w:val="24"/>
          <w:szCs w:val="24"/>
        </w:rPr>
      </w:pPr>
      <w:proofErr w:type="spellStart"/>
      <w:proofErr w:type="gramStart"/>
      <w:r>
        <w:rPr>
          <w:rFonts w:ascii="Arial" w:hAnsi="Arial" w:cs="Arial"/>
          <w:sz w:val="24"/>
          <w:szCs w:val="24"/>
        </w:rPr>
        <w:t>lc</w:t>
      </w:r>
      <w:proofErr w:type="spellEnd"/>
      <w:proofErr w:type="gramEnd"/>
    </w:p>
    <w:sectPr w:rsidR="00C26A16" w:rsidRPr="006B3B84" w:rsidSect="008738CB">
      <w:footerReference w:type="default" r:id="rId7"/>
      <w:pgSz w:w="11906" w:h="16838" w:code="9"/>
      <w:pgMar w:top="3005"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544" w:rsidRDefault="00AD6544" w:rsidP="00AD6544">
      <w:pPr>
        <w:spacing w:after="0" w:line="240" w:lineRule="auto"/>
      </w:pPr>
      <w:r>
        <w:separator/>
      </w:r>
    </w:p>
  </w:endnote>
  <w:endnote w:type="continuationSeparator" w:id="0">
    <w:p w:rsidR="00AD6544" w:rsidRDefault="00AD6544" w:rsidP="00AD6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7150660"/>
      <w:docPartObj>
        <w:docPartGallery w:val="Page Numbers (Bottom of Page)"/>
        <w:docPartUnique/>
      </w:docPartObj>
    </w:sdtPr>
    <w:sdtContent>
      <w:p w:rsidR="00AD6544" w:rsidRDefault="00AD6544">
        <w:pPr>
          <w:pStyle w:val="Piedepgina"/>
          <w:jc w:val="center"/>
        </w:pPr>
        <w:r>
          <w:fldChar w:fldCharType="begin"/>
        </w:r>
        <w:r>
          <w:instrText>PAGE   \* MERGEFORMAT</w:instrText>
        </w:r>
        <w:r>
          <w:fldChar w:fldCharType="separate"/>
        </w:r>
        <w:r w:rsidR="000C003F" w:rsidRPr="000C003F">
          <w:rPr>
            <w:noProof/>
            <w:lang w:val="es-ES"/>
          </w:rPr>
          <w:t>5</w:t>
        </w:r>
        <w:r>
          <w:fldChar w:fldCharType="end"/>
        </w:r>
      </w:p>
    </w:sdtContent>
  </w:sdt>
  <w:p w:rsidR="00AD6544" w:rsidRDefault="00AD65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544" w:rsidRDefault="00AD6544" w:rsidP="00AD6544">
      <w:pPr>
        <w:spacing w:after="0" w:line="240" w:lineRule="auto"/>
      </w:pPr>
      <w:r>
        <w:separator/>
      </w:r>
    </w:p>
  </w:footnote>
  <w:footnote w:type="continuationSeparator" w:id="0">
    <w:p w:rsidR="00AD6544" w:rsidRDefault="00AD6544" w:rsidP="00AD65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D9B"/>
    <w:rsid w:val="0005507B"/>
    <w:rsid w:val="000C003F"/>
    <w:rsid w:val="00130655"/>
    <w:rsid w:val="002A04FE"/>
    <w:rsid w:val="003F4876"/>
    <w:rsid w:val="008138EF"/>
    <w:rsid w:val="008738CB"/>
    <w:rsid w:val="00902214"/>
    <w:rsid w:val="00AD6544"/>
    <w:rsid w:val="00BC47EB"/>
    <w:rsid w:val="00C12D9B"/>
    <w:rsid w:val="00C26A16"/>
    <w:rsid w:val="00E311CB"/>
    <w:rsid w:val="00E51FE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D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12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D65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6544"/>
  </w:style>
  <w:style w:type="paragraph" w:styleId="Piedepgina">
    <w:name w:val="footer"/>
    <w:basedOn w:val="Normal"/>
    <w:link w:val="PiedepginaCar"/>
    <w:uiPriority w:val="99"/>
    <w:unhideWhenUsed/>
    <w:rsid w:val="00AD65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65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D9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12D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AD65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6544"/>
  </w:style>
  <w:style w:type="paragraph" w:styleId="Piedepgina">
    <w:name w:val="footer"/>
    <w:basedOn w:val="Normal"/>
    <w:link w:val="PiedepginaCar"/>
    <w:uiPriority w:val="99"/>
    <w:unhideWhenUsed/>
    <w:rsid w:val="00AD65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6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1380</Words>
  <Characters>7593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Tribunal1</cp:lastModifiedBy>
  <cp:revision>6</cp:revision>
  <cp:lastPrinted>2017-04-21T18:49:00Z</cp:lastPrinted>
  <dcterms:created xsi:type="dcterms:W3CDTF">2017-04-26T16:23:00Z</dcterms:created>
  <dcterms:modified xsi:type="dcterms:W3CDTF">2017-04-26T16:43:00Z</dcterms:modified>
</cp:coreProperties>
</file>