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51" w:rsidRPr="00740251" w:rsidRDefault="00740251" w:rsidP="00740251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 w:eastAsia="ar-SA"/>
        </w:rPr>
      </w:pPr>
      <w:bookmarkStart w:id="0" w:name="_GoBack"/>
      <w:bookmarkEnd w:id="0"/>
      <w:r w:rsidRPr="00740251">
        <w:rPr>
          <w:rFonts w:cs="Arial"/>
          <w:b/>
          <w:sz w:val="28"/>
          <w:szCs w:val="28"/>
          <w:lang w:val="es-ES_tradnl" w:eastAsia="ar-SA"/>
        </w:rPr>
        <w:t xml:space="preserve">RES. </w:t>
      </w:r>
      <w:r w:rsidR="001C331E">
        <w:rPr>
          <w:rFonts w:cs="Arial"/>
          <w:b/>
          <w:sz w:val="28"/>
          <w:szCs w:val="28"/>
          <w:lang w:val="es-ES_tradnl" w:eastAsia="ar-SA"/>
        </w:rPr>
        <w:t>1897</w:t>
      </w:r>
      <w:r w:rsidRPr="00740251">
        <w:rPr>
          <w:rFonts w:cs="Arial"/>
          <w:b/>
          <w:sz w:val="28"/>
          <w:szCs w:val="28"/>
          <w:lang w:val="es-ES_tradnl" w:eastAsia="ar-SA"/>
        </w:rPr>
        <w:t>/17</w:t>
      </w:r>
    </w:p>
    <w:p w:rsidR="00740251" w:rsidRPr="00740251" w:rsidRDefault="00740251" w:rsidP="00740251">
      <w:pPr>
        <w:tabs>
          <w:tab w:val="center" w:pos="4253"/>
        </w:tabs>
        <w:suppressAutoHyphens/>
        <w:jc w:val="center"/>
        <w:rPr>
          <w:rFonts w:cs="Arial"/>
          <w:b/>
          <w:szCs w:val="20"/>
          <w:lang w:val="es-ES_tradnl" w:eastAsia="ar-SA"/>
        </w:rPr>
      </w:pPr>
    </w:p>
    <w:p w:rsidR="00740251" w:rsidRPr="00740251" w:rsidRDefault="00740251" w:rsidP="00740251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0"/>
          <w:lang w:val="es-ES_tradnl" w:eastAsia="ar-SA"/>
        </w:rPr>
      </w:pPr>
      <w:r w:rsidRPr="00740251">
        <w:rPr>
          <w:rFonts w:ascii="Helvetica" w:hAnsi="Helvetica"/>
          <w:b/>
          <w:szCs w:val="20"/>
          <w:lang w:val="es-ES_tradnl" w:eastAsia="ar-SA"/>
        </w:rPr>
        <w:t>RESOLUCION ADOPTADA POR EL</w:t>
      </w:r>
    </w:p>
    <w:p w:rsidR="00740251" w:rsidRPr="00740251" w:rsidRDefault="00740251" w:rsidP="00740251">
      <w:pPr>
        <w:tabs>
          <w:tab w:val="left" w:pos="-720"/>
        </w:tabs>
        <w:suppressAutoHyphens/>
        <w:jc w:val="center"/>
        <w:rPr>
          <w:rFonts w:ascii="Helvetica" w:hAnsi="Helvetica"/>
          <w:b/>
          <w:szCs w:val="20"/>
          <w:lang w:val="es-ES_tradnl" w:eastAsia="ar-SA"/>
        </w:rPr>
      </w:pPr>
    </w:p>
    <w:p w:rsidR="00740251" w:rsidRPr="00740251" w:rsidRDefault="00740251" w:rsidP="00740251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0"/>
          <w:lang w:val="es-ES_tradnl" w:eastAsia="ar-SA"/>
        </w:rPr>
      </w:pPr>
      <w:r w:rsidRPr="00740251">
        <w:rPr>
          <w:rFonts w:ascii="Helvetica" w:hAnsi="Helvetica"/>
          <w:b/>
          <w:szCs w:val="20"/>
          <w:lang w:val="es-ES_tradnl" w:eastAsia="ar-SA"/>
        </w:rPr>
        <w:t>TRIBUNAL DE CUENTAS</w:t>
      </w:r>
    </w:p>
    <w:p w:rsidR="00740251" w:rsidRPr="00740251" w:rsidRDefault="00740251" w:rsidP="00740251">
      <w:pPr>
        <w:tabs>
          <w:tab w:val="left" w:pos="-720"/>
        </w:tabs>
        <w:suppressAutoHyphens/>
        <w:jc w:val="center"/>
        <w:rPr>
          <w:rFonts w:ascii="Helvetica" w:hAnsi="Helvetica"/>
          <w:b/>
          <w:szCs w:val="20"/>
          <w:lang w:val="es-ES_tradnl" w:eastAsia="ar-SA"/>
        </w:rPr>
      </w:pPr>
    </w:p>
    <w:p w:rsidR="00740251" w:rsidRPr="00740251" w:rsidRDefault="00740251" w:rsidP="00740251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0"/>
          <w:lang w:val="es-ES_tradnl" w:eastAsia="ar-SA"/>
        </w:rPr>
      </w:pPr>
      <w:r w:rsidRPr="00740251">
        <w:rPr>
          <w:rFonts w:ascii="Helvetica" w:hAnsi="Helvetica"/>
          <w:b/>
          <w:szCs w:val="20"/>
          <w:lang w:val="es-ES_tradnl" w:eastAsia="ar-SA"/>
        </w:rPr>
        <w:t>EN SESION DE FECHA 22 DE JUNIO DE 2017</w:t>
      </w:r>
    </w:p>
    <w:p w:rsidR="00740251" w:rsidRPr="00740251" w:rsidRDefault="00740251" w:rsidP="00740251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0"/>
          <w:lang w:val="es-ES_tradnl" w:eastAsia="ar-SA"/>
        </w:rPr>
      </w:pPr>
    </w:p>
    <w:p w:rsidR="00740251" w:rsidRPr="001C331E" w:rsidRDefault="00740251" w:rsidP="00740251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0"/>
          <w:lang w:val="es-UY" w:eastAsia="ar-SA"/>
        </w:rPr>
      </w:pPr>
      <w:r w:rsidRPr="001C331E">
        <w:rPr>
          <w:rFonts w:ascii="Helvetica" w:hAnsi="Helvetica"/>
          <w:b/>
          <w:szCs w:val="20"/>
          <w:lang w:val="es-UY" w:eastAsia="ar-SA"/>
        </w:rPr>
        <w:t>(E. E. Nº 201</w:t>
      </w:r>
      <w:r w:rsidR="001C331E">
        <w:rPr>
          <w:rFonts w:ascii="Helvetica" w:hAnsi="Helvetica"/>
          <w:b/>
          <w:szCs w:val="20"/>
          <w:lang w:val="es-UY" w:eastAsia="ar-SA"/>
        </w:rPr>
        <w:t>4</w:t>
      </w:r>
      <w:r w:rsidRPr="001C331E">
        <w:rPr>
          <w:rFonts w:ascii="Helvetica" w:hAnsi="Helvetica"/>
          <w:b/>
          <w:szCs w:val="20"/>
          <w:lang w:val="es-UY" w:eastAsia="ar-SA"/>
        </w:rPr>
        <w:t>-17-1-000</w:t>
      </w:r>
      <w:r w:rsidR="001C331E">
        <w:rPr>
          <w:rFonts w:ascii="Helvetica" w:hAnsi="Helvetica"/>
          <w:b/>
          <w:szCs w:val="20"/>
          <w:lang w:val="es-UY" w:eastAsia="ar-SA"/>
        </w:rPr>
        <w:t>5446</w:t>
      </w:r>
      <w:r w:rsidRPr="001C331E">
        <w:rPr>
          <w:rFonts w:ascii="Helvetica" w:hAnsi="Helvetica"/>
          <w:b/>
          <w:szCs w:val="20"/>
          <w:lang w:val="es-UY" w:eastAsia="ar-SA"/>
        </w:rPr>
        <w:t xml:space="preserve">, </w:t>
      </w:r>
      <w:proofErr w:type="spellStart"/>
      <w:r w:rsidRPr="001C331E">
        <w:rPr>
          <w:rFonts w:ascii="Helvetica" w:hAnsi="Helvetica"/>
          <w:b/>
          <w:szCs w:val="20"/>
          <w:lang w:val="es-UY" w:eastAsia="ar-SA"/>
        </w:rPr>
        <w:t>Ent</w:t>
      </w:r>
      <w:proofErr w:type="spellEnd"/>
      <w:r w:rsidRPr="001C331E">
        <w:rPr>
          <w:rFonts w:ascii="Helvetica" w:hAnsi="Helvetica"/>
          <w:b/>
          <w:szCs w:val="20"/>
          <w:lang w:val="es-UY" w:eastAsia="ar-SA"/>
        </w:rPr>
        <w:t xml:space="preserve">. N° </w:t>
      </w:r>
      <w:r w:rsidR="001C331E">
        <w:rPr>
          <w:rFonts w:ascii="Helvetica" w:hAnsi="Helvetica"/>
          <w:b/>
          <w:szCs w:val="20"/>
          <w:lang w:val="es-UY" w:eastAsia="ar-SA"/>
        </w:rPr>
        <w:t>2575</w:t>
      </w:r>
      <w:r w:rsidRPr="001C331E">
        <w:rPr>
          <w:rFonts w:ascii="Helvetica" w:hAnsi="Helvetica"/>
          <w:b/>
          <w:szCs w:val="20"/>
          <w:lang w:val="es-UY" w:eastAsia="ar-SA"/>
        </w:rPr>
        <w:t>/</w:t>
      </w:r>
      <w:r w:rsidR="001C331E">
        <w:rPr>
          <w:rFonts w:ascii="Helvetica" w:hAnsi="Helvetica"/>
          <w:b/>
          <w:szCs w:val="20"/>
          <w:lang w:val="es-UY" w:eastAsia="ar-SA"/>
        </w:rPr>
        <w:t>17</w:t>
      </w:r>
      <w:r w:rsidRPr="001C331E">
        <w:rPr>
          <w:rFonts w:ascii="Helvetica" w:hAnsi="Helvetica"/>
          <w:b/>
          <w:szCs w:val="20"/>
          <w:lang w:val="es-UY" w:eastAsia="ar-SA"/>
        </w:rPr>
        <w:t>)</w:t>
      </w:r>
    </w:p>
    <w:p w:rsidR="00740251" w:rsidRDefault="00740251" w:rsidP="0098237D">
      <w:pPr>
        <w:pStyle w:val="Ttulo1"/>
        <w:jc w:val="both"/>
      </w:pPr>
    </w:p>
    <w:p w:rsidR="0098237D" w:rsidRDefault="0098237D" w:rsidP="0098237D">
      <w:pPr>
        <w:jc w:val="both"/>
      </w:pPr>
    </w:p>
    <w:p w:rsidR="0098237D" w:rsidRDefault="0098237D" w:rsidP="00A637C5">
      <w:pPr>
        <w:spacing w:line="360" w:lineRule="auto"/>
        <w:ind w:firstLine="851"/>
        <w:jc w:val="both"/>
      </w:pPr>
      <w:r>
        <w:rPr>
          <w:b/>
        </w:rPr>
        <w:t>VISTO:</w:t>
      </w:r>
      <w:r>
        <w:t xml:space="preserve"> estas actuaciones remitidas por la </w:t>
      </w:r>
      <w:r>
        <w:rPr>
          <w:bCs/>
        </w:rPr>
        <w:t xml:space="preserve">Administración Nacional de Combustibles, Alcohol y Portland (ANCAP) </w:t>
      </w:r>
      <w:r>
        <w:t>referente</w:t>
      </w:r>
      <w:r w:rsidR="005F5EE5">
        <w:t>s</w:t>
      </w:r>
      <w:r>
        <w:t xml:space="preserve"> al contrato de </w:t>
      </w:r>
      <w:r w:rsidR="00425640">
        <w:t>f</w:t>
      </w:r>
      <w:r>
        <w:t xml:space="preserve">ideicomiso de </w:t>
      </w:r>
      <w:r w:rsidR="00425640">
        <w:t>a</w:t>
      </w:r>
      <w:r>
        <w:t>dministración del boleto;</w:t>
      </w:r>
    </w:p>
    <w:p w:rsidR="0098237D" w:rsidRDefault="0098237D" w:rsidP="00A637C5">
      <w:pPr>
        <w:pStyle w:val="Textoindependiente"/>
        <w:ind w:firstLine="851"/>
        <w:rPr>
          <w:bCs/>
        </w:rPr>
      </w:pPr>
      <w:r>
        <w:rPr>
          <w:b/>
        </w:rPr>
        <w:t>RESULTANDO:</w:t>
      </w:r>
      <w:r>
        <w:t xml:space="preserve"> </w:t>
      </w:r>
      <w:r>
        <w:rPr>
          <w:b/>
        </w:rPr>
        <w:t xml:space="preserve">1) </w:t>
      </w:r>
      <w:r>
        <w:rPr>
          <w:bCs/>
        </w:rPr>
        <w:t xml:space="preserve">que por </w:t>
      </w:r>
      <w:r w:rsidR="00781108">
        <w:rPr>
          <w:bCs/>
        </w:rPr>
        <w:t>D</w:t>
      </w:r>
      <w:r>
        <w:rPr>
          <w:bCs/>
        </w:rPr>
        <w:t xml:space="preserve">ecreto Nº 347/006 del 28/9/06, el Poder Ejecutivo  encomendó a la Corporación Nacional para el Desarrollo (CND) y a ANCAP,  </w:t>
      </w:r>
      <w:r w:rsidR="005F5EE5">
        <w:rPr>
          <w:bCs/>
        </w:rPr>
        <w:t>l</w:t>
      </w:r>
      <w:r>
        <w:rPr>
          <w:bCs/>
        </w:rPr>
        <w:t>a constitu</w:t>
      </w:r>
      <w:r w:rsidR="005F5EE5">
        <w:rPr>
          <w:bCs/>
        </w:rPr>
        <w:t>ción de</w:t>
      </w:r>
      <w:r>
        <w:rPr>
          <w:bCs/>
        </w:rPr>
        <w:t xml:space="preserve"> un fideicomiso de administración,</w:t>
      </w:r>
      <w:r w:rsidR="00660E75">
        <w:rPr>
          <w:bCs/>
        </w:rPr>
        <w:t xml:space="preserve">  para implementar</w:t>
      </w:r>
      <w:r>
        <w:rPr>
          <w:bCs/>
        </w:rPr>
        <w:t xml:space="preserve"> una política dirigida al sector del transporte colectivo de pasajeros, con el objetivo de lograr un abatimiento del precio de dicho servicio al usuario</w:t>
      </w:r>
      <w:r w:rsidR="00AC27EA">
        <w:rPr>
          <w:bCs/>
        </w:rPr>
        <w:t>;</w:t>
      </w:r>
    </w:p>
    <w:p w:rsidR="00781108" w:rsidRDefault="0098237D" w:rsidP="00A637C5">
      <w:pPr>
        <w:pStyle w:val="Textoindependiente"/>
        <w:ind w:firstLine="2694"/>
      </w:pPr>
      <w:r>
        <w:rPr>
          <w:b/>
          <w:bCs/>
        </w:rPr>
        <w:t>2)</w:t>
      </w:r>
      <w:r>
        <w:t xml:space="preserve"> que remitido el fideicomiso referido,  este Tribunal con fecha 6/12/06 observó tanto su constitución como el gasto emergente del mismo, en virtud de que encuentra  su origen en el </w:t>
      </w:r>
      <w:r w:rsidR="00781108">
        <w:t>D</w:t>
      </w:r>
      <w:r>
        <w:t xml:space="preserve">ecreto Nº 347/006 </w:t>
      </w:r>
      <w:r w:rsidR="00660E75">
        <w:t xml:space="preserve">del Poder Ejecutivo, que excede </w:t>
      </w:r>
      <w:r>
        <w:t>su competencia</w:t>
      </w:r>
      <w:r w:rsidR="00660E75">
        <w:t>. En efecto,</w:t>
      </w:r>
      <w:r>
        <w:t xml:space="preserve"> “encomendar” la realización del f</w:t>
      </w:r>
      <w:r w:rsidR="00660E75">
        <w:t xml:space="preserve">ideicomiso referido, </w:t>
      </w:r>
      <w:r>
        <w:t>no resulta compatible con el</w:t>
      </w:r>
      <w:r w:rsidR="00660E75">
        <w:t xml:space="preserve"> acto de directiva, sino que evidencia</w:t>
      </w:r>
      <w:r>
        <w:t xml:space="preserve"> una relació</w:t>
      </w:r>
      <w:r w:rsidR="00660E75">
        <w:t xml:space="preserve">n jurídica de primacía </w:t>
      </w:r>
      <w:r w:rsidR="00307935">
        <w:t>jerárquica</w:t>
      </w:r>
      <w:r>
        <w:t xml:space="preserve"> que escapa al sentido y alcance del control que al </w:t>
      </w:r>
      <w:r w:rsidR="002F2587">
        <w:t>A</w:t>
      </w:r>
      <w:r w:rsidR="00781108">
        <w:t>rtículo</w:t>
      </w:r>
      <w:r>
        <w:t xml:space="preserve"> 197 de la Constitución de la República atribuye al Poder Administrador respecto de los actos o de la gestión que los Entes lleven a cabo e</w:t>
      </w:r>
      <w:r w:rsidR="00660E75">
        <w:t>n el ejercicio de sus cometidos. En consecuencia, vulnera</w:t>
      </w:r>
      <w:r>
        <w:t xml:space="preserve"> la descentralización aut</w:t>
      </w:r>
      <w:r w:rsidR="00660E75">
        <w:t xml:space="preserve">onómica que caracteriza a ANCAP contraviniendo lo preceptuado por el </w:t>
      </w:r>
      <w:r w:rsidR="002F2587">
        <w:t>A</w:t>
      </w:r>
      <w:r w:rsidR="00660E75">
        <w:t>rtículo 191 de la Constitución de la República. Asimismo, no concuerda con</w:t>
      </w:r>
      <w:r>
        <w:t xml:space="preserve"> lo preceptuado por la Ley </w:t>
      </w:r>
      <w:r w:rsidR="00660E75">
        <w:t xml:space="preserve">Nº </w:t>
      </w:r>
      <w:r>
        <w:t>15.785 del 4/12/985 en lo que refiere a la CND</w:t>
      </w:r>
      <w:r w:rsidR="00781108">
        <w:t>;</w:t>
      </w:r>
    </w:p>
    <w:p w:rsidR="0098237D" w:rsidRDefault="00781108" w:rsidP="005E266E">
      <w:pPr>
        <w:pStyle w:val="Textoindependiente"/>
        <w:ind w:firstLine="2694"/>
      </w:pPr>
      <w:r w:rsidRPr="00781108">
        <w:rPr>
          <w:b/>
        </w:rPr>
        <w:lastRenderedPageBreak/>
        <w:t>3)</w:t>
      </w:r>
      <w:r>
        <w:t xml:space="preserve"> que por Resolución </w:t>
      </w:r>
      <w:r w:rsidR="0098237D">
        <w:t>de fecha 7/12/006</w:t>
      </w:r>
      <w:r>
        <w:t xml:space="preserve">, </w:t>
      </w:r>
      <w:r w:rsidR="00425640">
        <w:t xml:space="preserve">se reiteró </w:t>
      </w:r>
      <w:r w:rsidR="0098237D">
        <w:t xml:space="preserve">el gasto </w:t>
      </w:r>
      <w:r>
        <w:t>y</w:t>
      </w:r>
      <w:r w:rsidR="0098237D">
        <w:t xml:space="preserve"> este Tribunal</w:t>
      </w:r>
      <w:r>
        <w:t xml:space="preserve"> mantuvo la observación formulada</w:t>
      </w:r>
      <w:r w:rsidR="0098237D">
        <w:t>, en Sesión de fecha 7/2/07;</w:t>
      </w:r>
    </w:p>
    <w:p w:rsidR="0098237D" w:rsidRDefault="00781108" w:rsidP="005E266E">
      <w:pPr>
        <w:pStyle w:val="Textoindependiente"/>
        <w:ind w:firstLine="2694"/>
      </w:pPr>
      <w:r w:rsidRPr="00781108">
        <w:rPr>
          <w:b/>
        </w:rPr>
        <w:t>4</w:t>
      </w:r>
      <w:r w:rsidR="0098237D" w:rsidRPr="00781108">
        <w:rPr>
          <w:b/>
          <w:bCs/>
        </w:rPr>
        <w:t>)</w:t>
      </w:r>
      <w:r w:rsidR="0098237D">
        <w:t xml:space="preserve"> que</w:t>
      </w:r>
      <w:r w:rsidR="00425640">
        <w:t>,</w:t>
      </w:r>
      <w:r w:rsidR="0098237D">
        <w:t xml:space="preserve"> por Resolución Nº 916/7/2014 del 3/7/14, </w:t>
      </w:r>
      <w:r w:rsidR="00425640">
        <w:t>se</w:t>
      </w:r>
      <w:r w:rsidR="0098237D">
        <w:t xml:space="preserve"> aprobó, en virtud de una solicitud cursada por el MTOP, un proyecto de modificación del contrato</w:t>
      </w:r>
      <w:r w:rsidR="00425640">
        <w:t>,</w:t>
      </w:r>
      <w:r w:rsidR="0098237D">
        <w:t xml:space="preserve"> estableciendo una extensión del plazo del fideicomiso hasta el 07 de diciembre de 2021;</w:t>
      </w:r>
    </w:p>
    <w:p w:rsidR="0098237D" w:rsidRDefault="00781108" w:rsidP="005E266E">
      <w:pPr>
        <w:pStyle w:val="Textoindependiente"/>
        <w:ind w:firstLine="2694"/>
      </w:pPr>
      <w:r>
        <w:rPr>
          <w:b/>
          <w:bCs/>
        </w:rPr>
        <w:t>5</w:t>
      </w:r>
      <w:r w:rsidR="0098237D">
        <w:rPr>
          <w:b/>
          <w:bCs/>
        </w:rPr>
        <w:t>)</w:t>
      </w:r>
      <w:r w:rsidR="0098237D">
        <w:t xml:space="preserve"> que este Tribunal, en Sesión de fecha 30/7/2014, acordó observar la modificación referida</w:t>
      </w:r>
      <w:r w:rsidR="00425640">
        <w:t>,</w:t>
      </w:r>
      <w:r w:rsidR="0098237D">
        <w:t xml:space="preserve"> en </w:t>
      </w:r>
      <w:r w:rsidR="00425640">
        <w:t xml:space="preserve">razón </w:t>
      </w:r>
      <w:r w:rsidR="0098237D">
        <w:t xml:space="preserve"> de que se mantenían las causales de observación realizadas al contrato original;</w:t>
      </w:r>
    </w:p>
    <w:p w:rsidR="0098237D" w:rsidRDefault="00D574D6" w:rsidP="005E266E">
      <w:pPr>
        <w:pStyle w:val="Textoindependiente"/>
        <w:ind w:firstLine="2694"/>
      </w:pPr>
      <w:r w:rsidRPr="00D574D6">
        <w:rPr>
          <w:b/>
        </w:rPr>
        <w:t>6</w:t>
      </w:r>
      <w:r w:rsidR="0098237D" w:rsidRPr="00D574D6">
        <w:rPr>
          <w:b/>
          <w:bCs/>
        </w:rPr>
        <w:t>)</w:t>
      </w:r>
      <w:r w:rsidR="0098237D">
        <w:t xml:space="preserve"> que por Resolución Nº 1169/8/14 del 28/8/14, el Dire</w:t>
      </w:r>
      <w:r w:rsidR="00660E75">
        <w:t>ctorio  reiteró</w:t>
      </w:r>
      <w:r w:rsidR="00425640">
        <w:t xml:space="preserve"> el gasto, y este Tribunal, </w:t>
      </w:r>
      <w:r w:rsidR="0098237D">
        <w:t xml:space="preserve">con fecha 24/9/2014, </w:t>
      </w:r>
      <w:r w:rsidR="00425640">
        <w:t>acord</w:t>
      </w:r>
      <w:r w:rsidR="0098237D">
        <w:t>ó mantener la observación formulada;</w:t>
      </w:r>
    </w:p>
    <w:p w:rsidR="0098237D" w:rsidRDefault="00D574D6" w:rsidP="005E266E">
      <w:pPr>
        <w:pStyle w:val="Textoindependiente"/>
        <w:ind w:firstLine="2694"/>
        <w:rPr>
          <w:bCs/>
          <w:lang w:val="es-MX"/>
        </w:rPr>
      </w:pPr>
      <w:r>
        <w:rPr>
          <w:b/>
          <w:bCs/>
        </w:rPr>
        <w:t>7</w:t>
      </w:r>
      <w:r w:rsidR="0098237D">
        <w:rPr>
          <w:b/>
          <w:bCs/>
        </w:rPr>
        <w:t>)</w:t>
      </w:r>
      <w:r w:rsidR="0098237D">
        <w:rPr>
          <w:bCs/>
          <w:lang w:val="es-MX"/>
        </w:rPr>
        <w:t xml:space="preserve"> que</w:t>
      </w:r>
      <w:r w:rsidR="00425640">
        <w:rPr>
          <w:bCs/>
          <w:lang w:val="es-MX"/>
        </w:rPr>
        <w:t>,</w:t>
      </w:r>
      <w:r w:rsidR="0098237D">
        <w:rPr>
          <w:bCs/>
          <w:lang w:val="es-MX"/>
        </w:rPr>
        <w:t xml:space="preserve"> por Resolución del Directorio No 122/2/2017 de fecha 9</w:t>
      </w:r>
      <w:r>
        <w:rPr>
          <w:bCs/>
          <w:lang w:val="es-MX"/>
        </w:rPr>
        <w:t>/</w:t>
      </w:r>
      <w:r w:rsidR="0098237D">
        <w:rPr>
          <w:bCs/>
          <w:lang w:val="es-MX"/>
        </w:rPr>
        <w:t>02</w:t>
      </w:r>
      <w:r>
        <w:rPr>
          <w:bCs/>
          <w:lang w:val="es-MX"/>
        </w:rPr>
        <w:t>/</w:t>
      </w:r>
      <w:r w:rsidR="0098237D">
        <w:rPr>
          <w:bCs/>
          <w:lang w:val="es-MX"/>
        </w:rPr>
        <w:t>2017</w:t>
      </w:r>
      <w:r w:rsidR="00425640">
        <w:rPr>
          <w:bCs/>
          <w:lang w:val="es-MX"/>
        </w:rPr>
        <w:t>,</w:t>
      </w:r>
      <w:r w:rsidR="0098237D">
        <w:rPr>
          <w:bCs/>
          <w:lang w:val="es-MX"/>
        </w:rPr>
        <w:t xml:space="preserve"> </w:t>
      </w:r>
      <w:r w:rsidR="00EB680D">
        <w:rPr>
          <w:bCs/>
          <w:lang w:val="es-MX"/>
        </w:rPr>
        <w:t>se</w:t>
      </w:r>
      <w:r w:rsidR="0098237D">
        <w:rPr>
          <w:bCs/>
          <w:lang w:val="es-MX"/>
        </w:rPr>
        <w:t xml:space="preserve"> aprob</w:t>
      </w:r>
      <w:r w:rsidR="00EB680D">
        <w:rPr>
          <w:bCs/>
          <w:lang w:val="es-MX"/>
        </w:rPr>
        <w:t>ó</w:t>
      </w:r>
      <w:r w:rsidR="0098237D">
        <w:rPr>
          <w:bCs/>
          <w:lang w:val="es-MX"/>
        </w:rPr>
        <w:t xml:space="preserve"> la </w:t>
      </w:r>
      <w:r w:rsidR="00ED24A9">
        <w:rPr>
          <w:bCs/>
          <w:lang w:val="es-MX"/>
        </w:rPr>
        <w:t>m</w:t>
      </w:r>
      <w:r w:rsidR="0098237D">
        <w:rPr>
          <w:bCs/>
          <w:lang w:val="es-MX"/>
        </w:rPr>
        <w:t xml:space="preserve">odificación del </w:t>
      </w:r>
      <w:r w:rsidR="00425640">
        <w:rPr>
          <w:bCs/>
          <w:lang w:val="es-MX"/>
        </w:rPr>
        <w:t>c</w:t>
      </w:r>
      <w:r w:rsidR="0098237D">
        <w:rPr>
          <w:bCs/>
          <w:lang w:val="es-MX"/>
        </w:rPr>
        <w:t xml:space="preserve">ontrato de </w:t>
      </w:r>
      <w:r w:rsidR="00425640">
        <w:rPr>
          <w:bCs/>
          <w:lang w:val="es-MX"/>
        </w:rPr>
        <w:t>f</w:t>
      </w:r>
      <w:r w:rsidR="0098237D">
        <w:rPr>
          <w:bCs/>
          <w:lang w:val="es-MX"/>
        </w:rPr>
        <w:t>ideicomiso</w:t>
      </w:r>
      <w:r w:rsidR="00ED24A9">
        <w:rPr>
          <w:bCs/>
          <w:lang w:val="es-MX"/>
        </w:rPr>
        <w:t xml:space="preserve"> referido,</w:t>
      </w:r>
      <w:r w:rsidR="00ED24A9" w:rsidRPr="00ED24A9">
        <w:rPr>
          <w:bCs/>
          <w:lang w:val="es-MX"/>
        </w:rPr>
        <w:t xml:space="preserve"> </w:t>
      </w:r>
      <w:r w:rsidR="00ED24A9">
        <w:rPr>
          <w:bCs/>
          <w:lang w:val="es-MX"/>
        </w:rPr>
        <w:t>extendiendo nuevamente el plazo de vigencia del mismo hasta el 7 de diciembre de 2024, llevándola a 18 años de duración, desde la fecha de su creación el 7</w:t>
      </w:r>
      <w:r w:rsidR="005F5EE5">
        <w:rPr>
          <w:bCs/>
          <w:lang w:val="es-MX"/>
        </w:rPr>
        <w:t>/</w:t>
      </w:r>
      <w:r w:rsidR="00ED24A9">
        <w:rPr>
          <w:bCs/>
          <w:lang w:val="es-MX"/>
        </w:rPr>
        <w:t>12</w:t>
      </w:r>
      <w:r w:rsidR="005F5EE5">
        <w:rPr>
          <w:bCs/>
          <w:lang w:val="es-MX"/>
        </w:rPr>
        <w:t>/</w:t>
      </w:r>
      <w:r w:rsidR="00ED24A9">
        <w:rPr>
          <w:bCs/>
          <w:lang w:val="es-MX"/>
        </w:rPr>
        <w:t>06,</w:t>
      </w:r>
      <w:r w:rsidR="0098237D">
        <w:rPr>
          <w:bCs/>
          <w:lang w:val="es-MX"/>
        </w:rPr>
        <w:t xml:space="preserve"> </w:t>
      </w:r>
      <w:r w:rsidR="00ED24A9">
        <w:rPr>
          <w:bCs/>
          <w:lang w:val="es-MX"/>
        </w:rPr>
        <w:t>condicionándose</w:t>
      </w:r>
      <w:r w:rsidR="0098237D">
        <w:rPr>
          <w:bCs/>
          <w:lang w:val="es-MX"/>
        </w:rPr>
        <w:t xml:space="preserve"> la suscripción de la modificación </w:t>
      </w:r>
      <w:r w:rsidR="00ED24A9">
        <w:rPr>
          <w:bCs/>
          <w:lang w:val="es-MX"/>
        </w:rPr>
        <w:t xml:space="preserve">referida </w:t>
      </w:r>
      <w:r w:rsidR="0098237D">
        <w:rPr>
          <w:bCs/>
          <w:lang w:val="es-MX"/>
        </w:rPr>
        <w:t xml:space="preserve"> a la intervención preventiva del Tribunal de Cuentas;</w:t>
      </w:r>
    </w:p>
    <w:p w:rsidR="005F5EE5" w:rsidRDefault="005F5EE5" w:rsidP="005E266E">
      <w:pPr>
        <w:pStyle w:val="Textoindependiente"/>
        <w:ind w:firstLine="2694"/>
        <w:rPr>
          <w:bCs/>
          <w:lang w:val="es-MX"/>
        </w:rPr>
      </w:pPr>
      <w:r w:rsidRPr="005F5EE5">
        <w:rPr>
          <w:b/>
          <w:bCs/>
          <w:lang w:val="es-MX"/>
        </w:rPr>
        <w:t>8)</w:t>
      </w:r>
      <w:r>
        <w:rPr>
          <w:bCs/>
          <w:lang w:val="es-MX"/>
        </w:rPr>
        <w:t xml:space="preserve"> que</w:t>
      </w:r>
      <w:r w:rsidR="00425640">
        <w:rPr>
          <w:bCs/>
          <w:lang w:val="es-MX"/>
        </w:rPr>
        <w:t>,</w:t>
      </w:r>
      <w:r>
        <w:rPr>
          <w:bCs/>
          <w:lang w:val="es-MX"/>
        </w:rPr>
        <w:t xml:space="preserve"> con fecha 15/3/17, este Tribunal acordó observar la modificación referida, </w:t>
      </w:r>
      <w:r>
        <w:t>en virtud de que se mantenían las causales de observación realizadas al contrato original;</w:t>
      </w:r>
    </w:p>
    <w:p w:rsidR="00ED24A9" w:rsidRDefault="005F5EE5" w:rsidP="005E266E">
      <w:pPr>
        <w:pStyle w:val="Textoindependiente"/>
        <w:ind w:firstLine="2694"/>
        <w:rPr>
          <w:bCs/>
          <w:lang w:val="es-MX"/>
        </w:rPr>
      </w:pPr>
      <w:r w:rsidRPr="005F5EE5">
        <w:rPr>
          <w:b/>
          <w:bCs/>
          <w:lang w:val="es-MX"/>
        </w:rPr>
        <w:t>9</w:t>
      </w:r>
      <w:r w:rsidR="00ED24A9" w:rsidRPr="005F5EE5">
        <w:rPr>
          <w:b/>
          <w:bCs/>
          <w:lang w:val="es-MX"/>
        </w:rPr>
        <w:t>)</w:t>
      </w:r>
      <w:r w:rsidR="00ED24A9">
        <w:rPr>
          <w:bCs/>
          <w:lang w:val="es-MX"/>
        </w:rPr>
        <w:t xml:space="preserve"> que en esta oportunidad</w:t>
      </w:r>
      <w:r w:rsidR="00425640">
        <w:rPr>
          <w:bCs/>
          <w:lang w:val="es-MX"/>
        </w:rPr>
        <w:t>,</w:t>
      </w:r>
      <w:r w:rsidR="00ED24A9">
        <w:rPr>
          <w:bCs/>
          <w:lang w:val="es-MX"/>
        </w:rPr>
        <w:t xml:space="preserve"> se remite  Resolución del Directorio </w:t>
      </w:r>
      <w:r w:rsidR="00D405C9">
        <w:rPr>
          <w:bCs/>
          <w:lang w:val="es-MX"/>
        </w:rPr>
        <w:t xml:space="preserve">Nº 513/5/2017 </w:t>
      </w:r>
      <w:r w:rsidR="00ED24A9">
        <w:rPr>
          <w:bCs/>
          <w:lang w:val="es-MX"/>
        </w:rPr>
        <w:t>dic</w:t>
      </w:r>
      <w:r w:rsidR="00660E75">
        <w:rPr>
          <w:bCs/>
          <w:lang w:val="es-MX"/>
        </w:rPr>
        <w:t>tada el 18/5/17, por la cual se insiste</w:t>
      </w:r>
      <w:r w:rsidR="00D405C9">
        <w:rPr>
          <w:bCs/>
          <w:lang w:val="es-MX"/>
        </w:rPr>
        <w:t xml:space="preserve"> en el </w:t>
      </w:r>
      <w:r w:rsidR="00425640">
        <w:rPr>
          <w:bCs/>
          <w:lang w:val="es-MX"/>
        </w:rPr>
        <w:t xml:space="preserve">gasto, señalándose que </w:t>
      </w:r>
      <w:r w:rsidR="00D405C9">
        <w:rPr>
          <w:bCs/>
          <w:lang w:val="es-MX"/>
        </w:rPr>
        <w:t xml:space="preserve">la modificación  contractual propuesta se ajusta plenamente a </w:t>
      </w:r>
      <w:r w:rsidR="00425640">
        <w:rPr>
          <w:bCs/>
          <w:lang w:val="es-MX"/>
        </w:rPr>
        <w:t>d</w:t>
      </w:r>
      <w:r w:rsidR="00D405C9">
        <w:rPr>
          <w:bCs/>
          <w:lang w:val="es-MX"/>
        </w:rPr>
        <w:t xml:space="preserve">erecho, </w:t>
      </w:r>
      <w:r w:rsidR="0011389A">
        <w:rPr>
          <w:bCs/>
          <w:lang w:val="es-MX"/>
        </w:rPr>
        <w:t>manteniéndose</w:t>
      </w:r>
      <w:r w:rsidR="00D405C9">
        <w:rPr>
          <w:bCs/>
          <w:lang w:val="es-MX"/>
        </w:rPr>
        <w:t xml:space="preserve"> en su totalidad los argumentos expuestos en la </w:t>
      </w:r>
      <w:r w:rsidR="0011389A">
        <w:rPr>
          <w:bCs/>
          <w:lang w:val="es-MX"/>
        </w:rPr>
        <w:t>Resolución</w:t>
      </w:r>
      <w:r w:rsidR="00D405C9">
        <w:rPr>
          <w:bCs/>
          <w:lang w:val="es-MX"/>
        </w:rPr>
        <w:t xml:space="preserve"> de Presidencia de ANCAP del 7/12/06, ratificada por </w:t>
      </w:r>
      <w:r w:rsidR="0011389A">
        <w:rPr>
          <w:bCs/>
          <w:lang w:val="es-MX"/>
        </w:rPr>
        <w:t>Resolución</w:t>
      </w:r>
      <w:r w:rsidR="00D405C9">
        <w:rPr>
          <w:bCs/>
          <w:lang w:val="es-MX"/>
        </w:rPr>
        <w:t xml:space="preserve"> </w:t>
      </w:r>
      <w:r w:rsidR="0011389A">
        <w:rPr>
          <w:bCs/>
          <w:lang w:val="es-MX"/>
        </w:rPr>
        <w:t xml:space="preserve">del </w:t>
      </w:r>
      <w:r w:rsidR="00D405C9">
        <w:rPr>
          <w:bCs/>
          <w:lang w:val="es-MX"/>
        </w:rPr>
        <w:t>Directorio Nº 1007/12/2006 del 14/12/06;</w:t>
      </w:r>
    </w:p>
    <w:p w:rsidR="00535DA0" w:rsidRDefault="00535DA0" w:rsidP="00E23B15">
      <w:pPr>
        <w:tabs>
          <w:tab w:val="left" w:pos="2160"/>
        </w:tabs>
        <w:spacing w:line="360" w:lineRule="auto"/>
        <w:ind w:firstLine="851"/>
        <w:jc w:val="both"/>
        <w:rPr>
          <w:rFonts w:cs="Arial"/>
          <w:szCs w:val="17"/>
          <w:shd w:val="clear" w:color="auto" w:fill="FFFFFF"/>
        </w:rPr>
      </w:pPr>
      <w:r>
        <w:rPr>
          <w:b/>
          <w:bCs/>
        </w:rPr>
        <w:t xml:space="preserve">CONSIDERANDO: </w:t>
      </w:r>
      <w:r>
        <w:rPr>
          <w:rFonts w:cs="Arial"/>
          <w:b/>
          <w:bCs/>
        </w:rPr>
        <w:t>1)</w:t>
      </w:r>
      <w:r>
        <w:rPr>
          <w:rFonts w:cs="Arial"/>
          <w:b/>
          <w:bCs/>
          <w:color w:val="000000"/>
        </w:rPr>
        <w:t xml:space="preserve"> </w:t>
      </w:r>
      <w:r>
        <w:rPr>
          <w:rFonts w:cs="Arial"/>
          <w:bCs/>
          <w:color w:val="000000"/>
        </w:rPr>
        <w:t xml:space="preserve">que el </w:t>
      </w:r>
      <w:r w:rsidR="002032A1">
        <w:rPr>
          <w:rFonts w:cs="Arial"/>
          <w:bCs/>
          <w:color w:val="000000"/>
        </w:rPr>
        <w:t>A</w:t>
      </w:r>
      <w:r>
        <w:rPr>
          <w:rFonts w:cs="Arial"/>
          <w:bCs/>
          <w:color w:val="000000"/>
        </w:rPr>
        <w:t xml:space="preserve">rtículo 475 de la Ley 17.296, establece que los Ordenadores de gastos o pagos, al ejercer la facultad de insistencia o </w:t>
      </w:r>
      <w:r>
        <w:rPr>
          <w:rFonts w:cs="Arial"/>
          <w:bCs/>
          <w:color w:val="000000"/>
        </w:rPr>
        <w:lastRenderedPageBreak/>
        <w:t xml:space="preserve">reiteración que les acuerda el </w:t>
      </w:r>
      <w:r w:rsidR="00E23B15">
        <w:rPr>
          <w:rFonts w:cs="Arial"/>
          <w:bCs/>
          <w:color w:val="000000"/>
        </w:rPr>
        <w:t>L</w:t>
      </w:r>
      <w:r>
        <w:rPr>
          <w:rFonts w:cs="Arial"/>
          <w:bCs/>
          <w:color w:val="000000"/>
        </w:rPr>
        <w:t xml:space="preserve">iteral B) del </w:t>
      </w:r>
      <w:r w:rsidR="00E23B15">
        <w:rPr>
          <w:rFonts w:cs="Arial"/>
          <w:bCs/>
          <w:color w:val="000000"/>
        </w:rPr>
        <w:t>A</w:t>
      </w:r>
      <w:r>
        <w:rPr>
          <w:rFonts w:cs="Arial"/>
          <w:bCs/>
          <w:color w:val="000000"/>
        </w:rPr>
        <w:t>rtículo 211 de la Constitución de la República, deben hacerlo en forma fundada, detallando los motivos que a su juicio justifican seguir el curso del gasto o pago;</w:t>
      </w:r>
    </w:p>
    <w:p w:rsidR="00535DA0" w:rsidRDefault="00535DA0" w:rsidP="00E23B15">
      <w:pPr>
        <w:spacing w:line="360" w:lineRule="auto"/>
        <w:ind w:firstLine="2977"/>
        <w:jc w:val="both"/>
        <w:rPr>
          <w:bCs/>
        </w:rPr>
      </w:pPr>
      <w:r>
        <w:rPr>
          <w:b/>
        </w:rPr>
        <w:t xml:space="preserve">2) </w:t>
      </w:r>
      <w:r>
        <w:rPr>
          <w:bCs/>
        </w:rPr>
        <w:t>que los motivos alegados por ANCAP para proceder a</w:t>
      </w:r>
      <w:r>
        <w:rPr>
          <w:b/>
        </w:rPr>
        <w:t xml:space="preserve"> </w:t>
      </w:r>
      <w:r>
        <w:t>la</w:t>
      </w:r>
      <w:r>
        <w:rPr>
          <w:b/>
        </w:rPr>
        <w:t xml:space="preserve"> </w:t>
      </w:r>
      <w:r>
        <w:rPr>
          <w:bCs/>
        </w:rPr>
        <w:t>reiteración del gasto, no modifican los argumentos expresados por este Tribunal, en la Resolución de fecha 1</w:t>
      </w:r>
      <w:r w:rsidR="000863C4">
        <w:rPr>
          <w:bCs/>
        </w:rPr>
        <w:t>5</w:t>
      </w:r>
      <w:r>
        <w:rPr>
          <w:bCs/>
        </w:rPr>
        <w:t xml:space="preserve"> de </w:t>
      </w:r>
      <w:r w:rsidR="000863C4">
        <w:rPr>
          <w:bCs/>
        </w:rPr>
        <w:t>marzo</w:t>
      </w:r>
      <w:r>
        <w:rPr>
          <w:bCs/>
        </w:rPr>
        <w:t xml:space="preserve"> de 201</w:t>
      </w:r>
      <w:r w:rsidR="000863C4">
        <w:rPr>
          <w:bCs/>
        </w:rPr>
        <w:t>7</w:t>
      </w:r>
      <w:r>
        <w:rPr>
          <w:bCs/>
        </w:rPr>
        <w:t>;</w:t>
      </w:r>
    </w:p>
    <w:p w:rsidR="00535DA0" w:rsidRDefault="00535DA0" w:rsidP="00E23B15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>ATENTO:</w:t>
      </w:r>
      <w:r>
        <w:rPr>
          <w:rFonts w:cs="Arial"/>
          <w:lang w:val="es-MX"/>
        </w:rPr>
        <w:t xml:space="preserve"> a lo expresado precedentemente</w:t>
      </w:r>
      <w:r>
        <w:t xml:space="preserve"> </w:t>
      </w:r>
      <w:r>
        <w:rPr>
          <w:rFonts w:cs="Arial"/>
          <w:lang w:val="es-MX"/>
        </w:rPr>
        <w:t xml:space="preserve">y a lo dispuesto por el </w:t>
      </w:r>
      <w:r w:rsidR="00E23B15">
        <w:rPr>
          <w:rFonts w:cs="Arial"/>
          <w:lang w:val="es-MX"/>
        </w:rPr>
        <w:t>A</w:t>
      </w:r>
      <w:r>
        <w:rPr>
          <w:rFonts w:cs="Arial"/>
          <w:lang w:val="es-MX"/>
        </w:rPr>
        <w:t xml:space="preserve">rtículo 211 </w:t>
      </w:r>
      <w:r w:rsidR="00E23B15">
        <w:rPr>
          <w:rFonts w:cs="Arial"/>
          <w:lang w:val="es-MX"/>
        </w:rPr>
        <w:t>L</w:t>
      </w:r>
      <w:r>
        <w:rPr>
          <w:rFonts w:cs="Arial"/>
          <w:lang w:val="es-MX"/>
        </w:rPr>
        <w:t>it</w:t>
      </w:r>
      <w:r w:rsidR="00E23B15">
        <w:rPr>
          <w:rFonts w:cs="Arial"/>
          <w:lang w:val="es-MX"/>
        </w:rPr>
        <w:t>eral</w:t>
      </w:r>
      <w:r>
        <w:rPr>
          <w:rFonts w:cs="Arial"/>
          <w:lang w:val="es-MX"/>
        </w:rPr>
        <w:t xml:space="preserve"> B) de la Constitución</w:t>
      </w:r>
      <w:r w:rsidR="00E23B15">
        <w:rPr>
          <w:rFonts w:cs="Arial"/>
          <w:lang w:val="es-MX"/>
        </w:rPr>
        <w:t xml:space="preserve"> de la República</w:t>
      </w:r>
      <w:r>
        <w:rPr>
          <w:rFonts w:cs="Arial"/>
          <w:lang w:val="es-MX"/>
        </w:rPr>
        <w:t>;</w:t>
      </w:r>
    </w:p>
    <w:p w:rsidR="00535DA0" w:rsidRDefault="00535DA0" w:rsidP="00535DA0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535DA0" w:rsidRDefault="00535DA0" w:rsidP="00E23B15">
      <w:pPr>
        <w:spacing w:line="360" w:lineRule="auto"/>
        <w:jc w:val="both"/>
        <w:rPr>
          <w:rFonts w:cs="Arial"/>
          <w:lang w:val="es-UY"/>
        </w:rPr>
      </w:pPr>
      <w:r w:rsidRPr="00E23B15">
        <w:rPr>
          <w:rFonts w:cs="Arial"/>
          <w:b/>
          <w:lang w:val="es-UY"/>
        </w:rPr>
        <w:t>1)</w:t>
      </w:r>
      <w:r>
        <w:rPr>
          <w:rFonts w:cs="Arial"/>
          <w:lang w:val="es-UY"/>
        </w:rPr>
        <w:t xml:space="preserve"> Mantener la observación formulada con fecha </w:t>
      </w:r>
      <w:r>
        <w:rPr>
          <w:bCs/>
        </w:rPr>
        <w:t>15 de marzo de 2017</w:t>
      </w:r>
      <w:r w:rsidR="00AC27EA">
        <w:rPr>
          <w:rFonts w:cs="Arial"/>
          <w:lang w:val="es-UY"/>
        </w:rPr>
        <w:t>;</w:t>
      </w:r>
    </w:p>
    <w:p w:rsidR="00E07D90" w:rsidRDefault="00535DA0" w:rsidP="00E23B15">
      <w:pPr>
        <w:spacing w:line="360" w:lineRule="auto"/>
        <w:jc w:val="both"/>
        <w:rPr>
          <w:rFonts w:cs="Arial"/>
          <w:lang w:val="es-UY"/>
        </w:rPr>
      </w:pPr>
      <w:r w:rsidRPr="00E23B15">
        <w:rPr>
          <w:rFonts w:cs="Arial"/>
          <w:b/>
          <w:lang w:val="es-UY"/>
        </w:rPr>
        <w:t>2)</w:t>
      </w:r>
      <w:r>
        <w:rPr>
          <w:rFonts w:cs="Arial"/>
          <w:lang w:val="es-UY"/>
        </w:rPr>
        <w:t xml:space="preserve"> Dar cuenta al Poder Ejecutivo y a la </w:t>
      </w:r>
      <w:r w:rsidR="00E07D90">
        <w:rPr>
          <w:rFonts w:cs="Arial"/>
          <w:lang w:val="es-UY"/>
        </w:rPr>
        <w:t>Administra</w:t>
      </w:r>
      <w:r w:rsidR="00AC27EA">
        <w:rPr>
          <w:rFonts w:cs="Arial"/>
          <w:lang w:val="es-UY"/>
        </w:rPr>
        <w:t>ción actuante;</w:t>
      </w:r>
    </w:p>
    <w:p w:rsidR="00535DA0" w:rsidRDefault="00E07D90" w:rsidP="00E23B15">
      <w:pPr>
        <w:spacing w:line="360" w:lineRule="auto"/>
        <w:jc w:val="both"/>
        <w:rPr>
          <w:rFonts w:cs="Arial"/>
          <w:lang w:val="es-UY"/>
        </w:rPr>
      </w:pPr>
      <w:r w:rsidRPr="00E07D90">
        <w:rPr>
          <w:rFonts w:cs="Arial"/>
          <w:b/>
          <w:lang w:val="es-UY"/>
        </w:rPr>
        <w:t>3)</w:t>
      </w:r>
      <w:r>
        <w:rPr>
          <w:rFonts w:cs="Arial"/>
          <w:lang w:val="es-UY"/>
        </w:rPr>
        <w:t xml:space="preserve"> Dar cuenta a la Asamblea General.</w:t>
      </w:r>
    </w:p>
    <w:p w:rsidR="00535DA0" w:rsidRDefault="00535DA0" w:rsidP="00535DA0">
      <w:pPr>
        <w:spacing w:line="360" w:lineRule="auto"/>
        <w:jc w:val="right"/>
        <w:rPr>
          <w:rFonts w:cs="Arial"/>
          <w:bCs/>
          <w:lang w:val="es-MX"/>
        </w:rPr>
      </w:pPr>
    </w:p>
    <w:p w:rsidR="00535DA0" w:rsidRPr="00AC27EA" w:rsidRDefault="00E23B15" w:rsidP="0098237D">
      <w:pPr>
        <w:pStyle w:val="Textoindependiente"/>
      </w:pPr>
      <w:proofErr w:type="spellStart"/>
      <w:proofErr w:type="gramStart"/>
      <w:r>
        <w:t>ag</w:t>
      </w:r>
      <w:proofErr w:type="spellEnd"/>
      <w:proofErr w:type="gramEnd"/>
    </w:p>
    <w:sectPr w:rsidR="00535DA0" w:rsidRPr="00AC27EA" w:rsidSect="00C61BC7">
      <w:pgSz w:w="11907" w:h="16840" w:code="9"/>
      <w:pgMar w:top="3289" w:right="1701" w:bottom="1134" w:left="1701" w:header="720" w:footer="720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21480"/>
    <w:multiLevelType w:val="hybridMultilevel"/>
    <w:tmpl w:val="C33C914E"/>
    <w:lvl w:ilvl="0" w:tplc="DB5C1C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37D"/>
    <w:rsid w:val="0005783B"/>
    <w:rsid w:val="000863C4"/>
    <w:rsid w:val="0011389A"/>
    <w:rsid w:val="001C331E"/>
    <w:rsid w:val="001E070A"/>
    <w:rsid w:val="002032A1"/>
    <w:rsid w:val="002F2587"/>
    <w:rsid w:val="00307935"/>
    <w:rsid w:val="0041781F"/>
    <w:rsid w:val="00425640"/>
    <w:rsid w:val="00535DA0"/>
    <w:rsid w:val="00566024"/>
    <w:rsid w:val="005A7A38"/>
    <w:rsid w:val="005E266E"/>
    <w:rsid w:val="005F5EE5"/>
    <w:rsid w:val="00660E75"/>
    <w:rsid w:val="00740251"/>
    <w:rsid w:val="00781108"/>
    <w:rsid w:val="0098237D"/>
    <w:rsid w:val="009D42FF"/>
    <w:rsid w:val="009D7B29"/>
    <w:rsid w:val="00A637C5"/>
    <w:rsid w:val="00AC27EA"/>
    <w:rsid w:val="00B27DDC"/>
    <w:rsid w:val="00C61BC7"/>
    <w:rsid w:val="00D3570A"/>
    <w:rsid w:val="00D405C9"/>
    <w:rsid w:val="00D574D6"/>
    <w:rsid w:val="00E07D90"/>
    <w:rsid w:val="00E23B15"/>
    <w:rsid w:val="00EB680D"/>
    <w:rsid w:val="00ED24A9"/>
    <w:rsid w:val="00FC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37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8237D"/>
    <w:pPr>
      <w:keepNext/>
      <w:spacing w:line="360" w:lineRule="auto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98237D"/>
    <w:pPr>
      <w:keepNext/>
      <w:spacing w:line="360" w:lineRule="auto"/>
      <w:jc w:val="center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237D"/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98237D"/>
    <w:rPr>
      <w:rFonts w:ascii="Arial" w:eastAsia="Times New Roman" w:hAnsi="Arial" w:cs="Times New Roman"/>
      <w:b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98237D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98237D"/>
    <w:rPr>
      <w:rFonts w:ascii="Arial" w:eastAsia="Times New Roman" w:hAnsi="Arial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1B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BC7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37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8237D"/>
    <w:pPr>
      <w:keepNext/>
      <w:spacing w:line="360" w:lineRule="auto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98237D"/>
    <w:pPr>
      <w:keepNext/>
      <w:spacing w:line="360" w:lineRule="auto"/>
      <w:jc w:val="center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237D"/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98237D"/>
    <w:rPr>
      <w:rFonts w:ascii="Arial" w:eastAsia="Times New Roman" w:hAnsi="Arial" w:cs="Times New Roman"/>
      <w:b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98237D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98237D"/>
    <w:rPr>
      <w:rFonts w:ascii="Arial" w:eastAsia="Times New Roman" w:hAnsi="Arial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1B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BC7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645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MIGUEL ECHEVERRIA SOUTO</dc:creator>
  <cp:lastModifiedBy>Tribunal1</cp:lastModifiedBy>
  <cp:revision>14</cp:revision>
  <cp:lastPrinted>2017-06-23T18:15:00Z</cp:lastPrinted>
  <dcterms:created xsi:type="dcterms:W3CDTF">2017-06-22T19:23:00Z</dcterms:created>
  <dcterms:modified xsi:type="dcterms:W3CDTF">2017-07-21T16:19:00Z</dcterms:modified>
</cp:coreProperties>
</file>