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EF4" w:rsidRPr="00786EEB" w:rsidRDefault="00722EF4" w:rsidP="003A0698">
      <w:pPr>
        <w:tabs>
          <w:tab w:val="center" w:pos="4253"/>
        </w:tabs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1108/17</w:t>
      </w:r>
    </w:p>
    <w:p w:rsidR="00722EF4" w:rsidRDefault="00722EF4" w:rsidP="00722EF4">
      <w:pPr>
        <w:tabs>
          <w:tab w:val="center" w:pos="4253"/>
        </w:tabs>
        <w:jc w:val="right"/>
        <w:rPr>
          <w:rFonts w:ascii="Arial" w:hAnsi="Arial" w:cs="Arial"/>
          <w:b/>
          <w:lang w:val="es-ES_tradnl"/>
        </w:rPr>
      </w:pPr>
    </w:p>
    <w:p w:rsidR="00722EF4" w:rsidRPr="00722EF4" w:rsidRDefault="00722EF4" w:rsidP="00722EF4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22EF4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722EF4" w:rsidRPr="00722EF4" w:rsidRDefault="00722EF4" w:rsidP="00722EF4">
      <w:pPr>
        <w:tabs>
          <w:tab w:val="left" w:pos="-72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22EF4" w:rsidRPr="00722EF4" w:rsidRDefault="00722EF4" w:rsidP="00722EF4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22EF4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722EF4" w:rsidRPr="00722EF4" w:rsidRDefault="00722EF4" w:rsidP="00722EF4">
      <w:pPr>
        <w:tabs>
          <w:tab w:val="left" w:pos="-72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22EF4" w:rsidRPr="00722EF4" w:rsidRDefault="00722EF4" w:rsidP="00722EF4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22EF4">
        <w:rPr>
          <w:rFonts w:ascii="Arial" w:hAnsi="Arial" w:cs="Arial"/>
          <w:b/>
          <w:sz w:val="24"/>
          <w:szCs w:val="24"/>
          <w:lang w:val="es-ES_tradnl"/>
        </w:rPr>
        <w:t>EN SESION DE FECHA 5 DE ABRIL DE 2017</w:t>
      </w:r>
    </w:p>
    <w:p w:rsidR="00722EF4" w:rsidRPr="00722EF4" w:rsidRDefault="00722EF4" w:rsidP="00722EF4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22EF4" w:rsidRPr="00722EF4" w:rsidRDefault="00722EF4" w:rsidP="00722EF4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22EF4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 w:rsidRPr="00722EF4">
        <w:rPr>
          <w:rFonts w:ascii="Arial" w:hAnsi="Arial" w:cs="Arial"/>
          <w:b/>
          <w:sz w:val="24"/>
          <w:szCs w:val="24"/>
          <w:lang w:val="es-ES"/>
        </w:rPr>
        <w:t>2017-17-1-0001131</w:t>
      </w:r>
      <w:r w:rsidRPr="00722EF4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proofErr w:type="gramStart"/>
      <w:r w:rsidRPr="00722EF4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722EF4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 w:rsidRPr="00722EF4">
        <w:rPr>
          <w:rFonts w:ascii="Arial" w:hAnsi="Arial" w:cs="Arial"/>
          <w:b/>
          <w:sz w:val="24"/>
          <w:szCs w:val="24"/>
          <w:lang w:val="es-ES"/>
        </w:rPr>
        <w:t>1190/17</w:t>
      </w:r>
      <w:r w:rsidRPr="00722EF4">
        <w:rPr>
          <w:rFonts w:ascii="Arial" w:hAnsi="Arial" w:cs="Arial"/>
          <w:b/>
          <w:sz w:val="24"/>
          <w:szCs w:val="24"/>
          <w:lang w:val="en-US"/>
        </w:rPr>
        <w:t>)</w:t>
      </w:r>
    </w:p>
    <w:p w:rsidR="00722EF4" w:rsidRPr="00722EF4" w:rsidRDefault="00722EF4" w:rsidP="00722EF4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722EF4" w:rsidRDefault="00722EF4" w:rsidP="00722EF4">
      <w:pPr>
        <w:tabs>
          <w:tab w:val="center" w:pos="4253"/>
        </w:tabs>
        <w:jc w:val="right"/>
        <w:rPr>
          <w:rFonts w:ascii="Arial" w:hAnsi="Arial"/>
          <w:spacing w:val="-3"/>
          <w:lang w:val="en-US"/>
        </w:rPr>
      </w:pPr>
    </w:p>
    <w:p w:rsidR="00A8278B" w:rsidRDefault="00A8278B" w:rsidP="003A0698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VISTO, </w:t>
      </w:r>
      <w:r>
        <w:rPr>
          <w:rFonts w:ascii="Arial" w:hAnsi="Arial" w:cs="Arial"/>
          <w:sz w:val="24"/>
          <w:szCs w:val="24"/>
          <w:lang w:val="es-ES"/>
        </w:rPr>
        <w:t xml:space="preserve">las actuaciones remitidas por la Administración Nacional de Educación Pública, Consejo de Formación en Educación (CFE), relacionadas con el Convenio marco suscrito el 17/12/15 con la Fundación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Chamangá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para la formación de jóvenes vocacionales; </w:t>
      </w:r>
    </w:p>
    <w:p w:rsidR="003A0698" w:rsidRDefault="00A8278B" w:rsidP="003A0698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RESULTANDO: 1)</w:t>
      </w:r>
      <w:r>
        <w:rPr>
          <w:rFonts w:ascii="Arial" w:hAnsi="Arial" w:cs="Arial"/>
          <w:sz w:val="24"/>
          <w:szCs w:val="24"/>
          <w:lang w:val="es-ES"/>
        </w:rPr>
        <w:t xml:space="preserve"> que el convenio suscrito el 17/12/15, tiene por objeto articular esfuerzos para generar oportunidades de continuar los estudios en formación docente para los jóvenes que han logrado descubrir su vocación y presentan dificultades económicas y/o familiares para concretarlo; </w:t>
      </w:r>
    </w:p>
    <w:p w:rsidR="003A0698" w:rsidRDefault="00A8278B" w:rsidP="003A0698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2) </w:t>
      </w:r>
      <w:r>
        <w:rPr>
          <w:rFonts w:ascii="Arial" w:hAnsi="Arial" w:cs="Arial"/>
          <w:sz w:val="24"/>
          <w:szCs w:val="24"/>
          <w:lang w:val="es-ES"/>
        </w:rPr>
        <w:t>que de acuerdo a los términos del convenio, el CFE</w:t>
      </w:r>
      <w:r w:rsidR="00A5488A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pagará la beca correspondiente hasta el monto máximo que dicho Consejo establezca, durante 8 o 10 meses, y la Fundación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Chamangá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complementará con el apoyo y acompañamiento con un equipo técnico, un tutor referente académico, un acompañamiento global y la inserción a un trabajo comunitario. Durante los 8 meses restantes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Chamangá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aportará el mismo valor beca estipulado por el CFE, para aquellos casos en que se considere pertinente, además de la cobertura mencionada; </w:t>
      </w:r>
    </w:p>
    <w:p w:rsidR="003A0698" w:rsidRDefault="00A8278B" w:rsidP="003A0698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3) </w:t>
      </w:r>
      <w:r>
        <w:rPr>
          <w:rFonts w:ascii="Arial" w:hAnsi="Arial" w:cs="Arial"/>
          <w:sz w:val="24"/>
          <w:szCs w:val="24"/>
          <w:lang w:val="es-ES"/>
        </w:rPr>
        <w:t>que por Resolución del CFE, de fecha 11/9/15, y por Resolución del Consejo Directivo Central, Acta 91, No. 122, de fecha 18/11/15,</w:t>
      </w:r>
      <w:r w:rsidR="00A5488A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se dispuso  la aprobación de la suscripción del convenio; </w:t>
      </w:r>
    </w:p>
    <w:p w:rsidR="003A0698" w:rsidRDefault="00A8278B" w:rsidP="003A0698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 w:rsidRPr="003A0698">
        <w:rPr>
          <w:rFonts w:ascii="Arial" w:hAnsi="Arial" w:cs="Arial"/>
          <w:b/>
          <w:sz w:val="24"/>
          <w:szCs w:val="24"/>
          <w:lang w:val="es-ES"/>
        </w:rPr>
        <w:lastRenderedPageBreak/>
        <w:t>4)</w:t>
      </w:r>
      <w:r>
        <w:rPr>
          <w:rFonts w:ascii="Arial" w:hAnsi="Arial" w:cs="Arial"/>
          <w:sz w:val="24"/>
          <w:szCs w:val="24"/>
          <w:lang w:val="es-ES"/>
        </w:rPr>
        <w:t xml:space="preserve"> que se adjunta Documento de afectación </w:t>
      </w:r>
      <w:r w:rsidR="00A5488A">
        <w:rPr>
          <w:rFonts w:ascii="Arial" w:hAnsi="Arial" w:cs="Arial"/>
          <w:sz w:val="24"/>
          <w:szCs w:val="24"/>
          <w:lang w:val="es-ES"/>
        </w:rPr>
        <w:t xml:space="preserve">          </w:t>
      </w:r>
      <w:r>
        <w:rPr>
          <w:rFonts w:ascii="Arial" w:hAnsi="Arial" w:cs="Arial"/>
          <w:sz w:val="24"/>
          <w:szCs w:val="24"/>
          <w:lang w:val="es-ES"/>
        </w:rPr>
        <w:t xml:space="preserve">No. 000045, por la suma de $ 613.856, con cargo Grupo 5, Programa 607, Proyecto 212, Financiación 1.1, Ejercicio 2017; </w:t>
      </w:r>
    </w:p>
    <w:p w:rsidR="003A0698" w:rsidRDefault="00A8278B" w:rsidP="003A0698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 w:rsidRPr="003A0698">
        <w:rPr>
          <w:rFonts w:ascii="Arial" w:hAnsi="Arial" w:cs="Arial"/>
          <w:b/>
          <w:sz w:val="24"/>
          <w:szCs w:val="24"/>
          <w:lang w:val="es-ES"/>
        </w:rPr>
        <w:t>5)</w:t>
      </w:r>
      <w:r>
        <w:rPr>
          <w:rFonts w:ascii="Arial" w:hAnsi="Arial" w:cs="Arial"/>
          <w:sz w:val="24"/>
          <w:szCs w:val="24"/>
          <w:lang w:val="es-ES"/>
        </w:rPr>
        <w:t xml:space="preserve"> que por proyecto de carta de acuerdo de cooperación entre Fundación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Chamangá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y el CFE, se acuerda apoyar hasta un máximo de 10 becarios por año; </w:t>
      </w:r>
    </w:p>
    <w:p w:rsidR="003A0698" w:rsidRDefault="00A8278B" w:rsidP="003A069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 w:rsidRPr="003A0698">
        <w:rPr>
          <w:rFonts w:ascii="Arial" w:hAnsi="Arial" w:cs="Arial"/>
          <w:b/>
          <w:sz w:val="24"/>
          <w:szCs w:val="24"/>
          <w:lang w:val="es-ES"/>
        </w:rPr>
        <w:t>6)</w:t>
      </w:r>
      <w:r>
        <w:rPr>
          <w:rFonts w:ascii="Arial" w:hAnsi="Arial" w:cs="Arial"/>
          <w:sz w:val="24"/>
          <w:szCs w:val="24"/>
          <w:lang w:val="es-ES"/>
        </w:rPr>
        <w:t xml:space="preserve"> que por  Resolución del CFE de fecha 8/2/17 se dispone autorizar a la División Financiero Contable a realizar la transferencia a la Fundación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Chamangá</w:t>
      </w:r>
      <w:proofErr w:type="spellEnd"/>
      <w:r>
        <w:rPr>
          <w:rFonts w:ascii="Arial" w:hAnsi="Arial" w:cs="Arial"/>
          <w:sz w:val="24"/>
          <w:szCs w:val="24"/>
          <w:lang w:val="es-ES"/>
        </w:rPr>
        <w:t>, por el monto de $ 613.856., señalándose que en el  2016 se otorgaron cinco becas y en el 2017, se proyecta otorgar seis más;</w:t>
      </w:r>
    </w:p>
    <w:p w:rsidR="003A0698" w:rsidRDefault="00A8278B" w:rsidP="003A0698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7) </w:t>
      </w:r>
      <w:r>
        <w:rPr>
          <w:rFonts w:ascii="Arial" w:hAnsi="Arial" w:cs="Arial"/>
          <w:sz w:val="24"/>
          <w:szCs w:val="24"/>
          <w:lang w:val="es-ES"/>
        </w:rPr>
        <w:t>que este Tribunal mediante Oficio No. 1312/17 de fecha 20/2/17 solicitó al CFE,  informara si el convenio suscrito el 17/12/15, fue remitido oportunamente a este Tribunal o al Contador Delegado en su caso (</w:t>
      </w:r>
      <w:r w:rsidR="00A5488A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>rt</w:t>
      </w:r>
      <w:r w:rsidR="00A5488A">
        <w:rPr>
          <w:rFonts w:ascii="Arial" w:hAnsi="Arial" w:cs="Arial"/>
          <w:sz w:val="24"/>
          <w:szCs w:val="24"/>
          <w:lang w:val="es-ES"/>
        </w:rPr>
        <w:t>ículo</w:t>
      </w:r>
      <w:r>
        <w:rPr>
          <w:rFonts w:ascii="Arial" w:hAnsi="Arial" w:cs="Arial"/>
          <w:sz w:val="24"/>
          <w:szCs w:val="24"/>
          <w:lang w:val="es-ES"/>
        </w:rPr>
        <w:t xml:space="preserve"> 211, </w:t>
      </w:r>
      <w:r w:rsidR="00A5488A">
        <w:rPr>
          <w:rFonts w:ascii="Arial" w:hAnsi="Arial" w:cs="Arial"/>
          <w:sz w:val="24"/>
          <w:szCs w:val="24"/>
          <w:lang w:val="es-ES"/>
        </w:rPr>
        <w:t>L</w:t>
      </w:r>
      <w:r>
        <w:rPr>
          <w:rFonts w:ascii="Arial" w:hAnsi="Arial" w:cs="Arial"/>
          <w:sz w:val="24"/>
          <w:szCs w:val="24"/>
          <w:lang w:val="es-ES"/>
        </w:rPr>
        <w:t xml:space="preserve">iterales B) y E) de la Constitución de la República);  </w:t>
      </w:r>
    </w:p>
    <w:p w:rsidR="00A8278B" w:rsidRDefault="00A8278B" w:rsidP="003A0698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8) </w:t>
      </w:r>
      <w:r>
        <w:rPr>
          <w:rFonts w:ascii="Arial" w:hAnsi="Arial" w:cs="Arial"/>
          <w:sz w:val="24"/>
          <w:szCs w:val="24"/>
          <w:lang w:val="es-ES"/>
        </w:rPr>
        <w:t xml:space="preserve">que según informe de Secretaría General del CFE de fecha 6/3/17, no surge de obrados la intervención del Tribunal de Cuentas en una instancia anterior, no obstante, se expresa que a la fecha, no se ha realizado ejecución alguna del referido convenio, estando a la intervención previa que se solicitó en el expediente; </w:t>
      </w:r>
    </w:p>
    <w:p w:rsidR="00A8278B" w:rsidRDefault="00A8278B" w:rsidP="003A0698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CONSIDERANDO: 1) </w:t>
      </w:r>
      <w:r>
        <w:rPr>
          <w:rFonts w:ascii="Arial" w:hAnsi="Arial" w:cs="Arial"/>
          <w:sz w:val="24"/>
          <w:szCs w:val="24"/>
          <w:lang w:val="es-ES"/>
        </w:rPr>
        <w:t xml:space="preserve">que de acuerdo a lo establecido por el </w:t>
      </w:r>
      <w:r w:rsidR="00A5488A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 xml:space="preserve">rtículo 211 </w:t>
      </w:r>
      <w:r w:rsidR="00A5488A">
        <w:rPr>
          <w:rFonts w:ascii="Arial" w:hAnsi="Arial" w:cs="Arial"/>
          <w:sz w:val="24"/>
          <w:szCs w:val="24"/>
          <w:lang w:val="es-ES"/>
        </w:rPr>
        <w:t>L</w:t>
      </w:r>
      <w:r>
        <w:rPr>
          <w:rFonts w:ascii="Arial" w:hAnsi="Arial" w:cs="Arial"/>
          <w:sz w:val="24"/>
          <w:szCs w:val="24"/>
          <w:lang w:val="es-ES"/>
        </w:rPr>
        <w:t xml:space="preserve">iteral B), compete al Tribunal de Cuentas intervenir preventivamente en los gastos y los pagos conforme a las normas reguladoras que establecerá la </w:t>
      </w:r>
      <w:r w:rsidR="00A5488A">
        <w:rPr>
          <w:rFonts w:ascii="Arial" w:hAnsi="Arial" w:cs="Arial"/>
          <w:sz w:val="24"/>
          <w:szCs w:val="24"/>
          <w:lang w:val="es-ES"/>
        </w:rPr>
        <w:t>L</w:t>
      </w:r>
      <w:r>
        <w:rPr>
          <w:rFonts w:ascii="Arial" w:hAnsi="Arial" w:cs="Arial"/>
          <w:sz w:val="24"/>
          <w:szCs w:val="24"/>
          <w:lang w:val="es-ES"/>
        </w:rPr>
        <w:t xml:space="preserve">ey y al solo efecto de certificar su legalidad; </w:t>
      </w:r>
    </w:p>
    <w:p w:rsidR="003A0698" w:rsidRDefault="00A8278B" w:rsidP="003A0698">
      <w:pPr>
        <w:spacing w:after="0" w:line="360" w:lineRule="auto"/>
        <w:ind w:firstLine="3119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2) </w:t>
      </w:r>
      <w:r>
        <w:rPr>
          <w:rFonts w:ascii="Arial" w:hAnsi="Arial" w:cs="Arial"/>
          <w:sz w:val="24"/>
          <w:szCs w:val="24"/>
          <w:lang w:val="es-ES"/>
        </w:rPr>
        <w:t xml:space="preserve">que asimismo, el </w:t>
      </w:r>
      <w:r w:rsidR="00A5488A">
        <w:rPr>
          <w:rFonts w:ascii="Arial" w:hAnsi="Arial" w:cs="Arial"/>
          <w:sz w:val="24"/>
          <w:szCs w:val="24"/>
          <w:lang w:val="es-ES"/>
        </w:rPr>
        <w:t>L</w:t>
      </w:r>
      <w:r>
        <w:rPr>
          <w:rFonts w:ascii="Arial" w:hAnsi="Arial" w:cs="Arial"/>
          <w:sz w:val="24"/>
          <w:szCs w:val="24"/>
          <w:lang w:val="es-ES"/>
        </w:rPr>
        <w:t xml:space="preserve">iteral E) del mismo </w:t>
      </w:r>
      <w:r w:rsidR="00A5488A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 xml:space="preserve">rtículo, dispone que le compete también, intervenir en todo lo relativo a la gestión financiera de los órganos del Estado, Gobiernos Departamentales, Entes Autónomos y Servicios Descentralizados;       </w:t>
      </w:r>
    </w:p>
    <w:p w:rsidR="003A0698" w:rsidRDefault="003A0698" w:rsidP="003A0698">
      <w:pPr>
        <w:spacing w:after="0" w:line="360" w:lineRule="auto"/>
        <w:ind w:firstLine="3119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b/>
          <w:sz w:val="24"/>
          <w:szCs w:val="24"/>
          <w:lang w:val="es-ES"/>
        </w:rPr>
        <w:lastRenderedPageBreak/>
        <w:t>3</w:t>
      </w:r>
      <w:r w:rsidR="00A8278B" w:rsidRPr="003A0698">
        <w:rPr>
          <w:rFonts w:ascii="Arial" w:hAnsi="Arial" w:cs="Arial"/>
          <w:b/>
          <w:sz w:val="24"/>
          <w:szCs w:val="24"/>
          <w:lang w:val="es-ES"/>
        </w:rPr>
        <w:t>)</w:t>
      </w:r>
      <w:r w:rsidR="00A8278B">
        <w:rPr>
          <w:rFonts w:ascii="Arial" w:hAnsi="Arial" w:cs="Arial"/>
          <w:sz w:val="24"/>
          <w:szCs w:val="24"/>
          <w:lang w:val="es-ES"/>
        </w:rPr>
        <w:t xml:space="preserve"> que el convenio suscrito el 17/12/15, debió haber sido sometido a intervención de este Tribunal, en forma previa a su ejecución;   </w:t>
      </w:r>
    </w:p>
    <w:p w:rsidR="00A8278B" w:rsidRDefault="003A0698" w:rsidP="003A0698">
      <w:pPr>
        <w:spacing w:after="0" w:line="360" w:lineRule="auto"/>
        <w:ind w:firstLine="3119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4</w:t>
      </w:r>
      <w:r w:rsidR="00A8278B" w:rsidRPr="003A0698">
        <w:rPr>
          <w:rFonts w:ascii="Arial" w:hAnsi="Arial" w:cs="Arial"/>
          <w:b/>
          <w:bCs/>
          <w:sz w:val="24"/>
          <w:szCs w:val="24"/>
          <w:lang w:val="es-ES"/>
        </w:rPr>
        <w:t>)</w:t>
      </w:r>
      <w:r w:rsidR="00A8278B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00A8278B">
        <w:rPr>
          <w:rFonts w:ascii="Arial" w:hAnsi="Arial" w:cs="Arial"/>
          <w:sz w:val="24"/>
          <w:szCs w:val="24"/>
          <w:lang w:val="es-ES"/>
        </w:rPr>
        <w:t xml:space="preserve">que en tanto las becas comenzaron a usufructuarse en el </w:t>
      </w:r>
      <w:r w:rsidR="00A5488A">
        <w:rPr>
          <w:rFonts w:ascii="Arial" w:hAnsi="Arial" w:cs="Arial"/>
          <w:sz w:val="24"/>
          <w:szCs w:val="24"/>
          <w:lang w:val="es-ES"/>
        </w:rPr>
        <w:t>E</w:t>
      </w:r>
      <w:r w:rsidR="00A8278B">
        <w:rPr>
          <w:rFonts w:ascii="Arial" w:hAnsi="Arial" w:cs="Arial"/>
          <w:sz w:val="24"/>
          <w:szCs w:val="24"/>
          <w:lang w:val="es-ES"/>
        </w:rPr>
        <w:t xml:space="preserve">jercicio 2016, las actuaciones cuentan con </w:t>
      </w:r>
      <w:r w:rsidR="00A5488A">
        <w:rPr>
          <w:rFonts w:ascii="Arial" w:hAnsi="Arial" w:cs="Arial"/>
          <w:sz w:val="24"/>
          <w:szCs w:val="24"/>
          <w:lang w:val="es-ES"/>
        </w:rPr>
        <w:t>P</w:t>
      </w:r>
      <w:r w:rsidR="00A8278B">
        <w:rPr>
          <w:rFonts w:ascii="Arial" w:hAnsi="Arial" w:cs="Arial"/>
          <w:sz w:val="24"/>
          <w:szCs w:val="24"/>
          <w:lang w:val="es-ES"/>
        </w:rPr>
        <w:t xml:space="preserve">rincipio de </w:t>
      </w:r>
      <w:r w:rsidR="00A5488A">
        <w:rPr>
          <w:rFonts w:ascii="Arial" w:hAnsi="Arial" w:cs="Arial"/>
          <w:sz w:val="24"/>
          <w:szCs w:val="24"/>
          <w:lang w:val="es-ES"/>
        </w:rPr>
        <w:t>E</w:t>
      </w:r>
      <w:r w:rsidR="00A8278B">
        <w:rPr>
          <w:rFonts w:ascii="Arial" w:hAnsi="Arial" w:cs="Arial"/>
          <w:sz w:val="24"/>
          <w:szCs w:val="24"/>
          <w:lang w:val="es-ES"/>
        </w:rPr>
        <w:t>jecución, contraviniéndose el carácter preventivo de la intervención de este Tribunal (</w:t>
      </w:r>
      <w:r w:rsidR="00A5488A">
        <w:rPr>
          <w:rFonts w:ascii="Arial" w:hAnsi="Arial" w:cs="Arial"/>
          <w:sz w:val="24"/>
          <w:szCs w:val="24"/>
          <w:lang w:val="es-ES"/>
        </w:rPr>
        <w:t>A</w:t>
      </w:r>
      <w:r w:rsidR="00A8278B">
        <w:rPr>
          <w:rFonts w:ascii="Arial" w:hAnsi="Arial" w:cs="Arial"/>
          <w:sz w:val="24"/>
          <w:szCs w:val="24"/>
          <w:lang w:val="es-ES"/>
        </w:rPr>
        <w:t xml:space="preserve">rtículo 211, </w:t>
      </w:r>
      <w:r w:rsidR="00A5488A">
        <w:rPr>
          <w:rFonts w:ascii="Arial" w:hAnsi="Arial" w:cs="Arial"/>
          <w:sz w:val="24"/>
          <w:szCs w:val="24"/>
          <w:lang w:val="es-ES"/>
        </w:rPr>
        <w:t>L</w:t>
      </w:r>
      <w:r w:rsidR="00A8278B">
        <w:rPr>
          <w:rFonts w:ascii="Arial" w:hAnsi="Arial" w:cs="Arial"/>
          <w:sz w:val="24"/>
          <w:szCs w:val="24"/>
          <w:lang w:val="es-ES"/>
        </w:rPr>
        <w:t xml:space="preserve">iteral B) de la Constitución de la República); </w:t>
      </w:r>
    </w:p>
    <w:p w:rsidR="00A8278B" w:rsidRDefault="00A8278B" w:rsidP="003A0698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ATENTO</w:t>
      </w:r>
      <w:r w:rsidR="003A0698" w:rsidRPr="003A0698">
        <w:rPr>
          <w:rFonts w:ascii="Arial" w:hAnsi="Arial" w:cs="Arial"/>
          <w:b/>
          <w:bCs/>
          <w:sz w:val="24"/>
          <w:szCs w:val="24"/>
          <w:lang w:val="es-ES"/>
        </w:rPr>
        <w:t>: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a lo precedentemente expuesto; </w:t>
      </w:r>
    </w:p>
    <w:p w:rsidR="00A8278B" w:rsidRDefault="00A8278B" w:rsidP="003A069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EL TRIBUNAL ACUERDA:</w:t>
      </w:r>
    </w:p>
    <w:p w:rsidR="00A8278B" w:rsidRDefault="00A8278B" w:rsidP="003A0698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Observar la transferencia de la suma de $ 613.856; </w:t>
      </w:r>
    </w:p>
    <w:p w:rsidR="00A8278B" w:rsidRDefault="00A8278B" w:rsidP="003A0698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Comunicar a</w:t>
      </w:r>
      <w:r w:rsidR="003A069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l</w:t>
      </w:r>
      <w:r w:rsidR="003A0698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 xml:space="preserve"> Contador</w:t>
      </w:r>
      <w:r w:rsidR="003A0698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 xml:space="preserve"> Delegad</w:t>
      </w:r>
      <w:r w:rsidR="003A0698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 xml:space="preserve">; y </w:t>
      </w:r>
    </w:p>
    <w:p w:rsidR="00A8278B" w:rsidRDefault="00A8278B" w:rsidP="003A0698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sz w:val="24"/>
          <w:szCs w:val="24"/>
          <w:lang w:val="es-ES"/>
        </w:rPr>
        <w:t xml:space="preserve">Devolver las actuaciones.  </w:t>
      </w:r>
    </w:p>
    <w:p w:rsidR="00A8278B" w:rsidRDefault="00A8278B" w:rsidP="003A069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3A0698" w:rsidRDefault="003A0698" w:rsidP="003A069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ES"/>
        </w:rPr>
        <w:t>bf</w:t>
      </w:r>
      <w:proofErr w:type="spellEnd"/>
      <w:proofErr w:type="gramEnd"/>
    </w:p>
    <w:p w:rsidR="00A8278B" w:rsidRDefault="00A8278B" w:rsidP="003A069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A8278B" w:rsidRDefault="00A8278B" w:rsidP="003A069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A5488A" w:rsidRDefault="00A8278B">
      <w:pPr>
        <w:spacing w:line="240" w:lineRule="auto"/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Arial" w:hAnsi="Arial" w:cs="Arial"/>
          <w:sz w:val="24"/>
          <w:szCs w:val="24"/>
          <w:lang w:val="es-ES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      </w:t>
      </w:r>
    </w:p>
    <w:bookmarkEnd w:id="0"/>
    <w:p w:rsidR="00A8278B" w:rsidRPr="00A5488A" w:rsidRDefault="00A8278B" w:rsidP="00A5488A">
      <w:pPr>
        <w:jc w:val="center"/>
        <w:rPr>
          <w:rFonts w:ascii="Times New Roman" w:hAnsi="Times New Roman" w:cs="Times New Roman"/>
        </w:rPr>
      </w:pPr>
    </w:p>
    <w:sectPr w:rsidR="00A8278B" w:rsidRPr="00A5488A" w:rsidSect="00722EF4">
      <w:footerReference w:type="default" r:id="rId8"/>
      <w:pgSz w:w="11906" w:h="16838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EF4" w:rsidRDefault="00722E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722EF4" w:rsidRDefault="00722E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137190"/>
      <w:docPartObj>
        <w:docPartGallery w:val="Page Numbers (Bottom of Page)"/>
        <w:docPartUnique/>
      </w:docPartObj>
    </w:sdtPr>
    <w:sdtContent>
      <w:p w:rsidR="00A5488A" w:rsidRDefault="00A5488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5488A">
          <w:rPr>
            <w:noProof/>
            <w:lang w:val="es-ES"/>
          </w:rPr>
          <w:t>3</w:t>
        </w:r>
        <w:r>
          <w:fldChar w:fldCharType="end"/>
        </w:r>
      </w:p>
    </w:sdtContent>
  </w:sdt>
  <w:p w:rsidR="00A5488A" w:rsidRDefault="00A548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EF4" w:rsidRDefault="00722E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separator/>
      </w:r>
    </w:p>
  </w:footnote>
  <w:footnote w:type="continuationSeparator" w:id="0">
    <w:p w:rsidR="00722EF4" w:rsidRDefault="00722E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07E2E"/>
    <w:multiLevelType w:val="multilevel"/>
    <w:tmpl w:val="3684C38C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8B"/>
    <w:rsid w:val="003A0698"/>
    <w:rsid w:val="00722EF4"/>
    <w:rsid w:val="00A5488A"/>
    <w:rsid w:val="00A8278B"/>
    <w:rsid w:val="00AA6FE4"/>
    <w:rsid w:val="00C149C7"/>
    <w:rsid w:val="00E2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A54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88A"/>
    <w:rPr>
      <w:rFonts w:ascii="Calibri" w:hAnsi="Calibri" w:cs="Calibri"/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A54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88A"/>
    <w:rPr>
      <w:rFonts w:ascii="Calibri" w:hAnsi="Calibri" w:cs="Calibri"/>
      <w:lang w:val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A54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88A"/>
    <w:rPr>
      <w:rFonts w:ascii="Calibri" w:hAnsi="Calibri" w:cs="Calibri"/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A54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88A"/>
    <w:rPr>
      <w:rFonts w:ascii="Calibri" w:hAnsi="Calibri" w:cs="Calibri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No</vt:lpstr>
    </vt:vector>
  </TitlesOfParts>
  <Company>Tribunal de Cuentas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No</dc:title>
  <dc:creator>JORGE EDUARDO MAESO RUIZ</dc:creator>
  <cp:lastModifiedBy>Tribunal1</cp:lastModifiedBy>
  <cp:revision>2</cp:revision>
  <dcterms:created xsi:type="dcterms:W3CDTF">2017-04-06T18:42:00Z</dcterms:created>
  <dcterms:modified xsi:type="dcterms:W3CDTF">2017-04-06T18:42:00Z</dcterms:modified>
</cp:coreProperties>
</file>