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0DE" w:rsidRPr="00786EEB" w:rsidRDefault="003300DE" w:rsidP="00786EEB">
      <w:pPr>
        <w:tabs>
          <w:tab w:val="center" w:pos="4253"/>
        </w:tabs>
        <w:suppressAutoHyphens/>
        <w:jc w:val="right"/>
        <w:rPr>
          <w:rFonts w:cs="Arial"/>
          <w:b/>
          <w:sz w:val="28"/>
          <w:szCs w:val="28"/>
          <w:lang w:val="es-ES_tradnl"/>
        </w:rPr>
      </w:pPr>
      <w:r>
        <w:rPr>
          <w:rFonts w:cs="Arial"/>
          <w:b/>
          <w:sz w:val="28"/>
          <w:szCs w:val="28"/>
          <w:lang w:val="es-ES_tradnl"/>
        </w:rPr>
        <w:t>RES. 1878/17</w:t>
      </w:r>
    </w:p>
    <w:p w:rsidR="003300DE" w:rsidRDefault="003300DE" w:rsidP="00786EEB">
      <w:pPr>
        <w:tabs>
          <w:tab w:val="center" w:pos="4253"/>
        </w:tabs>
        <w:suppressAutoHyphens/>
        <w:jc w:val="right"/>
        <w:rPr>
          <w:rFonts w:cs="Arial"/>
          <w:b/>
          <w:lang w:val="es-ES_tradnl"/>
        </w:rPr>
      </w:pPr>
    </w:p>
    <w:p w:rsidR="003300DE" w:rsidRPr="00762B34" w:rsidRDefault="003300DE">
      <w:pPr>
        <w:tabs>
          <w:tab w:val="center" w:pos="4253"/>
        </w:tabs>
        <w:suppressAutoHyphens/>
        <w:jc w:val="center"/>
        <w:rPr>
          <w:rFonts w:cs="Arial"/>
          <w:b/>
          <w:lang w:val="es-ES_tradnl"/>
        </w:rPr>
      </w:pPr>
      <w:r w:rsidRPr="00762B34">
        <w:rPr>
          <w:rFonts w:cs="Arial"/>
          <w:b/>
          <w:lang w:val="es-ES_tradnl"/>
        </w:rPr>
        <w:t>RESOLUCION ADOPTADA POR EL</w:t>
      </w:r>
    </w:p>
    <w:p w:rsidR="003300DE" w:rsidRPr="00762B34" w:rsidRDefault="003300DE">
      <w:pPr>
        <w:tabs>
          <w:tab w:val="left" w:pos="-720"/>
        </w:tabs>
        <w:suppressAutoHyphens/>
        <w:jc w:val="center"/>
        <w:rPr>
          <w:rFonts w:cs="Arial"/>
          <w:b/>
          <w:lang w:val="es-ES_tradnl"/>
        </w:rPr>
      </w:pPr>
    </w:p>
    <w:p w:rsidR="003300DE" w:rsidRPr="00762B34" w:rsidRDefault="003300DE">
      <w:pPr>
        <w:tabs>
          <w:tab w:val="center" w:pos="4253"/>
        </w:tabs>
        <w:suppressAutoHyphens/>
        <w:jc w:val="center"/>
        <w:rPr>
          <w:rFonts w:cs="Arial"/>
          <w:b/>
          <w:lang w:val="es-ES_tradnl"/>
        </w:rPr>
      </w:pPr>
      <w:r w:rsidRPr="00762B34">
        <w:rPr>
          <w:rFonts w:cs="Arial"/>
          <w:b/>
          <w:lang w:val="es-ES_tradnl"/>
        </w:rPr>
        <w:t>TRIBUNAL DE CUENTAS</w:t>
      </w:r>
    </w:p>
    <w:p w:rsidR="003300DE" w:rsidRPr="00762B34" w:rsidRDefault="003300DE">
      <w:pPr>
        <w:tabs>
          <w:tab w:val="left" w:pos="-720"/>
        </w:tabs>
        <w:suppressAutoHyphens/>
        <w:jc w:val="center"/>
        <w:rPr>
          <w:rFonts w:cs="Arial"/>
          <w:b/>
          <w:lang w:val="es-ES_tradnl"/>
        </w:rPr>
      </w:pPr>
    </w:p>
    <w:p w:rsidR="003300DE" w:rsidRPr="00762B34" w:rsidRDefault="003300DE">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14 DE JUNIO </w:t>
      </w:r>
      <w:r>
        <w:rPr>
          <w:rFonts w:ascii="Helvetica" w:hAnsi="Helvetica"/>
          <w:b/>
          <w:lang w:val="es-ES_tradnl"/>
        </w:rPr>
        <w:t>DE 2017</w:t>
      </w:r>
    </w:p>
    <w:p w:rsidR="003300DE" w:rsidRPr="00762B34" w:rsidRDefault="003300DE">
      <w:pPr>
        <w:tabs>
          <w:tab w:val="center" w:pos="4253"/>
        </w:tabs>
        <w:suppressAutoHyphens/>
        <w:jc w:val="center"/>
        <w:rPr>
          <w:rFonts w:cs="Arial"/>
          <w:b/>
          <w:lang w:val="es-ES_tradnl"/>
        </w:rPr>
      </w:pPr>
    </w:p>
    <w:p w:rsidR="003300DE" w:rsidRPr="00762B34" w:rsidRDefault="003300DE">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2017-17-1-0003067</w:t>
      </w:r>
      <w:r w:rsidRPr="00762B34">
        <w:rPr>
          <w:rFonts w:cs="Arial"/>
          <w:b/>
          <w:lang w:val="en-US"/>
        </w:rPr>
        <w:t xml:space="preserve">, Ent. N° </w:t>
      </w:r>
      <w:r>
        <w:rPr>
          <w:rFonts w:cs="Arial"/>
          <w:b/>
          <w:lang w:val="en-US"/>
        </w:rPr>
        <w:t>2531/17</w:t>
      </w:r>
      <w:r w:rsidRPr="00762B34">
        <w:rPr>
          <w:rFonts w:cs="Arial"/>
          <w:b/>
          <w:lang w:val="en-US"/>
        </w:rPr>
        <w:t>)</w:t>
      </w:r>
    </w:p>
    <w:p w:rsidR="003300DE" w:rsidRDefault="003300DE">
      <w:pPr>
        <w:rPr>
          <w:lang w:val="en-US"/>
        </w:rPr>
      </w:pPr>
    </w:p>
    <w:p w:rsidR="003300DE" w:rsidRDefault="003300DE" w:rsidP="003300DE">
      <w:pPr>
        <w:autoSpaceDE w:val="0"/>
        <w:autoSpaceDN w:val="0"/>
        <w:adjustRightInd w:val="0"/>
        <w:spacing w:line="360" w:lineRule="auto"/>
        <w:ind w:firstLine="851"/>
        <w:jc w:val="both"/>
        <w:rPr>
          <w:rFonts w:cs="Arial"/>
          <w:lang w:val="es" w:eastAsia="es-AR"/>
        </w:rPr>
      </w:pPr>
      <w:r>
        <w:rPr>
          <w:rFonts w:cs="Arial"/>
          <w:b/>
          <w:bCs/>
          <w:lang w:val="es" w:eastAsia="es-AR"/>
        </w:rPr>
        <w:t>VISTO:</w:t>
      </w:r>
      <w:r>
        <w:rPr>
          <w:rFonts w:cs="Arial"/>
          <w:b/>
          <w:bCs/>
          <w:lang w:val="es" w:eastAsia="es-AR"/>
        </w:rPr>
        <w:t xml:space="preserve"> </w:t>
      </w:r>
      <w:r>
        <w:rPr>
          <w:rFonts w:cs="Arial"/>
          <w:lang w:val="es" w:eastAsia="es-AR"/>
        </w:rPr>
        <w:t>las actuaciones remitidas por el Banco de Seguros del Estado, (BSE) relacionadas con el convenio a celebrar con la firma Brightstar Uruguay</w:t>
      </w:r>
      <w:r>
        <w:rPr>
          <w:rFonts w:cs="Arial"/>
          <w:lang w:val="es" w:eastAsia="es-AR"/>
        </w:rPr>
        <w:t xml:space="preserve"> S.A. (BUSA);</w:t>
      </w:r>
    </w:p>
    <w:p w:rsidR="003300DE" w:rsidRDefault="003300DE" w:rsidP="003300DE">
      <w:pPr>
        <w:autoSpaceDE w:val="0"/>
        <w:autoSpaceDN w:val="0"/>
        <w:adjustRightInd w:val="0"/>
        <w:spacing w:line="360" w:lineRule="auto"/>
        <w:ind w:firstLine="851"/>
        <w:jc w:val="both"/>
        <w:rPr>
          <w:rFonts w:cs="Arial"/>
          <w:lang w:val="es" w:eastAsia="es-AR"/>
        </w:rPr>
      </w:pPr>
      <w:r>
        <w:rPr>
          <w:rFonts w:cs="Arial"/>
          <w:b/>
          <w:bCs/>
          <w:lang w:val="es" w:eastAsia="es-AR"/>
        </w:rPr>
        <w:t xml:space="preserve">RESULTANDO: 1) </w:t>
      </w:r>
      <w:r>
        <w:rPr>
          <w:rFonts w:cs="Arial"/>
          <w:lang w:val="es" w:eastAsia="es-AR"/>
        </w:rPr>
        <w:t>que en el marco de los servicios de seguro ofrecidos por el Banco  a sus clientes, se ha instrumentado la póliza de seguro de equipos electrónicos móviles o portátiles para clientes de la Administración Nacional de Telecomunicaciones (ANTEL);</w:t>
      </w:r>
    </w:p>
    <w:p w:rsidR="003300DE" w:rsidRDefault="003300DE" w:rsidP="003300DE">
      <w:pPr>
        <w:autoSpaceDE w:val="0"/>
        <w:autoSpaceDN w:val="0"/>
        <w:adjustRightInd w:val="0"/>
        <w:spacing w:line="360" w:lineRule="auto"/>
        <w:ind w:firstLine="2835"/>
        <w:jc w:val="both"/>
        <w:rPr>
          <w:rFonts w:cs="Arial"/>
          <w:lang w:val="es" w:eastAsia="es-AR"/>
        </w:rPr>
      </w:pPr>
      <w:r>
        <w:rPr>
          <w:rFonts w:cs="Arial"/>
          <w:b/>
          <w:bCs/>
          <w:lang w:val="es" w:eastAsia="es-AR"/>
        </w:rPr>
        <w:t xml:space="preserve">2) </w:t>
      </w:r>
      <w:r>
        <w:rPr>
          <w:rFonts w:cs="Arial"/>
          <w:lang w:val="es" w:eastAsia="es-AR"/>
        </w:rPr>
        <w:t>que en dicho contexto, se remiten antecedentes relativos al acuerdo a celebrar con la firma Brightstar Uruguay S</w:t>
      </w:r>
      <w:r>
        <w:rPr>
          <w:rFonts w:cs="Arial"/>
          <w:lang w:val="es" w:eastAsia="es-AR"/>
        </w:rPr>
        <w:t>.</w:t>
      </w:r>
      <w:r>
        <w:rPr>
          <w:rFonts w:cs="Arial"/>
          <w:lang w:val="es" w:eastAsia="es-AR"/>
        </w:rPr>
        <w:t>A</w:t>
      </w:r>
      <w:r>
        <w:rPr>
          <w:rFonts w:cs="Arial"/>
          <w:lang w:val="es" w:eastAsia="es-AR"/>
        </w:rPr>
        <w:t xml:space="preserve">. </w:t>
      </w:r>
      <w:r>
        <w:rPr>
          <w:rFonts w:cs="Arial"/>
          <w:lang w:val="es" w:eastAsia="es-AR"/>
        </w:rPr>
        <w:t>(BUSA)</w:t>
      </w:r>
      <w:r>
        <w:rPr>
          <w:rFonts w:cs="Arial"/>
          <w:lang w:val="es" w:eastAsia="es-AR"/>
        </w:rPr>
        <w:t>.</w:t>
      </w:r>
      <w:r>
        <w:rPr>
          <w:rFonts w:cs="Arial"/>
          <w:lang w:val="es" w:eastAsia="es-AR"/>
        </w:rPr>
        <w:t xml:space="preserve"> Del texto del convenio y del anexo del mismo surge, entre otros, que:</w:t>
      </w:r>
    </w:p>
    <w:p w:rsidR="003300DE" w:rsidRDefault="003300DE" w:rsidP="003300DE">
      <w:pPr>
        <w:autoSpaceDE w:val="0"/>
        <w:autoSpaceDN w:val="0"/>
        <w:adjustRightInd w:val="0"/>
        <w:spacing w:line="360" w:lineRule="auto"/>
        <w:ind w:firstLine="2835"/>
        <w:jc w:val="both"/>
        <w:rPr>
          <w:rFonts w:cs="Arial"/>
          <w:lang w:val="es" w:eastAsia="es-AR"/>
        </w:rPr>
      </w:pPr>
      <w:r>
        <w:rPr>
          <w:rFonts w:cs="Arial"/>
          <w:b/>
          <w:bCs/>
          <w:lang w:val="es" w:eastAsia="es-AR"/>
        </w:rPr>
        <w:t>2.1)</w:t>
      </w:r>
      <w:r>
        <w:rPr>
          <w:rFonts w:cs="Arial"/>
          <w:lang w:val="es" w:eastAsia="es-AR"/>
        </w:rPr>
        <w:t xml:space="preserve">  el  objeto consiste en  que BUSA instrumente una plataforma de venta de seguros para celulares en conjunto con ANTEL y, en particular,  administre el programa (avisos, altas, bajas, liquidación de siniestros y demás aspectos operativos) de la póliza emitida a ANTEL, en forma exclusiva;</w:t>
      </w:r>
    </w:p>
    <w:p w:rsidR="003300DE" w:rsidRDefault="003300DE" w:rsidP="003300DE">
      <w:pPr>
        <w:autoSpaceDE w:val="0"/>
        <w:autoSpaceDN w:val="0"/>
        <w:adjustRightInd w:val="0"/>
        <w:spacing w:line="360" w:lineRule="auto"/>
        <w:ind w:firstLine="2835"/>
        <w:jc w:val="both"/>
        <w:rPr>
          <w:rFonts w:cs="Arial"/>
          <w:lang w:val="es" w:eastAsia="es-AR"/>
        </w:rPr>
      </w:pPr>
      <w:r>
        <w:rPr>
          <w:rFonts w:cs="Arial"/>
          <w:b/>
          <w:bCs/>
          <w:lang w:val="es" w:eastAsia="es-AR"/>
        </w:rPr>
        <w:t>2.2)</w:t>
      </w:r>
      <w:r>
        <w:rPr>
          <w:rFonts w:cs="Arial"/>
          <w:lang w:val="es" w:eastAsia="es-AR"/>
        </w:rPr>
        <w:t xml:space="preserve"> el BSE autoriza a BUSA a prestar el servicio de administración del programa con respecto a todas las reclamaciones hechas por los beneficiarios en virtud de las pólizas comprendidas, en tal sentido, BUSA se encargará de aceptar o rechazar la cobertura de los siniestros en las reclamacio</w:t>
      </w:r>
      <w:r>
        <w:rPr>
          <w:rFonts w:cs="Arial"/>
          <w:lang w:val="es" w:eastAsia="es-AR"/>
        </w:rPr>
        <w:softHyphen/>
      </w:r>
      <w:r>
        <w:rPr>
          <w:rFonts w:cs="Arial"/>
          <w:lang w:val="es" w:eastAsia="es-AR"/>
        </w:rPr>
        <w:t xml:space="preserve">nes recibidas, luego de efectuado un proceso de ajuste, debiendo enviar al BSE </w:t>
      </w:r>
      <w:r>
        <w:rPr>
          <w:rFonts w:cs="Arial"/>
          <w:lang w:val="es" w:eastAsia="es-AR"/>
        </w:rPr>
        <w:lastRenderedPageBreak/>
        <w:t>un reporte mensual de los siniestros rechazados, pudiendo el BSE revertir dicho rechazo, en los términos estableci</w:t>
      </w:r>
      <w:r>
        <w:rPr>
          <w:rFonts w:cs="Arial"/>
          <w:lang w:val="es" w:eastAsia="es-AR"/>
        </w:rPr>
        <w:t>dos en el proyecto de contrato;</w:t>
      </w:r>
    </w:p>
    <w:p w:rsidR="00C44461" w:rsidRDefault="003300DE" w:rsidP="00C44461">
      <w:pPr>
        <w:autoSpaceDE w:val="0"/>
        <w:autoSpaceDN w:val="0"/>
        <w:adjustRightInd w:val="0"/>
        <w:spacing w:line="360" w:lineRule="auto"/>
        <w:ind w:firstLine="2835"/>
        <w:jc w:val="both"/>
        <w:rPr>
          <w:rFonts w:cs="Arial"/>
          <w:lang w:val="es" w:eastAsia="es-AR"/>
        </w:rPr>
      </w:pPr>
      <w:r>
        <w:rPr>
          <w:rFonts w:cs="Arial"/>
          <w:b/>
          <w:bCs/>
          <w:lang w:val="es" w:eastAsia="es-AR"/>
        </w:rPr>
        <w:t>2.3)</w:t>
      </w:r>
      <w:r>
        <w:rPr>
          <w:rFonts w:cs="Arial"/>
          <w:lang w:val="es" w:eastAsia="es-AR"/>
        </w:rPr>
        <w:t xml:space="preserve"> BUSA se compromete a: </w:t>
      </w:r>
      <w:r w:rsidRPr="00C44461">
        <w:rPr>
          <w:rFonts w:cs="Arial"/>
          <w:b/>
          <w:lang w:val="es" w:eastAsia="es-AR"/>
        </w:rPr>
        <w:t>i)</w:t>
      </w:r>
      <w:r>
        <w:rPr>
          <w:rFonts w:cs="Arial"/>
          <w:lang w:val="es" w:eastAsia="es-AR"/>
        </w:rPr>
        <w:t xml:space="preserve"> proporcionar al BSE los servicios de administración del programa para reclamaciones efectuadas bajo las pólizas; </w:t>
      </w:r>
      <w:r w:rsidRPr="00C44461">
        <w:rPr>
          <w:rFonts w:cs="Arial"/>
          <w:b/>
          <w:lang w:val="es" w:eastAsia="es-AR"/>
        </w:rPr>
        <w:t>ii)</w:t>
      </w:r>
      <w:r>
        <w:rPr>
          <w:rFonts w:cs="Arial"/>
          <w:lang w:val="es" w:eastAsia="es-AR"/>
        </w:rPr>
        <w:t xml:space="preserve"> establecer y mantener el legajo electrónico para cada reclamación reportada en virtud de la póliza respectiva; </w:t>
      </w:r>
      <w:r w:rsidRPr="00C44461">
        <w:rPr>
          <w:rFonts w:cs="Arial"/>
          <w:b/>
          <w:lang w:val="es" w:eastAsia="es-AR"/>
        </w:rPr>
        <w:t>iii)</w:t>
      </w:r>
      <w:r>
        <w:rPr>
          <w:rFonts w:cs="Arial"/>
          <w:lang w:val="es" w:eastAsia="es-AR"/>
        </w:rPr>
        <w:t xml:space="preserve"> comunicar mensualmente al BSE –vía correo electrónico- los siniestros rechazados, indicando la causa del rechazo; </w:t>
      </w:r>
      <w:r w:rsidRPr="00C44461">
        <w:rPr>
          <w:rFonts w:cs="Arial"/>
          <w:b/>
          <w:lang w:val="es" w:eastAsia="es-AR"/>
        </w:rPr>
        <w:t>iv)</w:t>
      </w:r>
      <w:r>
        <w:rPr>
          <w:rFonts w:cs="Arial"/>
          <w:lang w:val="es" w:eastAsia="es-AR"/>
        </w:rPr>
        <w:t xml:space="preserve"> comunicar mensualmente al BSE los datos de los asegurados vigentes, así como los datos de los siniestros cuya indemnización haya finalizado; </w:t>
      </w:r>
      <w:r w:rsidRPr="00C44461">
        <w:rPr>
          <w:rFonts w:cs="Arial"/>
          <w:b/>
          <w:lang w:val="es" w:eastAsia="es-AR"/>
        </w:rPr>
        <w:t>v)</w:t>
      </w:r>
      <w:r>
        <w:rPr>
          <w:rFonts w:cs="Arial"/>
          <w:lang w:val="es" w:eastAsia="es-AR"/>
        </w:rPr>
        <w:t xml:space="preserve"> investigar todas las reclamaciones reportadas bajo la póliza en la medida razonable y habitual, para evaluar el alcance de las mismas; </w:t>
      </w:r>
      <w:r w:rsidRPr="00C44461">
        <w:rPr>
          <w:rFonts w:cs="Arial"/>
          <w:b/>
          <w:lang w:val="es" w:eastAsia="es-AR"/>
        </w:rPr>
        <w:t>vi)</w:t>
      </w:r>
      <w:r>
        <w:rPr>
          <w:rFonts w:cs="Arial"/>
          <w:lang w:val="es" w:eastAsia="es-AR"/>
        </w:rPr>
        <w:t xml:space="preserve"> procesar y resolver las reclamaciones producidas bajo la póliza; </w:t>
      </w:r>
      <w:r w:rsidRPr="00C44461">
        <w:rPr>
          <w:rFonts w:cs="Arial"/>
          <w:b/>
          <w:lang w:val="es" w:eastAsia="es-AR"/>
        </w:rPr>
        <w:t>vii)</w:t>
      </w:r>
      <w:r>
        <w:rPr>
          <w:rFonts w:cs="Arial"/>
          <w:lang w:val="es" w:eastAsia="es-AR"/>
        </w:rPr>
        <w:t xml:space="preserve"> facilitar todos los formularios de reclamación necesarios para la correcta administración del programa, incluyendo la matriz de modelos de equipos de repuesto actualizada con sus respectivos valores; </w:t>
      </w:r>
      <w:r w:rsidRPr="00C44461">
        <w:rPr>
          <w:rFonts w:cs="Arial"/>
          <w:b/>
          <w:lang w:val="es" w:eastAsia="es-AR"/>
        </w:rPr>
        <w:t>viii)</w:t>
      </w:r>
      <w:r>
        <w:rPr>
          <w:rFonts w:cs="Arial"/>
          <w:lang w:val="es" w:eastAsia="es-AR"/>
        </w:rPr>
        <w:t xml:space="preserve"> adoptar las medidas que sean necesarias para asegurar que el servicio de administración del programa cumpla en todos los aspectos con todas las leyes, reglamentos, requisitos de información y costumbres de la industria que sean aplicables; </w:t>
      </w:r>
      <w:r w:rsidRPr="00C44461">
        <w:rPr>
          <w:rFonts w:cs="Arial"/>
          <w:b/>
          <w:lang w:val="es" w:eastAsia="es-AR"/>
        </w:rPr>
        <w:t>ix)</w:t>
      </w:r>
      <w:r>
        <w:rPr>
          <w:rFonts w:cs="Arial"/>
          <w:lang w:val="es" w:eastAsia="es-AR"/>
        </w:rPr>
        <w:t xml:space="preserve"> proporcionar acceso a los registros de cualquier investigación de fraude en la reclamación, o desfalco interno, desvío de fondos, colusión con los proveedores o prestadores de servicios o cualquier otra deshonestidad descubierta que pueda implicar o afectar un expediente; así como permitir al BSE participar en cualquier investigación que éste estime razonable y apropiada bajo dichas circunstancias; </w:t>
      </w:r>
      <w:r w:rsidRPr="00C44461">
        <w:rPr>
          <w:rFonts w:cs="Arial"/>
          <w:b/>
          <w:lang w:val="es" w:eastAsia="es-AR"/>
        </w:rPr>
        <w:t>x)</w:t>
      </w:r>
      <w:r>
        <w:rPr>
          <w:rFonts w:cs="Arial"/>
          <w:lang w:val="es" w:eastAsia="es-AR"/>
        </w:rPr>
        <w:t xml:space="preserve"> reunir, reportar y remitir todos los impuestos aplicables correspondientes al servicio de administración del programa; </w:t>
      </w:r>
      <w:r w:rsidRPr="00C44461">
        <w:rPr>
          <w:rFonts w:cs="Arial"/>
          <w:b/>
          <w:lang w:val="es" w:eastAsia="es-AR"/>
        </w:rPr>
        <w:t>xi)</w:t>
      </w:r>
      <w:r>
        <w:rPr>
          <w:rFonts w:cs="Arial"/>
          <w:lang w:val="es" w:eastAsia="es-AR"/>
        </w:rPr>
        <w:t xml:space="preserve"> gestionar, por sí o por medio de un tercero que ella designe, la facturación y cobranza de las primas y los deducibles de los asegurados; </w:t>
      </w:r>
      <w:r w:rsidRPr="00C44461">
        <w:rPr>
          <w:rFonts w:cs="Arial"/>
          <w:b/>
          <w:lang w:val="es" w:eastAsia="es-AR"/>
        </w:rPr>
        <w:t>xii)</w:t>
      </w:r>
      <w:r>
        <w:rPr>
          <w:rFonts w:cs="Arial"/>
          <w:lang w:val="es" w:eastAsia="es-AR"/>
        </w:rPr>
        <w:t xml:space="preserve"> el BSE no será entrenado para el uso del </w:t>
      </w:r>
      <w:r>
        <w:rPr>
          <w:rFonts w:cs="Arial"/>
          <w:lang w:val="es" w:eastAsia="es-AR"/>
        </w:rPr>
        <w:lastRenderedPageBreak/>
        <w:t xml:space="preserve">HITS (sistema de rastreo para registrar a los asegurados), tomando únicamente conocimiento de los reclamos rechazados y cubiertos para dar su conformidad o pedir su revisión; </w:t>
      </w:r>
      <w:r w:rsidRPr="00C44461">
        <w:rPr>
          <w:rFonts w:cs="Arial"/>
          <w:b/>
          <w:lang w:val="es" w:eastAsia="es-AR"/>
        </w:rPr>
        <w:t>xii</w:t>
      </w:r>
      <w:r w:rsidR="00C44461" w:rsidRPr="00C44461">
        <w:rPr>
          <w:rFonts w:cs="Arial"/>
          <w:b/>
          <w:lang w:val="es" w:eastAsia="es-AR"/>
        </w:rPr>
        <w:t>i</w:t>
      </w:r>
      <w:r w:rsidRPr="00C44461">
        <w:rPr>
          <w:rFonts w:cs="Arial"/>
          <w:b/>
          <w:lang w:val="es" w:eastAsia="es-AR"/>
        </w:rPr>
        <w:t>)</w:t>
      </w:r>
      <w:r>
        <w:rPr>
          <w:rFonts w:cs="Arial"/>
          <w:lang w:val="es" w:eastAsia="es-AR"/>
        </w:rPr>
        <w:t xml:space="preserve"> mantener confidencial y, salvo lo dispuesto en el contrato, no utilizar para ningún fin ni divulgar a ningún tercero, salvo a ANTEL, BUSA, Brightstar Corp. y cualquiera de sus afiliadas y sus respectivos empleados que tuvieren necesidad de conocerla, ninguna información que no sea pública relativa al neg</w:t>
      </w:r>
      <w:r w:rsidR="00C44461">
        <w:rPr>
          <w:rFonts w:cs="Arial"/>
          <w:lang w:val="es" w:eastAsia="es-AR"/>
        </w:rPr>
        <w:t xml:space="preserve">ocio u operaciones del BSE; </w:t>
      </w:r>
      <w:r w:rsidR="00C44461" w:rsidRPr="00C44461">
        <w:rPr>
          <w:rFonts w:cs="Arial"/>
          <w:b/>
          <w:lang w:val="es" w:eastAsia="es-AR"/>
        </w:rPr>
        <w:t>xiv</w:t>
      </w:r>
      <w:r w:rsidRPr="00C44461">
        <w:rPr>
          <w:rFonts w:cs="Arial"/>
          <w:b/>
          <w:lang w:val="es" w:eastAsia="es-AR"/>
        </w:rPr>
        <w:t>)</w:t>
      </w:r>
      <w:r>
        <w:rPr>
          <w:rFonts w:cs="Arial"/>
          <w:lang w:val="es" w:eastAsia="es-AR"/>
        </w:rPr>
        <w:t xml:space="preserve"> prestar los servicios de administración del programa en cumplimiento de los requisitos legales y regulatorios del manejo de reclamaciones y las costumbres</w:t>
      </w:r>
      <w:r w:rsidR="00C44461">
        <w:rPr>
          <w:rFonts w:cs="Arial"/>
          <w:lang w:val="es" w:eastAsia="es-AR"/>
        </w:rPr>
        <w:t xml:space="preserve"> y prácticas de la industria; </w:t>
      </w:r>
      <w:r w:rsidR="00C44461" w:rsidRPr="00C44461">
        <w:rPr>
          <w:rFonts w:cs="Arial"/>
          <w:b/>
          <w:lang w:val="es" w:eastAsia="es-AR"/>
        </w:rPr>
        <w:t>x</w:t>
      </w:r>
      <w:r w:rsidRPr="00C44461">
        <w:rPr>
          <w:rFonts w:cs="Arial"/>
          <w:b/>
          <w:lang w:val="es" w:eastAsia="es-AR"/>
        </w:rPr>
        <w:t>v)</w:t>
      </w:r>
      <w:r>
        <w:rPr>
          <w:rFonts w:cs="Arial"/>
          <w:lang w:val="es" w:eastAsia="es-AR"/>
        </w:rPr>
        <w:t xml:space="preserve"> en caso de que BUSA o ANTEL rescindan el contrato celebrado entre ambas para la instrumentación de un programa de seguros, BUSA deberá comunicar al BSE tal decisión en un plazo de 3 días hábiles desde que le comunique ANTEL su voluntad de rescindirlo. En caso de que sea ANTEL quien rescinda, BUSA debe comunicar al BSE en un plazo de 3 días hábiles desde que es notificado por ANTEL. La omisión de cualquiera de estas obligaciones hará a BUSA incurrir en responsabilidad; </w:t>
      </w:r>
      <w:r w:rsidRPr="00C44461">
        <w:rPr>
          <w:rFonts w:cs="Arial"/>
          <w:b/>
          <w:lang w:val="es" w:eastAsia="es-AR"/>
        </w:rPr>
        <w:t>xv</w:t>
      </w:r>
      <w:r w:rsidR="00C44461" w:rsidRPr="00C44461">
        <w:rPr>
          <w:rFonts w:cs="Arial"/>
          <w:b/>
          <w:lang w:val="es" w:eastAsia="es-AR"/>
        </w:rPr>
        <w:t>i</w:t>
      </w:r>
      <w:r w:rsidRPr="00C44461">
        <w:rPr>
          <w:rFonts w:cs="Arial"/>
          <w:b/>
          <w:lang w:val="es" w:eastAsia="es-AR"/>
        </w:rPr>
        <w:t>)</w:t>
      </w:r>
      <w:r>
        <w:rPr>
          <w:rFonts w:cs="Arial"/>
          <w:lang w:val="es" w:eastAsia="es-AR"/>
        </w:rPr>
        <w:t xml:space="preserve"> entregar al BSE los expedientes relacionados con las reclamaciones recibidas que ésta solicite; </w:t>
      </w:r>
      <w:r w:rsidRPr="00C44461">
        <w:rPr>
          <w:rFonts w:cs="Arial"/>
          <w:b/>
          <w:lang w:val="es" w:eastAsia="es-AR"/>
        </w:rPr>
        <w:t>xvi</w:t>
      </w:r>
      <w:r w:rsidR="00C44461" w:rsidRPr="00C44461">
        <w:rPr>
          <w:rFonts w:cs="Arial"/>
          <w:b/>
          <w:lang w:val="es" w:eastAsia="es-AR"/>
        </w:rPr>
        <w:t>i</w:t>
      </w:r>
      <w:r w:rsidRPr="00C44461">
        <w:rPr>
          <w:rFonts w:cs="Arial"/>
          <w:b/>
          <w:lang w:val="es" w:eastAsia="es-AR"/>
        </w:rPr>
        <w:t>)</w:t>
      </w:r>
      <w:r>
        <w:rPr>
          <w:rFonts w:cs="Arial"/>
          <w:lang w:val="es" w:eastAsia="es-AR"/>
        </w:rPr>
        <w:t xml:space="preserve"> en su desempeño de los servicios de administración del programa y todas las actividades y servicios asociados, deberá cumplir con toda la normativa vigente para el desempeño de la actividad; </w:t>
      </w:r>
      <w:r w:rsidRPr="00C44461">
        <w:rPr>
          <w:rFonts w:cs="Arial"/>
          <w:b/>
          <w:lang w:val="es" w:eastAsia="es-AR"/>
        </w:rPr>
        <w:t>xvii</w:t>
      </w:r>
      <w:r w:rsidR="00C44461" w:rsidRPr="00C44461">
        <w:rPr>
          <w:rFonts w:cs="Arial"/>
          <w:b/>
          <w:lang w:val="es" w:eastAsia="es-AR"/>
        </w:rPr>
        <w:t>i</w:t>
      </w:r>
      <w:r w:rsidRPr="00C44461">
        <w:rPr>
          <w:rFonts w:cs="Arial"/>
          <w:b/>
          <w:lang w:val="es" w:eastAsia="es-AR"/>
        </w:rPr>
        <w:t>)</w:t>
      </w:r>
      <w:r>
        <w:rPr>
          <w:rFonts w:cs="Arial"/>
          <w:lang w:val="es" w:eastAsia="es-AR"/>
        </w:rPr>
        <w:t xml:space="preserve"> suministrar el contrato de reaseguros con la reaseguradora National Union Fire Insurance</w:t>
      </w:r>
      <w:r w:rsidR="00C44461">
        <w:rPr>
          <w:rFonts w:cs="Arial"/>
          <w:lang w:val="es" w:eastAsia="es-AR"/>
        </w:rPr>
        <w:t xml:space="preserve"> Company of Pittsburgh PA; </w:t>
      </w:r>
      <w:r w:rsidR="00C44461" w:rsidRPr="00C44461">
        <w:rPr>
          <w:rFonts w:cs="Arial"/>
          <w:b/>
          <w:lang w:val="es" w:eastAsia="es-AR"/>
        </w:rPr>
        <w:t>xix</w:t>
      </w:r>
      <w:r w:rsidRPr="00C44461">
        <w:rPr>
          <w:rFonts w:cs="Arial"/>
          <w:b/>
          <w:lang w:val="es" w:eastAsia="es-AR"/>
        </w:rPr>
        <w:t>)</w:t>
      </w:r>
      <w:r>
        <w:rPr>
          <w:rFonts w:cs="Arial"/>
          <w:lang w:val="es" w:eastAsia="es-AR"/>
        </w:rPr>
        <w:t xml:space="preserve"> cumplir con las ley</w:t>
      </w:r>
      <w:r w:rsidR="00C44461">
        <w:rPr>
          <w:rFonts w:cs="Arial"/>
          <w:lang w:val="es" w:eastAsia="es-AR"/>
        </w:rPr>
        <w:t xml:space="preserve">es de privacidad aplicables; </w:t>
      </w:r>
      <w:r w:rsidR="00C44461" w:rsidRPr="00C44461">
        <w:rPr>
          <w:rFonts w:cs="Arial"/>
          <w:b/>
          <w:lang w:val="es" w:eastAsia="es-AR"/>
        </w:rPr>
        <w:t>x</w:t>
      </w:r>
      <w:r w:rsidRPr="00C44461">
        <w:rPr>
          <w:rFonts w:cs="Arial"/>
          <w:b/>
          <w:lang w:val="es" w:eastAsia="es-AR"/>
        </w:rPr>
        <w:t>x)</w:t>
      </w:r>
      <w:r>
        <w:rPr>
          <w:rFonts w:cs="Arial"/>
          <w:lang w:val="es" w:eastAsia="es-AR"/>
        </w:rPr>
        <w:t xml:space="preserve"> hacer llegar al BSE toda la información obtenida en su nombre, acerca de la susc</w:t>
      </w:r>
      <w:r w:rsidR="00C44461">
        <w:rPr>
          <w:rFonts w:cs="Arial"/>
          <w:lang w:val="es" w:eastAsia="es-AR"/>
        </w:rPr>
        <w:t xml:space="preserve">ripción y de los asegurados y </w:t>
      </w:r>
      <w:r w:rsidR="00C44461" w:rsidRPr="00C44461">
        <w:rPr>
          <w:rFonts w:cs="Arial"/>
          <w:b/>
          <w:lang w:val="es" w:eastAsia="es-AR"/>
        </w:rPr>
        <w:t>xxi</w:t>
      </w:r>
      <w:r w:rsidRPr="00C44461">
        <w:rPr>
          <w:rFonts w:cs="Arial"/>
          <w:b/>
          <w:lang w:val="es" w:eastAsia="es-AR"/>
        </w:rPr>
        <w:t>)</w:t>
      </w:r>
      <w:r>
        <w:rPr>
          <w:rFonts w:cs="Arial"/>
          <w:lang w:val="es" w:eastAsia="es-AR"/>
        </w:rPr>
        <w:t xml:space="preserve"> deberá cumplir las obligaciones laborales y tributarias derivadas de la implementación del presente convenio;</w:t>
      </w:r>
    </w:p>
    <w:p w:rsidR="000106AC" w:rsidRDefault="003300DE" w:rsidP="000106AC">
      <w:pPr>
        <w:autoSpaceDE w:val="0"/>
        <w:autoSpaceDN w:val="0"/>
        <w:adjustRightInd w:val="0"/>
        <w:spacing w:line="360" w:lineRule="auto"/>
        <w:ind w:firstLine="2835"/>
        <w:jc w:val="both"/>
        <w:rPr>
          <w:rFonts w:cs="Arial"/>
          <w:lang w:val="es" w:eastAsia="es-AR"/>
        </w:rPr>
      </w:pPr>
      <w:r>
        <w:rPr>
          <w:rFonts w:cs="Arial"/>
          <w:b/>
          <w:bCs/>
          <w:lang w:val="es" w:eastAsia="es-AR"/>
        </w:rPr>
        <w:lastRenderedPageBreak/>
        <w:t>2.4)</w:t>
      </w:r>
      <w:r>
        <w:rPr>
          <w:rFonts w:cs="Arial"/>
          <w:lang w:val="es" w:eastAsia="es-AR"/>
        </w:rPr>
        <w:t xml:space="preserve"> por su parte, el BSE se compromete a: </w:t>
      </w:r>
      <w:r w:rsidRPr="000106AC">
        <w:rPr>
          <w:rFonts w:cs="Arial"/>
          <w:b/>
          <w:lang w:val="es" w:eastAsia="es-AR"/>
        </w:rPr>
        <w:t xml:space="preserve">i) </w:t>
      </w:r>
      <w:r>
        <w:rPr>
          <w:rFonts w:cs="Arial"/>
          <w:lang w:val="es" w:eastAsia="es-AR"/>
        </w:rPr>
        <w:t xml:space="preserve">prestar toda la cooperación y asistencia necesaria a BUSA en el desempeño de sus funciones, ajustándose a la normativa vigente; </w:t>
      </w:r>
      <w:r w:rsidRPr="000106AC">
        <w:rPr>
          <w:rFonts w:cs="Arial"/>
          <w:b/>
          <w:lang w:val="es" w:eastAsia="es-AR"/>
        </w:rPr>
        <w:t>ii)</w:t>
      </w:r>
      <w:r>
        <w:rPr>
          <w:rFonts w:cs="Arial"/>
          <w:lang w:val="es" w:eastAsia="es-AR"/>
        </w:rPr>
        <w:t xml:space="preserve"> emitir en carácter de aseguradora, la póliza correspondiente; </w:t>
      </w:r>
      <w:r w:rsidRPr="000106AC">
        <w:rPr>
          <w:rFonts w:cs="Arial"/>
          <w:b/>
          <w:lang w:val="es" w:eastAsia="es-AR"/>
        </w:rPr>
        <w:t>iii)</w:t>
      </w:r>
      <w:r>
        <w:rPr>
          <w:rFonts w:cs="Arial"/>
          <w:lang w:val="es" w:eastAsia="es-AR"/>
        </w:rPr>
        <w:t xml:space="preserve"> reembolsar y/o pagar a ANTEL la indemnización correspondiente, de acuerdo a las condiciones establecidas en la póliza; </w:t>
      </w:r>
      <w:r w:rsidRPr="000106AC">
        <w:rPr>
          <w:rFonts w:cs="Arial"/>
          <w:b/>
          <w:lang w:val="es" w:eastAsia="es-AR"/>
        </w:rPr>
        <w:t>iv)</w:t>
      </w:r>
      <w:r>
        <w:rPr>
          <w:rFonts w:cs="Arial"/>
          <w:lang w:val="es" w:eastAsia="es-AR"/>
        </w:rPr>
        <w:t xml:space="preserve"> cualquier acción legal recibida por una parte relacionada con este contrato, será comunicada a la  otra parte dentro de los 3 días hábiles siguientes y; </w:t>
      </w:r>
      <w:r w:rsidRPr="000106AC">
        <w:rPr>
          <w:rFonts w:cs="Arial"/>
          <w:b/>
          <w:lang w:val="es" w:eastAsia="es-AR"/>
        </w:rPr>
        <w:t>v)</w:t>
      </w:r>
      <w:r>
        <w:rPr>
          <w:rFonts w:cs="Arial"/>
          <w:lang w:val="es" w:eastAsia="es-AR"/>
        </w:rPr>
        <w:t xml:space="preserve"> el BSE no queda obligado a realizar publicidad de los seguros comprendidos en el contrato. BUSA podrá realizar publicidad por su cuenta y cargo pero, en tal caso, las campañas a efectuar deberán contar con el conocimiento, la aceptación y la autorización previa por parte del BSE;</w:t>
      </w:r>
    </w:p>
    <w:p w:rsidR="000106AC" w:rsidRDefault="003300DE" w:rsidP="000106AC">
      <w:pPr>
        <w:autoSpaceDE w:val="0"/>
        <w:autoSpaceDN w:val="0"/>
        <w:adjustRightInd w:val="0"/>
        <w:spacing w:line="360" w:lineRule="auto"/>
        <w:ind w:firstLine="2835"/>
        <w:jc w:val="both"/>
        <w:rPr>
          <w:rFonts w:cs="Arial"/>
          <w:lang w:val="es" w:eastAsia="es-AR"/>
        </w:rPr>
      </w:pPr>
      <w:r>
        <w:rPr>
          <w:rFonts w:cs="Arial"/>
          <w:b/>
          <w:bCs/>
          <w:lang w:val="es" w:eastAsia="es-AR"/>
        </w:rPr>
        <w:t>2.5)</w:t>
      </w:r>
      <w:r>
        <w:rPr>
          <w:rFonts w:cs="Arial"/>
          <w:lang w:val="es" w:eastAsia="es-AR"/>
        </w:rPr>
        <w:t xml:space="preserve">  el contrato tendrá vigencia de un año, desde la emisión de la póliz</w:t>
      </w:r>
      <w:r w:rsidR="000106AC">
        <w:rPr>
          <w:rFonts w:cs="Arial"/>
          <w:lang w:val="es" w:eastAsia="es-AR"/>
        </w:rPr>
        <w:t>a para ANTEL por parte del BSE;</w:t>
      </w:r>
    </w:p>
    <w:p w:rsidR="000106AC" w:rsidRDefault="003300DE" w:rsidP="000106AC">
      <w:pPr>
        <w:autoSpaceDE w:val="0"/>
        <w:autoSpaceDN w:val="0"/>
        <w:adjustRightInd w:val="0"/>
        <w:spacing w:line="360" w:lineRule="auto"/>
        <w:ind w:firstLine="2835"/>
        <w:jc w:val="both"/>
        <w:rPr>
          <w:rFonts w:cs="Arial"/>
          <w:lang w:val="es" w:eastAsia="es-AR"/>
        </w:rPr>
      </w:pPr>
      <w:r>
        <w:rPr>
          <w:rFonts w:cs="Arial"/>
          <w:b/>
          <w:bCs/>
          <w:lang w:val="es" w:eastAsia="es-AR"/>
        </w:rPr>
        <w:t>2.6)</w:t>
      </w:r>
      <w:r>
        <w:rPr>
          <w:rFonts w:cs="Arial"/>
          <w:lang w:val="es" w:eastAsia="es-AR"/>
        </w:rPr>
        <w:t xml:space="preserve"> el BSE se obliga a no contratar, durante la vigencia del contrato, a otra empresa para la realización de tareas idénticas de las que son objeto del presente contrato obligándose, de la misma forma BUSA a no prestar servicios idénticos a otras empresas </w:t>
      </w:r>
      <w:r w:rsidR="000106AC">
        <w:rPr>
          <w:rFonts w:cs="Arial"/>
          <w:lang w:val="es" w:eastAsia="es-AR"/>
        </w:rPr>
        <w:t>dentro del territorio uruguayo;</w:t>
      </w:r>
    </w:p>
    <w:p w:rsidR="00150A3F" w:rsidRDefault="003300DE" w:rsidP="00150A3F">
      <w:pPr>
        <w:autoSpaceDE w:val="0"/>
        <w:autoSpaceDN w:val="0"/>
        <w:adjustRightInd w:val="0"/>
        <w:spacing w:line="360" w:lineRule="auto"/>
        <w:ind w:firstLine="2835"/>
        <w:jc w:val="both"/>
        <w:rPr>
          <w:rFonts w:cs="Arial"/>
          <w:lang w:val="es" w:eastAsia="es-AR"/>
        </w:rPr>
      </w:pPr>
      <w:r>
        <w:rPr>
          <w:rFonts w:cs="Arial"/>
          <w:b/>
          <w:bCs/>
          <w:lang w:val="es" w:eastAsia="es-AR"/>
        </w:rPr>
        <w:t xml:space="preserve">2.7) </w:t>
      </w:r>
      <w:r w:rsidR="000106AC">
        <w:rPr>
          <w:rFonts w:cs="Arial"/>
          <w:lang w:val="es" w:eastAsia="es-AR"/>
        </w:rPr>
        <w:t xml:space="preserve"> de conformidad con</w:t>
      </w:r>
      <w:r>
        <w:rPr>
          <w:rFonts w:cs="Arial"/>
          <w:lang w:val="es" w:eastAsia="es-AR"/>
        </w:rPr>
        <w:t xml:space="preserve"> lo dispuesto en el Anexo 1 del contrato, respecto a las cuotas por servicio de reclamaciones y gastos de reclamación, el BSE debe pagar, mensualmente, al administrador del programa lo siguiente: </w:t>
      </w:r>
      <w:r w:rsidRPr="000106AC">
        <w:rPr>
          <w:rFonts w:cs="Arial"/>
          <w:b/>
          <w:lang w:val="es" w:eastAsia="es-AR"/>
        </w:rPr>
        <w:t xml:space="preserve">i) </w:t>
      </w:r>
      <w:r>
        <w:rPr>
          <w:rFonts w:cs="Arial"/>
          <w:lang w:val="es" w:eastAsia="es-AR"/>
        </w:rPr>
        <w:t xml:space="preserve">durante los 12 meses de vigencia del contrato, el 15% de la prima neta de impuestos cobrada por el BSE en carácter de servicio de administración del programa. El administrador del programa va a ser el destinatario final de esta comisión, que podrá ser revisada y ajustada de común acuerdo en forma anual; </w:t>
      </w:r>
      <w:r w:rsidR="000106AC">
        <w:rPr>
          <w:rFonts w:cs="Arial"/>
          <w:b/>
          <w:lang w:val="es" w:eastAsia="es-AR"/>
        </w:rPr>
        <w:t>ii)</w:t>
      </w:r>
      <w:r>
        <w:rPr>
          <w:rFonts w:cs="Arial"/>
          <w:lang w:val="es" w:eastAsia="es-AR"/>
        </w:rPr>
        <w:t xml:space="preserve">cuotas de servicio de facturación y cobranza equivalentes al 25% de la prima bruta cobrada por el BSE; </w:t>
      </w:r>
      <w:r w:rsidRPr="000106AC">
        <w:rPr>
          <w:rFonts w:cs="Arial"/>
          <w:b/>
          <w:lang w:val="es" w:eastAsia="es-AR"/>
        </w:rPr>
        <w:t>iii)</w:t>
      </w:r>
      <w:r>
        <w:rPr>
          <w:rFonts w:cs="Arial"/>
          <w:lang w:val="es" w:eastAsia="es-AR"/>
        </w:rPr>
        <w:t xml:space="preserve"> cuotas de comercialización, equivalentes al valor de </w:t>
      </w:r>
      <w:r>
        <w:rPr>
          <w:rFonts w:cs="Arial"/>
          <w:lang w:val="es" w:eastAsia="es-AR"/>
        </w:rPr>
        <w:lastRenderedPageBreak/>
        <w:t>una prima neta de impuestos mensual por asegurado dado de alta bajo el programa. Para que sea exigible la cuota por comercialización debe cumplirse con un volumen mínimo de 500 ventas mensuales y, a su vez, la contratación de las pólizas por parte de los asegurados deberá mantene</w:t>
      </w:r>
      <w:r w:rsidR="00150A3F">
        <w:rPr>
          <w:rFonts w:cs="Arial"/>
          <w:lang w:val="es" w:eastAsia="es-AR"/>
        </w:rPr>
        <w:t xml:space="preserve">rse por, al menos, 90 días y; </w:t>
      </w:r>
      <w:r w:rsidR="00150A3F" w:rsidRPr="00150A3F">
        <w:rPr>
          <w:rFonts w:cs="Arial"/>
          <w:b/>
          <w:lang w:val="es" w:eastAsia="es-AR"/>
        </w:rPr>
        <w:t>iv)</w:t>
      </w:r>
      <w:r>
        <w:rPr>
          <w:rFonts w:cs="Arial"/>
          <w:lang w:val="es" w:eastAsia="es-AR"/>
        </w:rPr>
        <w:t xml:space="preserve"> U$S 20 por cada siniestro rechazado que hubiere sido revertido por decisión unilateral del BSE durante el mes inmediato anterior y no se considerara en las cuentas con el reasegurador;</w:t>
      </w:r>
    </w:p>
    <w:p w:rsidR="00150A3F" w:rsidRDefault="003300DE" w:rsidP="00150A3F">
      <w:pPr>
        <w:autoSpaceDE w:val="0"/>
        <w:autoSpaceDN w:val="0"/>
        <w:adjustRightInd w:val="0"/>
        <w:spacing w:line="360" w:lineRule="auto"/>
        <w:ind w:firstLine="2835"/>
        <w:jc w:val="both"/>
        <w:rPr>
          <w:rFonts w:cs="Arial"/>
          <w:lang w:val="es" w:eastAsia="es-AR"/>
        </w:rPr>
      </w:pPr>
      <w:r>
        <w:rPr>
          <w:rFonts w:cs="Arial"/>
          <w:b/>
          <w:bCs/>
          <w:lang w:val="es" w:eastAsia="es-AR"/>
        </w:rPr>
        <w:t xml:space="preserve">3) </w:t>
      </w:r>
      <w:r>
        <w:rPr>
          <w:rFonts w:cs="Arial"/>
          <w:lang w:val="es" w:eastAsia="es-AR"/>
        </w:rPr>
        <w:t>q</w:t>
      </w:r>
      <w:r w:rsidR="00150A3F">
        <w:rPr>
          <w:rFonts w:cs="Arial"/>
          <w:lang w:val="es" w:eastAsia="es-AR"/>
        </w:rPr>
        <w:t>ue la División Contable, informó</w:t>
      </w:r>
      <w:r>
        <w:rPr>
          <w:rFonts w:cs="Arial"/>
          <w:lang w:val="es" w:eastAsia="es-AR"/>
        </w:rPr>
        <w:t xml:space="preserve"> con  fecha 24 de abril de 2017, que los honorarios y gastos derivados de la implementación del presente convenio, se imputarán al renglón 2.9.9 “Explotación de seguros”, Programa I, presupuestado con carácter no limitativo;</w:t>
      </w:r>
    </w:p>
    <w:p w:rsidR="003300DE" w:rsidRDefault="003300DE" w:rsidP="00150A3F">
      <w:pPr>
        <w:autoSpaceDE w:val="0"/>
        <w:autoSpaceDN w:val="0"/>
        <w:adjustRightInd w:val="0"/>
        <w:spacing w:line="360" w:lineRule="auto"/>
        <w:ind w:firstLine="2835"/>
        <w:jc w:val="both"/>
        <w:rPr>
          <w:rFonts w:cs="Arial"/>
          <w:lang w:val="es" w:eastAsia="es-AR"/>
        </w:rPr>
      </w:pPr>
      <w:r>
        <w:rPr>
          <w:rFonts w:cs="Arial"/>
          <w:b/>
          <w:bCs/>
          <w:lang w:val="es" w:eastAsia="es-AR"/>
        </w:rPr>
        <w:t xml:space="preserve">4) </w:t>
      </w:r>
      <w:r w:rsidR="00150A3F">
        <w:rPr>
          <w:rFonts w:cs="Arial"/>
          <w:lang w:val="es" w:eastAsia="es-AR"/>
        </w:rPr>
        <w:t>que</w:t>
      </w:r>
      <w:r>
        <w:rPr>
          <w:rFonts w:cs="Arial"/>
          <w:lang w:val="es" w:eastAsia="es-AR"/>
        </w:rPr>
        <w:t>,</w:t>
      </w:r>
      <w:r w:rsidR="00150A3F">
        <w:rPr>
          <w:rFonts w:cs="Arial"/>
          <w:lang w:val="es" w:eastAsia="es-AR"/>
        </w:rPr>
        <w:t xml:space="preserve"> </w:t>
      </w:r>
      <w:r>
        <w:rPr>
          <w:rFonts w:cs="Arial"/>
          <w:lang w:val="es" w:eastAsia="es-AR"/>
        </w:rPr>
        <w:t>por Resolución de Directorio Nº 0287/2017 de fecha 10 de mayo de 2017,  se dispuso autorizar la suscripción del contrato con la firma Brightstar Uruguay S.A., en los términos indicados anteriormente, al</w:t>
      </w:r>
      <w:r w:rsidR="00150A3F">
        <w:rPr>
          <w:rFonts w:cs="Arial"/>
          <w:lang w:val="es" w:eastAsia="es-AR"/>
        </w:rPr>
        <w:t xml:space="preserve"> amparo de lo dispuesto por el Literal C), Numeral 22) del Artículo 33 del TOCAF y ad refere</w:t>
      </w:r>
      <w:r>
        <w:rPr>
          <w:rFonts w:cs="Arial"/>
          <w:lang w:val="es" w:eastAsia="es-AR"/>
        </w:rPr>
        <w:t xml:space="preserve">ndum de la intervención de este Tribunal; </w:t>
      </w:r>
    </w:p>
    <w:p w:rsidR="00150A3F" w:rsidRDefault="003300DE" w:rsidP="00150A3F">
      <w:pPr>
        <w:autoSpaceDE w:val="0"/>
        <w:autoSpaceDN w:val="0"/>
        <w:adjustRightInd w:val="0"/>
        <w:spacing w:line="360" w:lineRule="auto"/>
        <w:ind w:firstLine="851"/>
        <w:jc w:val="both"/>
        <w:rPr>
          <w:rFonts w:cs="Arial"/>
          <w:lang w:val="es" w:eastAsia="es-AR"/>
        </w:rPr>
      </w:pPr>
      <w:r>
        <w:rPr>
          <w:rFonts w:cs="Arial"/>
          <w:b/>
          <w:bCs/>
          <w:lang w:val="es" w:eastAsia="es-AR"/>
        </w:rPr>
        <w:t xml:space="preserve">CONSIDERANDO: 1) </w:t>
      </w:r>
      <w:r>
        <w:rPr>
          <w:rFonts w:cs="Arial"/>
          <w:lang w:val="es" w:eastAsia="es-AR"/>
        </w:rPr>
        <w:t>que de confo</w:t>
      </w:r>
      <w:r w:rsidR="00150A3F">
        <w:rPr>
          <w:rFonts w:cs="Arial"/>
          <w:lang w:val="es" w:eastAsia="es-AR"/>
        </w:rPr>
        <w:t>rmidad con lo dispuesto por el A</w:t>
      </w:r>
      <w:r>
        <w:rPr>
          <w:rFonts w:cs="Arial"/>
          <w:lang w:val="es" w:eastAsia="es-AR"/>
        </w:rPr>
        <w:t xml:space="preserve">rtículo 3 de la Ley Nº 18.243, compete al BSE la realización de </w:t>
      </w:r>
      <w:r>
        <w:rPr>
          <w:rFonts w:cs="Arial"/>
          <w:i/>
          <w:iCs/>
          <w:lang w:val="es" w:eastAsia="es-AR"/>
        </w:rPr>
        <w:t>“todo tipo de operaciones de seguros, reaseguros, contratación de rentas vitalicias, administración de fondos de ahorro previsional y de seguros de retiro y demás operaciones similares o conexas a las detalladas precedentemente, así como todas aquellas que efectúen las empresas del ramo. Prestará servicios de asistencia médica en el área de su especialidad”</w:t>
      </w:r>
      <w:r>
        <w:rPr>
          <w:rFonts w:cs="Arial"/>
          <w:lang w:val="es" w:eastAsia="es-AR"/>
        </w:rPr>
        <w:t>;</w:t>
      </w:r>
    </w:p>
    <w:p w:rsidR="00150A3F" w:rsidRDefault="003300DE" w:rsidP="00150A3F">
      <w:pPr>
        <w:autoSpaceDE w:val="0"/>
        <w:autoSpaceDN w:val="0"/>
        <w:adjustRightInd w:val="0"/>
        <w:spacing w:line="360" w:lineRule="auto"/>
        <w:ind w:firstLine="3119"/>
        <w:jc w:val="both"/>
        <w:rPr>
          <w:rFonts w:cs="Arial"/>
          <w:lang w:val="es" w:eastAsia="es-AR"/>
        </w:rPr>
      </w:pPr>
      <w:r>
        <w:rPr>
          <w:rFonts w:cs="Arial"/>
          <w:b/>
          <w:bCs/>
          <w:lang w:val="es" w:eastAsia="es-AR"/>
        </w:rPr>
        <w:t xml:space="preserve">2) </w:t>
      </w:r>
      <w:r>
        <w:rPr>
          <w:rFonts w:cs="Arial"/>
          <w:lang w:val="es" w:eastAsia="es-AR"/>
        </w:rPr>
        <w:t>que de acu</w:t>
      </w:r>
      <w:r w:rsidR="00150A3F">
        <w:rPr>
          <w:rFonts w:cs="Arial"/>
          <w:lang w:val="es" w:eastAsia="es-AR"/>
        </w:rPr>
        <w:t>erdo con lo establecido por el A</w:t>
      </w:r>
      <w:r>
        <w:rPr>
          <w:rFonts w:cs="Arial"/>
          <w:lang w:val="es" w:eastAsia="es-AR"/>
        </w:rPr>
        <w:t>rtículo 4 ejusdem, “</w:t>
      </w:r>
      <w:r>
        <w:rPr>
          <w:rFonts w:cs="Arial"/>
          <w:i/>
          <w:iCs/>
          <w:lang w:val="es" w:eastAsia="es-AR"/>
        </w:rPr>
        <w:t xml:space="preserve">Para el mejor cumplimiento del objeto indicado o con la finalidad de obtener el máximo rendimiento en el manejo de las reservas y conservación de su </w:t>
      </w:r>
      <w:r>
        <w:rPr>
          <w:rFonts w:cs="Arial"/>
          <w:i/>
          <w:iCs/>
          <w:lang w:val="es" w:eastAsia="es-AR"/>
        </w:rPr>
        <w:lastRenderedPageBreak/>
        <w:t>patrimonio, podrá: A) Adquirir, asociarse o celebrar otra clase de convenios con empresas de seguros, nacionales o extranjeras (…) G)</w:t>
      </w:r>
      <w:r>
        <w:rPr>
          <w:rFonts w:cs="Arial"/>
          <w:lang w:val="es" w:eastAsia="es-AR"/>
        </w:rPr>
        <w:t xml:space="preserve"> </w:t>
      </w:r>
      <w:r>
        <w:rPr>
          <w:rFonts w:cs="Arial"/>
          <w:i/>
          <w:iCs/>
          <w:lang w:val="es" w:eastAsia="es-AR"/>
        </w:rPr>
        <w:t>En general invertir en condiciones óptimas, siempre que no se comprometan los márgenes de solvencia y liquidez que se requieran para el giro del organismo”</w:t>
      </w:r>
      <w:r>
        <w:rPr>
          <w:rFonts w:cs="Arial"/>
          <w:lang w:val="es" w:eastAsia="es-AR"/>
        </w:rPr>
        <w:t>;</w:t>
      </w:r>
    </w:p>
    <w:p w:rsidR="00150A3F" w:rsidRDefault="003300DE" w:rsidP="00150A3F">
      <w:pPr>
        <w:autoSpaceDE w:val="0"/>
        <w:autoSpaceDN w:val="0"/>
        <w:adjustRightInd w:val="0"/>
        <w:spacing w:line="360" w:lineRule="auto"/>
        <w:ind w:firstLine="3119"/>
        <w:jc w:val="both"/>
        <w:rPr>
          <w:rFonts w:cs="Arial"/>
          <w:lang w:val="es" w:eastAsia="es-AR"/>
        </w:rPr>
      </w:pPr>
      <w:r>
        <w:rPr>
          <w:rFonts w:cs="Arial"/>
          <w:b/>
          <w:bCs/>
          <w:lang w:val="es" w:eastAsia="es-AR"/>
        </w:rPr>
        <w:t>3)</w:t>
      </w:r>
      <w:r w:rsidR="00150A3F">
        <w:rPr>
          <w:rFonts w:cs="Arial"/>
          <w:lang w:val="es" w:eastAsia="es-AR"/>
        </w:rPr>
        <w:t xml:space="preserve"> que el A</w:t>
      </w:r>
      <w:r>
        <w:rPr>
          <w:rFonts w:cs="Arial"/>
          <w:lang w:val="es" w:eastAsia="es-AR"/>
        </w:rPr>
        <w:t xml:space="preserve">rtículo 1 de la Ley Nº 16.426, declaró libre </w:t>
      </w:r>
      <w:r>
        <w:rPr>
          <w:rFonts w:cs="Arial"/>
          <w:i/>
          <w:iCs/>
          <w:lang w:val="es" w:eastAsia="es-AR"/>
        </w:rPr>
        <w:t xml:space="preserve">“la elección de las empresas aseguradoras para la celebración de contratos de seguros sobre todos los riesgos, en las condiciones que determine la ley”, </w:t>
      </w:r>
      <w:r>
        <w:rPr>
          <w:rFonts w:cs="Arial"/>
          <w:lang w:val="es" w:eastAsia="es-AR"/>
        </w:rPr>
        <w:t>con la excepción de los accidentes de trabajo y enfermedades profesionales a que refiere la Ley 16.074;</w:t>
      </w:r>
    </w:p>
    <w:p w:rsidR="00150A3F" w:rsidRDefault="003300DE" w:rsidP="00150A3F">
      <w:pPr>
        <w:autoSpaceDE w:val="0"/>
        <w:autoSpaceDN w:val="0"/>
        <w:adjustRightInd w:val="0"/>
        <w:spacing w:line="360" w:lineRule="auto"/>
        <w:ind w:firstLine="3119"/>
        <w:jc w:val="both"/>
        <w:rPr>
          <w:rFonts w:cs="Arial"/>
          <w:lang w:val="es" w:eastAsia="es-AR"/>
        </w:rPr>
      </w:pPr>
      <w:r>
        <w:rPr>
          <w:rFonts w:cs="Arial"/>
          <w:b/>
          <w:bCs/>
          <w:lang w:val="es" w:eastAsia="es-AR"/>
        </w:rPr>
        <w:t>4)</w:t>
      </w:r>
      <w:r w:rsidR="00150A3F">
        <w:rPr>
          <w:rFonts w:cs="Arial"/>
          <w:lang w:val="es" w:eastAsia="es-AR"/>
        </w:rPr>
        <w:t xml:space="preserve"> que el Literal C), Numeral 22) del A</w:t>
      </w:r>
      <w:r>
        <w:rPr>
          <w:rFonts w:cs="Arial"/>
          <w:lang w:val="es" w:eastAsia="es-AR"/>
        </w:rPr>
        <w:t>rtículo 33 del TOCAF, dispone que podrá contratarse directamente o por el procedimiento que el ordenador determine por razones de buena administración, la contratación de bienes o servicios, cualquiera sea su modalidad, por parte de los entes autónomos y servicios descentralizados destinada a servicios que se encuentren, de hecho y de derecho en regímenes de libre competencia;</w:t>
      </w:r>
    </w:p>
    <w:p w:rsidR="003300DE" w:rsidRDefault="003300DE" w:rsidP="00150A3F">
      <w:pPr>
        <w:autoSpaceDE w:val="0"/>
        <w:autoSpaceDN w:val="0"/>
        <w:adjustRightInd w:val="0"/>
        <w:spacing w:line="360" w:lineRule="auto"/>
        <w:ind w:firstLine="3119"/>
        <w:jc w:val="both"/>
        <w:rPr>
          <w:rFonts w:cs="Arial"/>
          <w:lang w:val="es" w:eastAsia="es-AR"/>
        </w:rPr>
      </w:pPr>
      <w:r>
        <w:rPr>
          <w:rFonts w:cs="Arial"/>
          <w:b/>
          <w:bCs/>
          <w:lang w:val="es" w:eastAsia="es-AR"/>
        </w:rPr>
        <w:t>5)</w:t>
      </w:r>
      <w:r>
        <w:rPr>
          <w:rFonts w:cs="Arial"/>
          <w:lang w:val="es" w:eastAsia="es-AR"/>
        </w:rPr>
        <w:t xml:space="preserve"> que en consecuencia, el proyecto de contrato remitido se ajusta a las competencias legalmente asignadas al Ente, al tiempo que la contratación se enmarca en una actividad que se encuentra, de hecho y de derecho en régimen de libre competencia, por lo que procede la selección directa de la contraparte;</w:t>
      </w:r>
      <w:r>
        <w:rPr>
          <w:rFonts w:cs="Arial"/>
          <w:lang w:val="es" w:eastAsia="es-AR"/>
        </w:rPr>
        <w:tab/>
        <w:t xml:space="preserve"> </w:t>
      </w:r>
    </w:p>
    <w:p w:rsidR="003300DE" w:rsidRDefault="003300DE" w:rsidP="00150A3F">
      <w:pPr>
        <w:autoSpaceDE w:val="0"/>
        <w:autoSpaceDN w:val="0"/>
        <w:adjustRightInd w:val="0"/>
        <w:spacing w:line="360" w:lineRule="auto"/>
        <w:ind w:firstLine="851"/>
        <w:jc w:val="both"/>
        <w:rPr>
          <w:rFonts w:cs="Arial"/>
          <w:lang w:val="es" w:eastAsia="es-AR"/>
        </w:rPr>
      </w:pPr>
      <w:r>
        <w:rPr>
          <w:rFonts w:cs="Arial"/>
          <w:b/>
          <w:bCs/>
          <w:lang w:val="es" w:eastAsia="es-AR"/>
        </w:rPr>
        <w:t xml:space="preserve">ATENTO: </w:t>
      </w:r>
      <w:r>
        <w:rPr>
          <w:rFonts w:cs="Arial"/>
          <w:lang w:val="es" w:eastAsia="es-AR"/>
        </w:rPr>
        <w:t>a lo precedentemente ex</w:t>
      </w:r>
      <w:r w:rsidR="00150A3F">
        <w:rPr>
          <w:rFonts w:cs="Arial"/>
          <w:lang w:val="es" w:eastAsia="es-AR"/>
        </w:rPr>
        <w:t>puesto y a lo dispuesto por el Artículo 211 L</w:t>
      </w:r>
      <w:r>
        <w:rPr>
          <w:rFonts w:cs="Arial"/>
          <w:lang w:val="es" w:eastAsia="es-AR"/>
        </w:rPr>
        <w:t>iteral B</w:t>
      </w:r>
      <w:r w:rsidR="00150A3F">
        <w:rPr>
          <w:rFonts w:cs="Arial"/>
          <w:lang w:val="es" w:eastAsia="es-AR"/>
        </w:rPr>
        <w:t>)</w:t>
      </w:r>
      <w:r>
        <w:rPr>
          <w:rFonts w:cs="Arial"/>
          <w:lang w:val="es" w:eastAsia="es-AR"/>
        </w:rPr>
        <w:t xml:space="preserve"> de la Constitución</w:t>
      </w:r>
      <w:r w:rsidR="00150A3F">
        <w:rPr>
          <w:rFonts w:cs="Arial"/>
          <w:lang w:val="es" w:eastAsia="es-AR"/>
        </w:rPr>
        <w:t xml:space="preserve"> de la República</w:t>
      </w:r>
      <w:r>
        <w:rPr>
          <w:rFonts w:cs="Arial"/>
          <w:lang w:val="es" w:eastAsia="es-AR"/>
        </w:rPr>
        <w:t xml:space="preserve">; </w:t>
      </w:r>
    </w:p>
    <w:p w:rsidR="003300DE" w:rsidRDefault="003300DE" w:rsidP="00150A3F">
      <w:pPr>
        <w:autoSpaceDE w:val="0"/>
        <w:autoSpaceDN w:val="0"/>
        <w:adjustRightInd w:val="0"/>
        <w:spacing w:line="360" w:lineRule="auto"/>
        <w:ind w:firstLine="708"/>
        <w:jc w:val="center"/>
        <w:rPr>
          <w:rFonts w:cs="Arial"/>
          <w:b/>
          <w:bCs/>
          <w:lang w:val="es" w:eastAsia="es-AR"/>
        </w:rPr>
      </w:pPr>
      <w:r>
        <w:rPr>
          <w:rFonts w:cs="Arial"/>
          <w:b/>
          <w:bCs/>
          <w:lang w:val="es" w:eastAsia="es-AR"/>
        </w:rPr>
        <w:t>EL TRIBUINAL ACU</w:t>
      </w:r>
      <w:r w:rsidR="00150A3F">
        <w:rPr>
          <w:rFonts w:cs="Arial"/>
          <w:b/>
          <w:bCs/>
          <w:lang w:val="es" w:eastAsia="es-AR"/>
        </w:rPr>
        <w:t>ERDA</w:t>
      </w:r>
    </w:p>
    <w:p w:rsidR="003300DE" w:rsidRPr="00150A3F" w:rsidRDefault="003300DE" w:rsidP="00150A3F">
      <w:pPr>
        <w:pStyle w:val="Prrafodelista"/>
        <w:numPr>
          <w:ilvl w:val="0"/>
          <w:numId w:val="2"/>
        </w:numPr>
        <w:autoSpaceDE w:val="0"/>
        <w:autoSpaceDN w:val="0"/>
        <w:adjustRightInd w:val="0"/>
        <w:spacing w:line="360" w:lineRule="auto"/>
        <w:ind w:left="284" w:hanging="284"/>
        <w:jc w:val="both"/>
        <w:rPr>
          <w:rFonts w:cs="Arial"/>
          <w:lang w:val="es" w:eastAsia="es-AR"/>
        </w:rPr>
      </w:pPr>
      <w:r w:rsidRPr="00150A3F">
        <w:rPr>
          <w:rFonts w:cs="Arial"/>
          <w:lang w:val="es" w:eastAsia="es-AR"/>
        </w:rPr>
        <w:t>No formular observaciones a</w:t>
      </w:r>
      <w:r w:rsidR="00150A3F">
        <w:rPr>
          <w:rFonts w:cs="Arial"/>
          <w:lang w:val="es" w:eastAsia="es-AR"/>
        </w:rPr>
        <w:t>l</w:t>
      </w:r>
      <w:r w:rsidRPr="00150A3F">
        <w:rPr>
          <w:rFonts w:cs="Arial"/>
          <w:lang w:val="es" w:eastAsia="es-AR"/>
        </w:rPr>
        <w:t xml:space="preserve"> convenio a suscribir por el Banco de Seguros del Estado con  la firma Brightstar Uruguay S.A.; </w:t>
      </w:r>
    </w:p>
    <w:p w:rsidR="003300DE" w:rsidRPr="00150A3F" w:rsidRDefault="003300DE" w:rsidP="00150A3F">
      <w:pPr>
        <w:pStyle w:val="Prrafodelista"/>
        <w:numPr>
          <w:ilvl w:val="0"/>
          <w:numId w:val="2"/>
        </w:numPr>
        <w:autoSpaceDE w:val="0"/>
        <w:autoSpaceDN w:val="0"/>
        <w:adjustRightInd w:val="0"/>
        <w:spacing w:line="360" w:lineRule="auto"/>
        <w:ind w:left="284" w:hanging="284"/>
        <w:jc w:val="both"/>
        <w:rPr>
          <w:rFonts w:cs="Arial"/>
          <w:lang w:val="es" w:eastAsia="es-AR"/>
        </w:rPr>
      </w:pPr>
      <w:r w:rsidRPr="00150A3F">
        <w:rPr>
          <w:rFonts w:cs="Arial"/>
          <w:lang w:val="es" w:eastAsia="es-AR"/>
        </w:rPr>
        <w:lastRenderedPageBreak/>
        <w:t xml:space="preserve">Cometer al Contador Delegado, la intervención de los gastos derivados de la implementación de dicho convenio, previo control de su imputación con cargo a rubro adecuado con disponibilidad suficiente y la verificación de las condiciones de contratación concuerden con las oportunamente sometidas a consideración de este Tribunal, conforme con lo </w:t>
      </w:r>
      <w:r w:rsidR="00150A3F">
        <w:rPr>
          <w:rFonts w:cs="Arial"/>
          <w:lang w:val="es" w:eastAsia="es-AR"/>
        </w:rPr>
        <w:t>dispuesto por el A</w:t>
      </w:r>
      <w:r w:rsidRPr="00150A3F">
        <w:rPr>
          <w:rFonts w:cs="Arial"/>
          <w:lang w:val="es" w:eastAsia="es-AR"/>
        </w:rPr>
        <w:t>rt</w:t>
      </w:r>
      <w:r w:rsidR="00150A3F">
        <w:rPr>
          <w:rFonts w:cs="Arial"/>
          <w:lang w:val="es" w:eastAsia="es-AR"/>
        </w:rPr>
        <w:t>ículo</w:t>
      </w:r>
      <w:r w:rsidRPr="00150A3F">
        <w:rPr>
          <w:rFonts w:cs="Arial"/>
          <w:lang w:val="es" w:eastAsia="es-AR"/>
        </w:rPr>
        <w:t xml:space="preserve"> 8 de la Ordenanza de 22 de mayo de 1958 en la redacción dada por la Resolución de este Tribunal de 16 de junio de 2010;</w:t>
      </w:r>
    </w:p>
    <w:p w:rsidR="003300DE" w:rsidRPr="00150A3F" w:rsidRDefault="003300DE" w:rsidP="00150A3F">
      <w:pPr>
        <w:pStyle w:val="Prrafodelista"/>
        <w:numPr>
          <w:ilvl w:val="0"/>
          <w:numId w:val="2"/>
        </w:numPr>
        <w:autoSpaceDE w:val="0"/>
        <w:autoSpaceDN w:val="0"/>
        <w:adjustRightInd w:val="0"/>
        <w:spacing w:line="360" w:lineRule="auto"/>
        <w:ind w:left="284" w:hanging="284"/>
        <w:jc w:val="both"/>
        <w:rPr>
          <w:rFonts w:cs="Arial"/>
          <w:lang w:val="es" w:eastAsia="es-AR"/>
        </w:rPr>
      </w:pPr>
      <w:r w:rsidRPr="00150A3F">
        <w:rPr>
          <w:rFonts w:cs="Arial"/>
          <w:lang w:val="es" w:eastAsia="es-AR"/>
        </w:rPr>
        <w:t>Comunicar al Contador Delegado;</w:t>
      </w:r>
    </w:p>
    <w:p w:rsidR="00F86359" w:rsidRPr="00150A3F" w:rsidRDefault="003300DE" w:rsidP="009A3FDE">
      <w:pPr>
        <w:pStyle w:val="Prrafodelista"/>
        <w:numPr>
          <w:ilvl w:val="0"/>
          <w:numId w:val="2"/>
        </w:numPr>
        <w:autoSpaceDE w:val="0"/>
        <w:autoSpaceDN w:val="0"/>
        <w:adjustRightInd w:val="0"/>
        <w:spacing w:line="360" w:lineRule="auto"/>
        <w:ind w:left="284" w:hanging="284"/>
        <w:jc w:val="both"/>
      </w:pPr>
      <w:r w:rsidRPr="00150A3F">
        <w:rPr>
          <w:rFonts w:cs="Arial"/>
          <w:lang w:val="es" w:eastAsia="es-AR"/>
        </w:rPr>
        <w:t>Devolver los antecedentes</w:t>
      </w:r>
      <w:r w:rsidR="00150A3F" w:rsidRPr="00150A3F">
        <w:rPr>
          <w:rFonts w:cs="Arial"/>
          <w:lang w:val="es" w:eastAsia="es-AR"/>
        </w:rPr>
        <w:t>.</w:t>
      </w:r>
    </w:p>
    <w:p w:rsidR="00150A3F" w:rsidRDefault="00150A3F" w:rsidP="00150A3F">
      <w:pPr>
        <w:autoSpaceDE w:val="0"/>
        <w:autoSpaceDN w:val="0"/>
        <w:adjustRightInd w:val="0"/>
        <w:spacing w:line="360" w:lineRule="auto"/>
        <w:jc w:val="both"/>
      </w:pPr>
    </w:p>
    <w:p w:rsidR="00150A3F" w:rsidRDefault="00150A3F" w:rsidP="00150A3F">
      <w:pPr>
        <w:autoSpaceDE w:val="0"/>
        <w:autoSpaceDN w:val="0"/>
        <w:adjustRightInd w:val="0"/>
        <w:spacing w:line="360" w:lineRule="auto"/>
        <w:jc w:val="both"/>
      </w:pPr>
    </w:p>
    <w:p w:rsidR="00150A3F" w:rsidRDefault="00150A3F" w:rsidP="00150A3F">
      <w:pPr>
        <w:autoSpaceDE w:val="0"/>
        <w:autoSpaceDN w:val="0"/>
        <w:adjustRightInd w:val="0"/>
        <w:spacing w:line="360" w:lineRule="auto"/>
        <w:jc w:val="both"/>
      </w:pPr>
    </w:p>
    <w:p w:rsidR="00150A3F" w:rsidRDefault="00150A3F" w:rsidP="00150A3F">
      <w:pPr>
        <w:autoSpaceDE w:val="0"/>
        <w:autoSpaceDN w:val="0"/>
        <w:adjustRightInd w:val="0"/>
        <w:spacing w:line="360" w:lineRule="auto"/>
        <w:jc w:val="both"/>
      </w:pPr>
    </w:p>
    <w:p w:rsidR="00150A3F" w:rsidRDefault="00150A3F" w:rsidP="00150A3F">
      <w:pPr>
        <w:autoSpaceDE w:val="0"/>
        <w:autoSpaceDN w:val="0"/>
        <w:adjustRightInd w:val="0"/>
        <w:spacing w:line="360" w:lineRule="auto"/>
        <w:jc w:val="both"/>
      </w:pPr>
    </w:p>
    <w:p w:rsidR="00150A3F" w:rsidRDefault="00150A3F" w:rsidP="00150A3F">
      <w:pPr>
        <w:autoSpaceDE w:val="0"/>
        <w:autoSpaceDN w:val="0"/>
        <w:adjustRightInd w:val="0"/>
        <w:spacing w:line="360" w:lineRule="auto"/>
        <w:ind w:hanging="567"/>
        <w:jc w:val="both"/>
      </w:pPr>
      <w:r>
        <w:t>dc</w:t>
      </w:r>
      <w:bookmarkStart w:id="0" w:name="_GoBack"/>
      <w:bookmarkEnd w:id="0"/>
    </w:p>
    <w:sectPr w:rsidR="00150A3F" w:rsidSect="003300DE">
      <w:footerReference w:type="default" r:id="rId9"/>
      <w:pgSz w:w="12240" w:h="15840" w:code="1"/>
      <w:pgMar w:top="3402" w:right="1701" w:bottom="1701" w:left="1701" w:header="720" w:footer="720" w:gutter="0"/>
      <w:paperSrc w:first="4" w:other="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6AC" w:rsidRDefault="000106AC" w:rsidP="000106AC">
      <w:r>
        <w:separator/>
      </w:r>
    </w:p>
  </w:endnote>
  <w:endnote w:type="continuationSeparator" w:id="0">
    <w:p w:rsidR="000106AC" w:rsidRDefault="000106AC" w:rsidP="0001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399900"/>
      <w:docPartObj>
        <w:docPartGallery w:val="Page Numbers (Bottom of Page)"/>
        <w:docPartUnique/>
      </w:docPartObj>
    </w:sdtPr>
    <w:sdtContent>
      <w:p w:rsidR="000106AC" w:rsidRDefault="000106AC">
        <w:pPr>
          <w:pStyle w:val="Piedepgina"/>
          <w:jc w:val="center"/>
        </w:pPr>
        <w:r>
          <w:fldChar w:fldCharType="begin"/>
        </w:r>
        <w:r>
          <w:instrText>PAGE   \* MERGEFORMAT</w:instrText>
        </w:r>
        <w:r>
          <w:fldChar w:fldCharType="separate"/>
        </w:r>
        <w:r w:rsidR="00A43B61">
          <w:rPr>
            <w:noProof/>
          </w:rPr>
          <w:t>2</w:t>
        </w:r>
        <w:r>
          <w:fldChar w:fldCharType="end"/>
        </w:r>
      </w:p>
    </w:sdtContent>
  </w:sdt>
  <w:p w:rsidR="000106AC" w:rsidRDefault="000106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6AC" w:rsidRDefault="000106AC" w:rsidP="000106AC">
      <w:r>
        <w:separator/>
      </w:r>
    </w:p>
  </w:footnote>
  <w:footnote w:type="continuationSeparator" w:id="0">
    <w:p w:rsidR="000106AC" w:rsidRDefault="000106AC" w:rsidP="000106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E268CA"/>
    <w:lvl w:ilvl="0">
      <w:numFmt w:val="bullet"/>
      <w:lvlText w:val="*"/>
      <w:lvlJc w:val="left"/>
    </w:lvl>
  </w:abstractNum>
  <w:abstractNum w:abstractNumId="1">
    <w:nsid w:val="07E75B12"/>
    <w:multiLevelType w:val="hybridMultilevel"/>
    <w:tmpl w:val="C50867BA"/>
    <w:lvl w:ilvl="0" w:tplc="DCE618FE">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lvl w:ilvl="0">
        <w:start w:val="1"/>
        <w:numFmt w:val="decimal"/>
        <w:lvlText w:val="%1)"/>
        <w:legacy w:legacy="1" w:legacySpace="0" w:legacyIndent="360"/>
        <w:lvlJc w:val="left"/>
        <w:rPr>
          <w:rFonts w:ascii="Arial" w:eastAsia="Times New Roman" w:hAnsi="Arial" w:cs="Arial"/>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DE"/>
    <w:rsid w:val="000106AC"/>
    <w:rsid w:val="00150A3F"/>
    <w:rsid w:val="003300DE"/>
    <w:rsid w:val="00330727"/>
    <w:rsid w:val="009D365A"/>
    <w:rsid w:val="00A43B61"/>
    <w:rsid w:val="00C44461"/>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0DE"/>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06AC"/>
    <w:pPr>
      <w:tabs>
        <w:tab w:val="center" w:pos="4419"/>
        <w:tab w:val="right" w:pos="8838"/>
      </w:tabs>
    </w:pPr>
  </w:style>
  <w:style w:type="character" w:customStyle="1" w:styleId="EncabezadoCar">
    <w:name w:val="Encabezado Car"/>
    <w:basedOn w:val="Fuentedeprrafopredeter"/>
    <w:link w:val="Encabezado"/>
    <w:uiPriority w:val="99"/>
    <w:rsid w:val="000106AC"/>
    <w:rPr>
      <w:rFonts w:ascii="Arial" w:hAnsi="Arial"/>
      <w:sz w:val="24"/>
      <w:szCs w:val="24"/>
      <w:lang w:val="es-ES" w:eastAsia="es-ES"/>
    </w:rPr>
  </w:style>
  <w:style w:type="paragraph" w:styleId="Piedepgina">
    <w:name w:val="footer"/>
    <w:basedOn w:val="Normal"/>
    <w:link w:val="PiedepginaCar"/>
    <w:uiPriority w:val="99"/>
    <w:unhideWhenUsed/>
    <w:rsid w:val="000106AC"/>
    <w:pPr>
      <w:tabs>
        <w:tab w:val="center" w:pos="4419"/>
        <w:tab w:val="right" w:pos="8838"/>
      </w:tabs>
    </w:pPr>
  </w:style>
  <w:style w:type="character" w:customStyle="1" w:styleId="PiedepginaCar">
    <w:name w:val="Pie de página Car"/>
    <w:basedOn w:val="Fuentedeprrafopredeter"/>
    <w:link w:val="Piedepgina"/>
    <w:uiPriority w:val="99"/>
    <w:rsid w:val="000106AC"/>
    <w:rPr>
      <w:rFonts w:ascii="Arial" w:hAnsi="Arial"/>
      <w:sz w:val="24"/>
      <w:szCs w:val="24"/>
      <w:lang w:val="es-ES" w:eastAsia="es-ES"/>
    </w:rPr>
  </w:style>
  <w:style w:type="paragraph" w:styleId="Prrafodelista">
    <w:name w:val="List Paragraph"/>
    <w:basedOn w:val="Normal"/>
    <w:uiPriority w:val="34"/>
    <w:qFormat/>
    <w:rsid w:val="00150A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0DE"/>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06AC"/>
    <w:pPr>
      <w:tabs>
        <w:tab w:val="center" w:pos="4419"/>
        <w:tab w:val="right" w:pos="8838"/>
      </w:tabs>
    </w:pPr>
  </w:style>
  <w:style w:type="character" w:customStyle="1" w:styleId="EncabezadoCar">
    <w:name w:val="Encabezado Car"/>
    <w:basedOn w:val="Fuentedeprrafopredeter"/>
    <w:link w:val="Encabezado"/>
    <w:uiPriority w:val="99"/>
    <w:rsid w:val="000106AC"/>
    <w:rPr>
      <w:rFonts w:ascii="Arial" w:hAnsi="Arial"/>
      <w:sz w:val="24"/>
      <w:szCs w:val="24"/>
      <w:lang w:val="es-ES" w:eastAsia="es-ES"/>
    </w:rPr>
  </w:style>
  <w:style w:type="paragraph" w:styleId="Piedepgina">
    <w:name w:val="footer"/>
    <w:basedOn w:val="Normal"/>
    <w:link w:val="PiedepginaCar"/>
    <w:uiPriority w:val="99"/>
    <w:unhideWhenUsed/>
    <w:rsid w:val="000106AC"/>
    <w:pPr>
      <w:tabs>
        <w:tab w:val="center" w:pos="4419"/>
        <w:tab w:val="right" w:pos="8838"/>
      </w:tabs>
    </w:pPr>
  </w:style>
  <w:style w:type="character" w:customStyle="1" w:styleId="PiedepginaCar">
    <w:name w:val="Pie de página Car"/>
    <w:basedOn w:val="Fuentedeprrafopredeter"/>
    <w:link w:val="Piedepgina"/>
    <w:uiPriority w:val="99"/>
    <w:rsid w:val="000106AC"/>
    <w:rPr>
      <w:rFonts w:ascii="Arial" w:hAnsi="Arial"/>
      <w:sz w:val="24"/>
      <w:szCs w:val="24"/>
      <w:lang w:val="es-ES" w:eastAsia="es-ES"/>
    </w:rPr>
  </w:style>
  <w:style w:type="paragraph" w:styleId="Prrafodelista">
    <w:name w:val="List Paragraph"/>
    <w:basedOn w:val="Normal"/>
    <w:uiPriority w:val="34"/>
    <w:qFormat/>
    <w:rsid w:val="00150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DE3B8-CFF2-40C1-A61C-2A2DE8C5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1791</Words>
  <Characters>9417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cp:lastPrinted>2017-06-21T16:33:00Z</cp:lastPrinted>
  <dcterms:created xsi:type="dcterms:W3CDTF">2017-06-21T15:47:00Z</dcterms:created>
  <dcterms:modified xsi:type="dcterms:W3CDTF">2017-06-21T16:36:00Z</dcterms:modified>
</cp:coreProperties>
</file>