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D3" w:rsidRPr="00C61614" w:rsidRDefault="002515D3" w:rsidP="002515D3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0A7668">
        <w:rPr>
          <w:rFonts w:ascii="Arial" w:hAnsi="Arial" w:cs="Arial"/>
          <w:b/>
          <w:sz w:val="28"/>
          <w:szCs w:val="28"/>
          <w:lang w:val="es-ES_tradnl"/>
        </w:rPr>
        <w:t>1880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2515D3" w:rsidRDefault="002515D3" w:rsidP="002515D3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lang w:val="es-ES_tradnl"/>
        </w:rPr>
      </w:pPr>
    </w:p>
    <w:p w:rsidR="002515D3" w:rsidRPr="002515D3" w:rsidRDefault="002515D3" w:rsidP="002515D3">
      <w:pPr>
        <w:tabs>
          <w:tab w:val="center" w:pos="4253"/>
        </w:tabs>
        <w:suppressAutoHyphens/>
        <w:spacing w:after="0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515D3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2515D3" w:rsidRPr="002515D3" w:rsidRDefault="002515D3" w:rsidP="002515D3">
      <w:pPr>
        <w:tabs>
          <w:tab w:val="left" w:pos="-720"/>
        </w:tabs>
        <w:suppressAutoHyphens/>
        <w:spacing w:after="0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515D3" w:rsidRPr="002515D3" w:rsidRDefault="002515D3" w:rsidP="002515D3">
      <w:pPr>
        <w:tabs>
          <w:tab w:val="center" w:pos="4253"/>
        </w:tabs>
        <w:suppressAutoHyphens/>
        <w:spacing w:after="0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515D3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2515D3" w:rsidRPr="002515D3" w:rsidRDefault="002515D3" w:rsidP="002515D3">
      <w:pPr>
        <w:tabs>
          <w:tab w:val="left" w:pos="-720"/>
        </w:tabs>
        <w:suppressAutoHyphens/>
        <w:spacing w:after="0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515D3" w:rsidRPr="002515D3" w:rsidRDefault="002515D3" w:rsidP="002515D3">
      <w:pPr>
        <w:tabs>
          <w:tab w:val="center" w:pos="4253"/>
        </w:tabs>
        <w:suppressAutoHyphens/>
        <w:spacing w:after="0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515D3">
        <w:rPr>
          <w:rFonts w:ascii="Helvetica" w:hAnsi="Helvetica"/>
          <w:b/>
          <w:sz w:val="24"/>
          <w:szCs w:val="24"/>
          <w:lang w:val="es-ES_tradnl"/>
        </w:rPr>
        <w:t>EN SESION DE FECHA 14 DE JUNIO DE 2017</w:t>
      </w:r>
    </w:p>
    <w:p w:rsidR="002515D3" w:rsidRPr="002515D3" w:rsidRDefault="002515D3" w:rsidP="002515D3">
      <w:pPr>
        <w:tabs>
          <w:tab w:val="center" w:pos="4253"/>
        </w:tabs>
        <w:suppressAutoHyphens/>
        <w:spacing w:after="0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515D3" w:rsidRPr="002515D3" w:rsidRDefault="002515D3" w:rsidP="002515D3">
      <w:pPr>
        <w:tabs>
          <w:tab w:val="center" w:pos="4253"/>
        </w:tabs>
        <w:suppressAutoHyphens/>
        <w:spacing w:after="0"/>
        <w:jc w:val="center"/>
        <w:rPr>
          <w:rFonts w:ascii="Helvetica" w:hAnsi="Helvetica"/>
          <w:b/>
          <w:sz w:val="24"/>
          <w:szCs w:val="24"/>
        </w:rPr>
      </w:pPr>
      <w:r w:rsidRPr="002515D3">
        <w:rPr>
          <w:rFonts w:ascii="Helvetica" w:hAnsi="Helvetica"/>
          <w:b/>
          <w:sz w:val="24"/>
          <w:szCs w:val="24"/>
        </w:rPr>
        <w:t xml:space="preserve">(E. E. Nº 2017-17-1-0000012, </w:t>
      </w:r>
      <w:proofErr w:type="spellStart"/>
      <w:r w:rsidRPr="002515D3">
        <w:rPr>
          <w:rFonts w:ascii="Helvetica" w:hAnsi="Helvetica"/>
          <w:b/>
          <w:sz w:val="24"/>
          <w:szCs w:val="24"/>
        </w:rPr>
        <w:t>Ent</w:t>
      </w:r>
      <w:proofErr w:type="spellEnd"/>
      <w:r w:rsidRPr="002515D3">
        <w:rPr>
          <w:rFonts w:ascii="Helvetica" w:hAnsi="Helvetica"/>
          <w:b/>
          <w:sz w:val="24"/>
          <w:szCs w:val="24"/>
        </w:rPr>
        <w:t>. N° 2654/17)</w:t>
      </w:r>
    </w:p>
    <w:p w:rsidR="002515D3" w:rsidRPr="002515D3" w:rsidRDefault="002515D3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59073C" w:rsidRDefault="0059073C" w:rsidP="002515D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Administración Nacional de Telecomunicaciones, relacionadas con la cesión de contrato derivada de la contratación directa por excepción para el soporte técnico, asistencia de operación y mantenimiento y soporte de hardware para el equipamiento NGN marca </w:t>
      </w:r>
      <w:proofErr w:type="spellStart"/>
      <w:r>
        <w:rPr>
          <w:rFonts w:ascii="Arial" w:hAnsi="Arial" w:cs="Arial"/>
          <w:sz w:val="24"/>
          <w:szCs w:val="24"/>
        </w:rPr>
        <w:t>Huawei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9073C" w:rsidRDefault="0059073C" w:rsidP="002515D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por Resolución N° 1644/12 de fecha 12.10.12, el Directorio dispuso la contratación directa N° H2A02750 con </w:t>
      </w:r>
      <w:proofErr w:type="spellStart"/>
      <w:r>
        <w:rPr>
          <w:rFonts w:ascii="Arial" w:hAnsi="Arial" w:cs="Arial"/>
          <w:sz w:val="24"/>
          <w:szCs w:val="24"/>
        </w:rPr>
        <w:t>Huawei</w:t>
      </w:r>
      <w:proofErr w:type="spellEnd"/>
      <w:r>
        <w:rPr>
          <w:rFonts w:ascii="Arial" w:hAnsi="Arial" w:cs="Arial"/>
          <w:sz w:val="24"/>
          <w:szCs w:val="24"/>
        </w:rPr>
        <w:t xml:space="preserve"> International Pte. Ltd., al amparo de la causal prevista en el </w:t>
      </w:r>
      <w:r w:rsidR="000A766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33,</w:t>
      </w:r>
      <w:r w:rsidR="000A7668">
        <w:rPr>
          <w:rFonts w:ascii="Arial" w:hAnsi="Arial" w:cs="Arial"/>
          <w:sz w:val="24"/>
          <w:szCs w:val="24"/>
        </w:rPr>
        <w:t xml:space="preserve">                    L</w:t>
      </w:r>
      <w:r>
        <w:rPr>
          <w:rFonts w:ascii="Arial" w:hAnsi="Arial" w:cs="Arial"/>
          <w:sz w:val="24"/>
          <w:szCs w:val="24"/>
        </w:rPr>
        <w:t>iteral c), numeral 3) del TOCAF, por un plazo de 24 meses, más el 100% del uso de la opción, siendo el plazo total contratado de 48 meses, por un monto total de U$S 5.294.010,66;</w:t>
      </w:r>
    </w:p>
    <w:p w:rsidR="0059073C" w:rsidRDefault="0059073C" w:rsidP="002515D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este Tribunal, por Resolución adoptada en Sesión de fecha 21.11.12 intervino preventivamente el gasto;</w:t>
      </w:r>
    </w:p>
    <w:p w:rsidR="0059073C" w:rsidRDefault="0059073C" w:rsidP="002515D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el Directorio, por Resolución N° 1646/16 de fecha 22.12.16, aprobó la ampliación del 98,61% de la contratación original realizada con </w:t>
      </w:r>
      <w:proofErr w:type="spellStart"/>
      <w:r>
        <w:rPr>
          <w:rFonts w:ascii="Arial" w:hAnsi="Arial" w:cs="Arial"/>
          <w:sz w:val="24"/>
          <w:szCs w:val="24"/>
        </w:rPr>
        <w:t>Huawei</w:t>
      </w:r>
      <w:proofErr w:type="spellEnd"/>
      <w:r>
        <w:rPr>
          <w:rFonts w:ascii="Arial" w:hAnsi="Arial" w:cs="Arial"/>
          <w:sz w:val="24"/>
          <w:szCs w:val="24"/>
        </w:rPr>
        <w:t xml:space="preserve"> International Pte. Ltd., por un monto máximo de </w:t>
      </w:r>
      <w:r w:rsidR="000A7668">
        <w:rPr>
          <w:rFonts w:ascii="Arial" w:hAnsi="Arial" w:cs="Arial"/>
          <w:sz w:val="24"/>
          <w:szCs w:val="24"/>
        </w:rPr>
        <w:t xml:space="preserve">                                    U$S 5.220.389,76;</w:t>
      </w:r>
      <w:r>
        <w:rPr>
          <w:rFonts w:ascii="Arial" w:hAnsi="Arial" w:cs="Arial"/>
          <w:sz w:val="24"/>
          <w:szCs w:val="24"/>
        </w:rPr>
        <w:t xml:space="preserve"> contando la misma con el consentimiento de la referida empresa;</w:t>
      </w:r>
    </w:p>
    <w:p w:rsidR="0059073C" w:rsidRDefault="0059073C" w:rsidP="000A766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este Tribunal, por Resolución 404/17 del 01.02.17, cometió al Contador Delegado la intervención del gasto previo control de su imputación a rubro adecuado con disponibilidad presupuestal suficiente. Luego de ello el Contador Delegado intervino el mismo con fecha 15.02.17;</w:t>
      </w:r>
    </w:p>
    <w:p w:rsidR="0059073C" w:rsidRDefault="0059073C" w:rsidP="000A766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Huawei</w:t>
      </w:r>
      <w:proofErr w:type="spellEnd"/>
      <w:r>
        <w:rPr>
          <w:rFonts w:ascii="Arial" w:hAnsi="Arial" w:cs="Arial"/>
          <w:sz w:val="24"/>
          <w:szCs w:val="24"/>
        </w:rPr>
        <w:t xml:space="preserve"> International PTE. LTD”, con fecha 06.04.17 presentó contrato privado con firmas certificadas de la cesión de los derechos y obligaciones emergentes de las adjudicaciones a la firma “</w:t>
      </w:r>
      <w:proofErr w:type="spellStart"/>
      <w:r>
        <w:rPr>
          <w:rFonts w:ascii="Arial" w:hAnsi="Arial" w:cs="Arial"/>
          <w:sz w:val="24"/>
          <w:szCs w:val="24"/>
        </w:rPr>
        <w:t>Huawei</w:t>
      </w:r>
      <w:proofErr w:type="spellEnd"/>
      <w:r>
        <w:rPr>
          <w:rFonts w:ascii="Arial" w:hAnsi="Arial" w:cs="Arial"/>
          <w:sz w:val="24"/>
          <w:szCs w:val="24"/>
        </w:rPr>
        <w:t xml:space="preserve"> Technologies Uruguay” por motivos de eficiencia operacional;</w:t>
      </w:r>
    </w:p>
    <w:p w:rsidR="0059073C" w:rsidRDefault="0059073C" w:rsidP="000A766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la Asesoría Notarial con fecha 21.04.17 informó que realizó un completo estudio de la documentación concluyendo que no correspondía formular observaciones a la cesión;</w:t>
      </w:r>
    </w:p>
    <w:p w:rsidR="0059073C" w:rsidRDefault="0059073C" w:rsidP="000A766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Gerencia de la División Operaciones Equipamiento de Redes, con fecha 06.04.17, informó que la empresa cesionaria cuenta con antecedentes probados y reúne los requisitos necesarios para realizar el servicio de soporte técnico, con la solvencia técnica que el Organismo exige;</w:t>
      </w:r>
    </w:p>
    <w:p w:rsidR="0059073C" w:rsidRDefault="0059073C" w:rsidP="000A766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 xml:space="preserve">que el Directorio, por Resolución Nº 491/17 del 18.05.17 y teniendo en cuenta los informes técnicos referidos, aprobó la cesión de contrato de la firma </w:t>
      </w:r>
      <w:proofErr w:type="spellStart"/>
      <w:r>
        <w:rPr>
          <w:rFonts w:ascii="Arial" w:hAnsi="Arial" w:cs="Arial"/>
          <w:sz w:val="24"/>
          <w:szCs w:val="24"/>
        </w:rPr>
        <w:t>Huawei</w:t>
      </w:r>
      <w:proofErr w:type="spellEnd"/>
      <w:r>
        <w:rPr>
          <w:rFonts w:ascii="Arial" w:hAnsi="Arial" w:cs="Arial"/>
          <w:sz w:val="24"/>
          <w:szCs w:val="24"/>
        </w:rPr>
        <w:t xml:space="preserve"> International PTE. LTD a la firma “</w:t>
      </w:r>
      <w:proofErr w:type="spellStart"/>
      <w:r>
        <w:rPr>
          <w:rFonts w:ascii="Arial" w:hAnsi="Arial" w:cs="Arial"/>
          <w:sz w:val="24"/>
          <w:szCs w:val="24"/>
        </w:rPr>
        <w:t>Huawei</w:t>
      </w:r>
      <w:proofErr w:type="spellEnd"/>
      <w:r>
        <w:rPr>
          <w:rFonts w:ascii="Arial" w:hAnsi="Arial" w:cs="Arial"/>
          <w:sz w:val="24"/>
          <w:szCs w:val="24"/>
        </w:rPr>
        <w:t xml:space="preserve"> Technologies Uruguay”, derivada de la contratación dispuesta por Resolución Nº 1646/16 del 22.12.16;</w:t>
      </w:r>
    </w:p>
    <w:p w:rsidR="0059073C" w:rsidRDefault="0059073C" w:rsidP="002515D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se dio cumplimiento a lo dispuesto por el </w:t>
      </w:r>
      <w:r w:rsidR="000A766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75 del TOCAF en tanto el contrato se encuentra en ejecución, la cesión fue solicitada por la firma adjudicataria y consentida expresamente por la Administración actuante y se fundamentó adecuadamente que la firma cesionaria reúne las mismas seguridades de cumplimiento de las prestaciones que la empresa cedente;</w:t>
      </w:r>
    </w:p>
    <w:p w:rsidR="0059073C" w:rsidRDefault="0059073C" w:rsidP="000A7668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asimismo, del informe notarial que consta en obrados y de la consulta realizada al Registro Único de Proveedores surge que la firma cesionaria cuenta con capacidad para contratar con el Estado;</w:t>
      </w:r>
    </w:p>
    <w:p w:rsidR="0059073C" w:rsidRDefault="0059073C" w:rsidP="000A7668">
      <w:pPr>
        <w:tabs>
          <w:tab w:val="left" w:pos="720"/>
          <w:tab w:val="left" w:pos="1985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la presente cesión no implica un nuevo gasto, siendo los únicos derivados de la presente contratación aquellos intervenidos por este Tribunal y por el Contador Delegado con fechas 21.11.12 y  </w:t>
      </w:r>
      <w:r>
        <w:rPr>
          <w:rFonts w:ascii="Arial" w:hAnsi="Arial" w:cs="Arial"/>
          <w:sz w:val="24"/>
          <w:szCs w:val="24"/>
          <w:lang w:val="es-MX"/>
        </w:rPr>
        <w:t>22.09.04 respectivamente (Resultandos 2 y 4);</w:t>
      </w:r>
    </w:p>
    <w:p w:rsidR="0059073C" w:rsidRDefault="0059073C" w:rsidP="000A766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dispuesto por el </w:t>
      </w:r>
      <w:r w:rsidR="000A766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0A766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 la Constitución de la República; </w:t>
      </w:r>
    </w:p>
    <w:p w:rsidR="0059073C" w:rsidRDefault="0059073C" w:rsidP="002515D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59073C" w:rsidRDefault="000A7668" w:rsidP="002515D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</w:t>
      </w:r>
      <w:r w:rsidR="0059073C">
        <w:rPr>
          <w:rFonts w:ascii="Arial" w:hAnsi="Arial" w:cs="Arial"/>
          <w:sz w:val="24"/>
          <w:szCs w:val="24"/>
        </w:rPr>
        <w:t xml:space="preserve">No formular observaciones a la cesión de contrato realizada; </w:t>
      </w:r>
    </w:p>
    <w:p w:rsidR="0059073C" w:rsidRDefault="000A7668" w:rsidP="002515D3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bookmarkStart w:id="0" w:name="_GoBack"/>
      <w:bookmarkEnd w:id="0"/>
      <w:r w:rsidR="0059073C">
        <w:rPr>
          <w:rFonts w:ascii="Arial" w:hAnsi="Arial" w:cs="Arial"/>
          <w:sz w:val="24"/>
          <w:szCs w:val="24"/>
        </w:rPr>
        <w:t>Devolver las actuaciones.</w:t>
      </w:r>
    </w:p>
    <w:p w:rsidR="0059073C" w:rsidRDefault="0059073C" w:rsidP="002515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073C" w:rsidRPr="002515D3" w:rsidRDefault="002515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515D3">
        <w:rPr>
          <w:rFonts w:ascii="Arial" w:hAnsi="Arial" w:cs="Arial"/>
          <w:iCs/>
          <w:sz w:val="24"/>
          <w:szCs w:val="24"/>
        </w:rPr>
        <w:t>ag</w:t>
      </w:r>
      <w:proofErr w:type="spellEnd"/>
      <w:proofErr w:type="gramEnd"/>
    </w:p>
    <w:p w:rsidR="0059073C" w:rsidRDefault="0059073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59073C" w:rsidRDefault="0059073C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:rsidR="0059073C" w:rsidRDefault="0059073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9073C" w:rsidRDefault="0059073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9073C" w:rsidRDefault="0059073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59073C" w:rsidSect="003E317D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47A80"/>
    <w:multiLevelType w:val="hybridMultilevel"/>
    <w:tmpl w:val="9EF23028"/>
    <w:lvl w:ilvl="0" w:tplc="E3025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3C"/>
    <w:rsid w:val="000873D1"/>
    <w:rsid w:val="000A7668"/>
    <w:rsid w:val="002515D3"/>
    <w:rsid w:val="003E317D"/>
    <w:rsid w:val="0059073C"/>
    <w:rsid w:val="00D033E4"/>
    <w:rsid w:val="00E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val="es-UY" w:eastAsia="en-US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sz w:val="28"/>
      <w:szCs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Calibri" w:hAnsi="Calibri" w:cs="Calibri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val="es-UY" w:eastAsia="en-US"/>
    </w:rPr>
  </w:style>
  <w:style w:type="paragraph" w:styleId="Textoindependiente">
    <w:name w:val="Body Text"/>
    <w:basedOn w:val="Normal"/>
    <w:link w:val="TextoindependienteCar"/>
    <w:uiPriority w:val="99"/>
    <w:pPr>
      <w:spacing w:after="0" w:line="36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sz w:val="28"/>
      <w:szCs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Calibri" w:hAnsi="Calibri" w:cs="Calibri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2017-17-1-0000012</vt:lpstr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2017-17-1-0000012</dc:title>
  <dc:subject/>
  <dc:creator>MARIA ALEJANDRA ALVAREZ LOPEZ</dc:creator>
  <cp:keywords/>
  <dc:description/>
  <cp:lastModifiedBy>Andrea Gerner</cp:lastModifiedBy>
  <cp:revision>8</cp:revision>
  <cp:lastPrinted>2017-06-21T16:45:00Z</cp:lastPrinted>
  <dcterms:created xsi:type="dcterms:W3CDTF">2017-06-21T15:25:00Z</dcterms:created>
  <dcterms:modified xsi:type="dcterms:W3CDTF">2017-06-21T16:45:00Z</dcterms:modified>
</cp:coreProperties>
</file>