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EB" w:rsidRPr="00786EEB" w:rsidRDefault="005D03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EE1157">
        <w:rPr>
          <w:rFonts w:ascii="Arial" w:hAnsi="Arial" w:cs="Arial"/>
          <w:b/>
          <w:sz w:val="28"/>
          <w:szCs w:val="28"/>
          <w:lang w:val="es-ES_tradnl"/>
        </w:rPr>
        <w:t>1763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5D03EB" w:rsidRDefault="005D03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D03EB" w:rsidRPr="005D03EB" w:rsidRDefault="005D03EB" w:rsidP="005D03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D03E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D03EB" w:rsidRPr="005D03EB" w:rsidRDefault="005D03EB" w:rsidP="005D03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D03EB" w:rsidRPr="005D03EB" w:rsidRDefault="005D03EB" w:rsidP="005D03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D03E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D03EB" w:rsidRPr="005D03EB" w:rsidRDefault="005D03EB" w:rsidP="005D03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D03EB" w:rsidRPr="005D03EB" w:rsidRDefault="005D03EB" w:rsidP="005D03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D03EB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5D03EB">
        <w:rPr>
          <w:rFonts w:ascii="Helvetica" w:hAnsi="Helvetica"/>
          <w:b/>
          <w:sz w:val="24"/>
          <w:szCs w:val="24"/>
          <w:lang w:val="es-ES_tradnl"/>
        </w:rPr>
        <w:t>7 DE JUNIO DE 2017</w:t>
      </w:r>
    </w:p>
    <w:p w:rsidR="005D03EB" w:rsidRPr="005D03EB" w:rsidRDefault="005D03EB" w:rsidP="005D03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D03EB" w:rsidRPr="005D03EB" w:rsidRDefault="005D03EB" w:rsidP="005D03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D03E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2014-17-1-0004858</w:t>
      </w:r>
      <w:r w:rsidRPr="005D03E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5D03EB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5D03EB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2694/17</w:t>
      </w:r>
      <w:r w:rsidRPr="005D03EB">
        <w:rPr>
          <w:rFonts w:ascii="Arial" w:hAnsi="Arial" w:cs="Arial"/>
          <w:b/>
          <w:sz w:val="24"/>
          <w:szCs w:val="24"/>
          <w:lang w:val="en-US"/>
        </w:rPr>
        <w:t>)</w:t>
      </w:r>
    </w:p>
    <w:p w:rsidR="005D03EB" w:rsidRDefault="005D03EB">
      <w:pPr>
        <w:rPr>
          <w:lang w:val="en-US"/>
        </w:rPr>
      </w:pPr>
    </w:p>
    <w:p w:rsidR="005D03EB" w:rsidRDefault="00EE1157" w:rsidP="005D03EB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VISTO:</w:t>
      </w:r>
      <w:r>
        <w:rPr>
          <w:rFonts w:ascii="Arial" w:eastAsia="Arial" w:hAnsi="Arial" w:cs="Arial"/>
          <w:sz w:val="24"/>
        </w:rPr>
        <w:t xml:space="preserve"> las actuaciones remitidas por el Ministerio de Desarrollo Social (MIDES) relacionadas con el convenio a celebrar con el Minist</w:t>
      </w:r>
      <w:r w:rsidR="005D03EB">
        <w:rPr>
          <w:rFonts w:ascii="Arial" w:eastAsia="Arial" w:hAnsi="Arial" w:cs="Arial"/>
          <w:sz w:val="24"/>
        </w:rPr>
        <w:t>erio de Defensa Nacional (MDN);</w:t>
      </w:r>
    </w:p>
    <w:p w:rsidR="005D03EB" w:rsidRDefault="00EE1157" w:rsidP="005D03EB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RESULTANDO: 1) </w:t>
      </w:r>
      <w:r>
        <w:rPr>
          <w:rFonts w:ascii="Arial" w:eastAsia="Arial" w:hAnsi="Arial" w:cs="Arial"/>
          <w:sz w:val="24"/>
        </w:rPr>
        <w:t>que con fecha 27 de mayo de 2014, el MIDES y el MDN suscribieron un convenio cuyo</w:t>
      </w:r>
      <w:r>
        <w:rPr>
          <w:rFonts w:ascii="Arial" w:eastAsia="Arial" w:hAnsi="Arial" w:cs="Arial"/>
          <w:sz w:val="24"/>
        </w:rPr>
        <w:t xml:space="preserve"> objeto consistió en la elaboración y distribu</w:t>
      </w:r>
      <w:r w:rsidR="005D03EB">
        <w:rPr>
          <w:rFonts w:ascii="Arial" w:eastAsia="Arial" w:hAnsi="Arial" w:cs="Arial"/>
          <w:sz w:val="24"/>
        </w:rPr>
        <w:softHyphen/>
      </w:r>
      <w:r>
        <w:rPr>
          <w:rFonts w:ascii="Arial" w:eastAsia="Arial" w:hAnsi="Arial" w:cs="Arial"/>
          <w:sz w:val="24"/>
        </w:rPr>
        <w:t>ción de pan por parte del MDN a tod</w:t>
      </w:r>
      <w:r w:rsidR="005D03EB">
        <w:rPr>
          <w:rFonts w:ascii="Arial" w:eastAsia="Arial" w:hAnsi="Arial" w:cs="Arial"/>
          <w:sz w:val="24"/>
        </w:rPr>
        <w:t>os los centros del MIDES en el D</w:t>
      </w:r>
      <w:r>
        <w:rPr>
          <w:rFonts w:ascii="Arial" w:eastAsia="Arial" w:hAnsi="Arial" w:cs="Arial"/>
          <w:sz w:val="24"/>
        </w:rPr>
        <w:t>epartamento de Montevideo, durante todo el año, para atender la población en situación de indigencia y de calle;</w:t>
      </w:r>
    </w:p>
    <w:p w:rsidR="005D03EB" w:rsidRDefault="00EE1157" w:rsidP="005D03EB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2) </w:t>
      </w:r>
      <w:r>
        <w:rPr>
          <w:rFonts w:ascii="Arial" w:eastAsia="Arial" w:hAnsi="Arial" w:cs="Arial"/>
          <w:sz w:val="24"/>
        </w:rPr>
        <w:t xml:space="preserve">que este Tribunal, </w:t>
      </w:r>
      <w:r>
        <w:rPr>
          <w:rFonts w:ascii="Arial" w:eastAsia="Arial" w:hAnsi="Arial" w:cs="Arial"/>
          <w:sz w:val="24"/>
        </w:rPr>
        <w:t>con fecha 9 de julio de 2014,  acordó observar el gasto emergente del convenio, por</w:t>
      </w:r>
      <w:r>
        <w:rPr>
          <w:rFonts w:ascii="Arial" w:eastAsia="Arial" w:hAnsi="Arial" w:cs="Arial"/>
          <w:sz w:val="24"/>
        </w:rPr>
        <w:t xml:space="preserve"> contar el mismo con principio de ejecución, en contr</w:t>
      </w:r>
      <w:r w:rsidR="005D03EB">
        <w:rPr>
          <w:rFonts w:ascii="Arial" w:eastAsia="Arial" w:hAnsi="Arial" w:cs="Arial"/>
          <w:sz w:val="24"/>
        </w:rPr>
        <w:t>avención a lo dispuesto por el L</w:t>
      </w:r>
      <w:r>
        <w:rPr>
          <w:rFonts w:ascii="Arial" w:eastAsia="Arial" w:hAnsi="Arial" w:cs="Arial"/>
          <w:sz w:val="24"/>
        </w:rPr>
        <w:t xml:space="preserve">iteral </w:t>
      </w:r>
      <w:r w:rsidR="005D03EB">
        <w:rPr>
          <w:rFonts w:ascii="Arial" w:eastAsia="Arial" w:hAnsi="Arial" w:cs="Arial"/>
          <w:sz w:val="24"/>
        </w:rPr>
        <w:t>B) del A</w:t>
      </w:r>
      <w:r>
        <w:rPr>
          <w:rFonts w:ascii="Arial" w:eastAsia="Arial" w:hAnsi="Arial" w:cs="Arial"/>
          <w:sz w:val="24"/>
        </w:rPr>
        <w:t>rtículo 211 de la Constitución de la República;</w:t>
      </w:r>
    </w:p>
    <w:p w:rsidR="005D03EB" w:rsidRDefault="00EE1157" w:rsidP="005D03EB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3)</w:t>
      </w:r>
      <w:r>
        <w:rPr>
          <w:rFonts w:ascii="Arial" w:eastAsia="Arial" w:hAnsi="Arial" w:cs="Arial"/>
          <w:sz w:val="24"/>
        </w:rPr>
        <w:t xml:space="preserve"> que el MIDES reiteró dicho gasto y este Tribunal con fecha 3 de setiembre de 2014, resolvió mantener la observación formulada con fecha 9 de julio de 2014;</w:t>
      </w:r>
    </w:p>
    <w:p w:rsidR="00D7430A" w:rsidRDefault="00EE1157" w:rsidP="00D7430A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4) </w:t>
      </w:r>
      <w:r>
        <w:rPr>
          <w:rFonts w:ascii="Arial" w:eastAsia="Arial" w:hAnsi="Arial" w:cs="Arial"/>
          <w:sz w:val="24"/>
        </w:rPr>
        <w:t>que  posteriormente</w:t>
      </w:r>
      <w:r>
        <w:rPr>
          <w:rFonts w:ascii="Arial" w:eastAsia="Arial" w:hAnsi="Arial" w:cs="Arial"/>
          <w:b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 se remitió  p</w:t>
      </w:r>
      <w:r>
        <w:rPr>
          <w:rFonts w:ascii="Arial" w:eastAsia="Arial" w:hAnsi="Arial" w:cs="Arial"/>
          <w:sz w:val="24"/>
        </w:rPr>
        <w:t xml:space="preserve">ara su intervención el gasto emergente de la prórroga automática del Convenio referido y este </w:t>
      </w:r>
      <w:r>
        <w:rPr>
          <w:rFonts w:ascii="Arial" w:eastAsia="Arial" w:hAnsi="Arial" w:cs="Arial"/>
          <w:sz w:val="24"/>
        </w:rPr>
        <w:lastRenderedPageBreak/>
        <w:t xml:space="preserve">Tribunal </w:t>
      </w:r>
      <w:r>
        <w:rPr>
          <w:rFonts w:ascii="Arial" w:eastAsia="Arial" w:hAnsi="Arial" w:cs="Arial"/>
          <w:sz w:val="24"/>
        </w:rPr>
        <w:t>con fecha 10 de agosto de 2016 observó el mismo, que fue posterior</w:t>
      </w:r>
      <w:r w:rsidR="00D7430A">
        <w:rPr>
          <w:rFonts w:ascii="Arial" w:eastAsia="Arial" w:hAnsi="Arial" w:cs="Arial"/>
          <w:sz w:val="24"/>
        </w:rPr>
        <w:softHyphen/>
      </w:r>
      <w:r>
        <w:rPr>
          <w:rFonts w:ascii="Arial" w:eastAsia="Arial" w:hAnsi="Arial" w:cs="Arial"/>
          <w:sz w:val="24"/>
        </w:rPr>
        <w:t>mente reiterado por el MIDES y este Tribunal mantuvo la observación con fecha 28 de se</w:t>
      </w:r>
      <w:r>
        <w:rPr>
          <w:rFonts w:ascii="Arial" w:eastAsia="Arial" w:hAnsi="Arial" w:cs="Arial"/>
          <w:sz w:val="24"/>
        </w:rPr>
        <w:t>tiembre de 2016;</w:t>
      </w:r>
    </w:p>
    <w:p w:rsidR="00D7430A" w:rsidRDefault="00EE1157" w:rsidP="00D7430A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5)</w:t>
      </w:r>
      <w:r>
        <w:rPr>
          <w:rFonts w:ascii="Arial" w:eastAsia="Arial" w:hAnsi="Arial" w:cs="Arial"/>
          <w:sz w:val="24"/>
        </w:rPr>
        <w:t xml:space="preserve"> que culminada la vigencia del Convenio mencionado, en esta oportunidad se remite un nuevo proyecto de Convenio a suscribir </w:t>
      </w:r>
      <w:r>
        <w:rPr>
          <w:rFonts w:ascii="Arial" w:eastAsia="Arial" w:hAnsi="Arial" w:cs="Arial"/>
          <w:sz w:val="24"/>
        </w:rPr>
        <w:t>entre las partes,</w:t>
      </w:r>
      <w:r w:rsidR="00D7430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cuyo objeto consiste en establecer las condiciones que regirán l</w:t>
      </w:r>
      <w:r>
        <w:rPr>
          <w:rFonts w:ascii="Arial" w:eastAsia="Arial" w:hAnsi="Arial" w:cs="Arial"/>
          <w:sz w:val="24"/>
        </w:rPr>
        <w:t>a  elaboración y distribución de pan por parte del MDN-CGE a todos los centros del MIDES coordinados por la División de Coordinación de Programas para personas en situ</w:t>
      </w:r>
      <w:r w:rsidR="00D7430A">
        <w:rPr>
          <w:rFonts w:ascii="Arial" w:eastAsia="Arial" w:hAnsi="Arial" w:cs="Arial"/>
          <w:sz w:val="24"/>
        </w:rPr>
        <w:t>ación de calle, ubicados en el D</w:t>
      </w:r>
      <w:r>
        <w:rPr>
          <w:rFonts w:ascii="Arial" w:eastAsia="Arial" w:hAnsi="Arial" w:cs="Arial"/>
          <w:sz w:val="24"/>
        </w:rPr>
        <w:t>epartamento de Montevideo;</w:t>
      </w:r>
    </w:p>
    <w:p w:rsidR="00D7430A" w:rsidRDefault="00EE1157" w:rsidP="00D7430A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) </w:t>
      </w:r>
      <w:r>
        <w:rPr>
          <w:rFonts w:ascii="Arial" w:eastAsia="Arial" w:hAnsi="Arial" w:cs="Arial"/>
          <w:sz w:val="24"/>
        </w:rPr>
        <w:t xml:space="preserve">que el </w:t>
      </w:r>
      <w:r>
        <w:rPr>
          <w:rFonts w:ascii="Arial" w:eastAsia="Arial" w:hAnsi="Arial" w:cs="Arial"/>
          <w:sz w:val="24"/>
        </w:rPr>
        <w:t xml:space="preserve">MDN-CGE se obliga a: </w:t>
      </w:r>
      <w:r w:rsidRPr="00D7430A">
        <w:rPr>
          <w:rFonts w:ascii="Arial" w:eastAsia="Arial" w:hAnsi="Arial" w:cs="Arial"/>
          <w:b/>
          <w:sz w:val="24"/>
        </w:rPr>
        <w:t xml:space="preserve">1) </w:t>
      </w:r>
      <w:r>
        <w:rPr>
          <w:rFonts w:ascii="Arial" w:eastAsia="Arial" w:hAnsi="Arial" w:cs="Arial"/>
          <w:sz w:val="24"/>
        </w:rPr>
        <w:t>aportar materia prima, capacidad técnica, maquinaria y</w:t>
      </w:r>
      <w:r w:rsidR="00D7430A">
        <w:rPr>
          <w:rFonts w:ascii="Arial" w:eastAsia="Arial" w:hAnsi="Arial" w:cs="Arial"/>
          <w:sz w:val="24"/>
        </w:rPr>
        <w:t xml:space="preserve"> recursos humanos del Ejército N</w:t>
      </w:r>
      <w:r>
        <w:rPr>
          <w:rFonts w:ascii="Arial" w:eastAsia="Arial" w:hAnsi="Arial" w:cs="Arial"/>
          <w:sz w:val="24"/>
        </w:rPr>
        <w:t>acional para elaborar hasta 1.500 panes diarios y la distribución de los mismos para el desayuno de los usuarios de los centros del MIDE</w:t>
      </w:r>
      <w:r>
        <w:rPr>
          <w:rFonts w:ascii="Arial" w:eastAsia="Arial" w:hAnsi="Arial" w:cs="Arial"/>
          <w:sz w:val="24"/>
        </w:rPr>
        <w:t xml:space="preserve">S, los 365 días del año; </w:t>
      </w:r>
      <w:r w:rsidRPr="00D7430A">
        <w:rPr>
          <w:rFonts w:ascii="Arial" w:eastAsia="Arial" w:hAnsi="Arial" w:cs="Arial"/>
          <w:b/>
          <w:sz w:val="24"/>
        </w:rPr>
        <w:t>2)</w:t>
      </w:r>
      <w:r>
        <w:rPr>
          <w:rFonts w:ascii="Arial" w:eastAsia="Arial" w:hAnsi="Arial" w:cs="Arial"/>
          <w:sz w:val="24"/>
        </w:rPr>
        <w:t xml:space="preserve">aportar vehículos y personal para el transporte, clasificación y distribución de los víveres en hasta 60 centros del MIDES en un máximo de 4 horas diarias; y </w:t>
      </w:r>
      <w:r w:rsidRPr="00D7430A">
        <w:rPr>
          <w:rFonts w:ascii="Arial" w:eastAsia="Arial" w:hAnsi="Arial" w:cs="Arial"/>
          <w:b/>
          <w:sz w:val="24"/>
        </w:rPr>
        <w:t>3)</w:t>
      </w:r>
      <w:r w:rsidR="00D7430A">
        <w:rPr>
          <w:rFonts w:ascii="Arial" w:eastAsia="Arial" w:hAnsi="Arial" w:cs="Arial"/>
          <w:sz w:val="24"/>
        </w:rPr>
        <w:t>presentar informe de r</w:t>
      </w:r>
      <w:r>
        <w:rPr>
          <w:rFonts w:ascii="Arial" w:eastAsia="Arial" w:hAnsi="Arial" w:cs="Arial"/>
          <w:sz w:val="24"/>
        </w:rPr>
        <w:t>endición de cuentas de las partidas recibidas</w:t>
      </w:r>
      <w:r w:rsidR="00D7430A">
        <w:rPr>
          <w:rFonts w:ascii="Arial" w:eastAsia="Arial" w:hAnsi="Arial" w:cs="Arial"/>
          <w:sz w:val="24"/>
        </w:rPr>
        <w:t>, conforme con lo dispuesto en los A</w:t>
      </w:r>
      <w:r>
        <w:rPr>
          <w:rFonts w:ascii="Arial" w:eastAsia="Arial" w:hAnsi="Arial" w:cs="Arial"/>
          <w:sz w:val="24"/>
        </w:rPr>
        <w:t>rtículos 132 a 136 del TOCAF, Ordenanza Nº 77 del Tribunal de Cuentas y Pronunciamiento Nº 20 del Colegio de Contadores;</w:t>
      </w:r>
    </w:p>
    <w:p w:rsidR="00D7430A" w:rsidRDefault="00EE1157" w:rsidP="00D7430A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7)</w:t>
      </w:r>
      <w:r>
        <w:rPr>
          <w:rFonts w:ascii="Arial" w:eastAsia="Arial" w:hAnsi="Arial" w:cs="Arial"/>
          <w:sz w:val="24"/>
        </w:rPr>
        <w:t xml:space="preserve"> que por</w:t>
      </w:r>
      <w:r w:rsidR="00D7430A">
        <w:rPr>
          <w:rFonts w:ascii="Arial" w:eastAsia="Arial" w:hAnsi="Arial" w:cs="Arial"/>
          <w:sz w:val="24"/>
        </w:rPr>
        <w:t xml:space="preserve"> su parte, el MIDES se obliga a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Arial" w:eastAsia="Arial" w:hAnsi="Arial" w:cs="Arial"/>
          <w:b/>
          <w:sz w:val="24"/>
        </w:rPr>
        <w:t>1)</w:t>
      </w:r>
      <w:r>
        <w:rPr>
          <w:rFonts w:ascii="Arial" w:eastAsia="Arial" w:hAnsi="Arial" w:cs="Arial"/>
          <w:sz w:val="24"/>
        </w:rPr>
        <w:t xml:space="preserve"> determinar e informar al </w:t>
      </w:r>
      <w:r>
        <w:rPr>
          <w:rFonts w:ascii="Arial" w:eastAsia="Arial" w:hAnsi="Arial" w:cs="Arial"/>
          <w:sz w:val="24"/>
        </w:rPr>
        <w:t xml:space="preserve">MDN-CGE la cantidad de pan a ser elaborado y distribuido por el MDN-CGE en cada centro del MIDES; </w:t>
      </w:r>
      <w:r>
        <w:rPr>
          <w:rFonts w:ascii="Arial" w:eastAsia="Arial" w:hAnsi="Arial" w:cs="Arial"/>
          <w:b/>
          <w:sz w:val="24"/>
        </w:rPr>
        <w:t>2)</w:t>
      </w:r>
      <w:r>
        <w:rPr>
          <w:rFonts w:ascii="Arial" w:eastAsia="Arial" w:hAnsi="Arial" w:cs="Arial"/>
          <w:sz w:val="24"/>
        </w:rPr>
        <w:t xml:space="preserve"> abonar las partidas establecidas, destinadas a: </w:t>
      </w:r>
      <w:r w:rsidRPr="00D7430A">
        <w:rPr>
          <w:rFonts w:ascii="Arial" w:eastAsia="Arial" w:hAnsi="Arial" w:cs="Arial"/>
          <w:b/>
          <w:sz w:val="24"/>
        </w:rPr>
        <w:t>a)</w:t>
      </w:r>
      <w:r>
        <w:rPr>
          <w:rFonts w:ascii="Arial" w:eastAsia="Arial" w:hAnsi="Arial" w:cs="Arial"/>
          <w:sz w:val="24"/>
        </w:rPr>
        <w:t xml:space="preserve"> materias primas, insumos y desgaste de maquinarias, </w:t>
      </w:r>
      <w:r w:rsidRPr="00D7430A">
        <w:rPr>
          <w:rFonts w:ascii="Arial" w:eastAsia="Arial" w:hAnsi="Arial" w:cs="Arial"/>
          <w:b/>
          <w:sz w:val="24"/>
        </w:rPr>
        <w:t>b)</w:t>
      </w:r>
      <w:r>
        <w:rPr>
          <w:rFonts w:ascii="Arial" w:eastAsia="Arial" w:hAnsi="Arial" w:cs="Arial"/>
          <w:sz w:val="24"/>
        </w:rPr>
        <w:t xml:space="preserve">compensar lo que se abone al personal afectado a </w:t>
      </w:r>
      <w:r>
        <w:rPr>
          <w:rFonts w:ascii="Arial" w:eastAsia="Arial" w:hAnsi="Arial" w:cs="Arial"/>
          <w:sz w:val="24"/>
        </w:rPr>
        <w:t xml:space="preserve">la realización de tareas y </w:t>
      </w:r>
      <w:r w:rsidRPr="00D7430A">
        <w:rPr>
          <w:rFonts w:ascii="Arial" w:eastAsia="Arial" w:hAnsi="Arial" w:cs="Arial"/>
          <w:b/>
          <w:sz w:val="24"/>
        </w:rPr>
        <w:t>c)</w:t>
      </w:r>
      <w:r>
        <w:rPr>
          <w:rFonts w:ascii="Arial" w:eastAsia="Arial" w:hAnsi="Arial" w:cs="Arial"/>
          <w:sz w:val="24"/>
        </w:rPr>
        <w:t>gasto de combustible y otros costos asociados a la distribución;</w:t>
      </w:r>
    </w:p>
    <w:p w:rsidR="00D7430A" w:rsidRDefault="00EE1157" w:rsidP="00D7430A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8)</w:t>
      </w:r>
      <w:r>
        <w:rPr>
          <w:rFonts w:ascii="Arial" w:eastAsia="Arial" w:hAnsi="Arial" w:cs="Arial"/>
          <w:sz w:val="24"/>
        </w:rPr>
        <w:t xml:space="preserve"> que se establece que el convenio implicará una erogación  anual para el MIDES de hasta $ 8:364.283 por todo concepto, que será </w:t>
      </w:r>
      <w:r>
        <w:rPr>
          <w:rFonts w:ascii="Arial" w:eastAsia="Arial" w:hAnsi="Arial" w:cs="Arial"/>
          <w:sz w:val="24"/>
        </w:rPr>
        <w:lastRenderedPageBreak/>
        <w:t>depo</w:t>
      </w:r>
      <w:r>
        <w:rPr>
          <w:rFonts w:ascii="Arial" w:eastAsia="Arial" w:hAnsi="Arial" w:cs="Arial"/>
          <w:sz w:val="24"/>
        </w:rPr>
        <w:t xml:space="preserve">sitada en 4 partidas trimestrales de acuerdo con siguiente detalle: </w:t>
      </w:r>
      <w:r w:rsidRPr="00D7430A">
        <w:rPr>
          <w:rFonts w:ascii="Arial" w:eastAsia="Arial" w:hAnsi="Arial" w:cs="Arial"/>
          <w:b/>
          <w:sz w:val="24"/>
        </w:rPr>
        <w:t>a)</w:t>
      </w:r>
      <w:r>
        <w:rPr>
          <w:rFonts w:ascii="Arial" w:eastAsia="Arial" w:hAnsi="Arial" w:cs="Arial"/>
          <w:sz w:val="24"/>
        </w:rPr>
        <w:t xml:space="preserve"> la primera partida dentro de los 30 días de la suscripción del Conve</w:t>
      </w:r>
      <w:r w:rsidR="00D7430A">
        <w:rPr>
          <w:rFonts w:ascii="Arial" w:eastAsia="Arial" w:hAnsi="Arial" w:cs="Arial"/>
          <w:sz w:val="24"/>
        </w:rPr>
        <w:t>nio y por un total de hasta $ 2:</w:t>
      </w:r>
      <w:r>
        <w:rPr>
          <w:rFonts w:ascii="Arial" w:eastAsia="Arial" w:hAnsi="Arial" w:cs="Arial"/>
          <w:sz w:val="24"/>
        </w:rPr>
        <w:t xml:space="preserve">091.070,75 y </w:t>
      </w:r>
      <w:r w:rsidRPr="00D7430A">
        <w:rPr>
          <w:rFonts w:ascii="Arial" w:eastAsia="Arial" w:hAnsi="Arial" w:cs="Arial"/>
          <w:b/>
          <w:sz w:val="24"/>
        </w:rPr>
        <w:t>b)</w:t>
      </w:r>
      <w:r>
        <w:rPr>
          <w:rFonts w:ascii="Arial" w:eastAsia="Arial" w:hAnsi="Arial" w:cs="Arial"/>
          <w:sz w:val="24"/>
        </w:rPr>
        <w:t xml:space="preserve"> las sucesivas partidas trimestrales, pagaderas previa presentación de</w:t>
      </w:r>
      <w:r>
        <w:rPr>
          <w:rFonts w:ascii="Arial" w:eastAsia="Arial" w:hAnsi="Arial" w:cs="Arial"/>
          <w:sz w:val="24"/>
        </w:rPr>
        <w:t>l informe de rendición de cuentas de las pa</w:t>
      </w:r>
      <w:r w:rsidR="00D7430A">
        <w:rPr>
          <w:rFonts w:ascii="Arial" w:eastAsia="Arial" w:hAnsi="Arial" w:cs="Arial"/>
          <w:sz w:val="24"/>
        </w:rPr>
        <w:t>rtidas recibidas, por hasta $ 2:</w:t>
      </w:r>
      <w:r>
        <w:rPr>
          <w:rFonts w:ascii="Arial" w:eastAsia="Arial" w:hAnsi="Arial" w:cs="Arial"/>
          <w:sz w:val="24"/>
        </w:rPr>
        <w:t>091.070,75 cada una;</w:t>
      </w:r>
    </w:p>
    <w:p w:rsidR="00487582" w:rsidRDefault="00EE1157" w:rsidP="00487582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9) </w:t>
      </w:r>
      <w:r>
        <w:rPr>
          <w:rFonts w:ascii="Arial" w:eastAsia="Arial" w:hAnsi="Arial" w:cs="Arial"/>
          <w:sz w:val="24"/>
        </w:rPr>
        <w:t>que la cláusula séptima prevé que el Convenio tiene vigencia a partir del 1º de enero de 2017, por un plazo de doce meses, renovánd</w:t>
      </w:r>
      <w:r>
        <w:rPr>
          <w:rFonts w:ascii="Arial" w:eastAsia="Arial" w:hAnsi="Arial" w:cs="Arial"/>
          <w:sz w:val="24"/>
        </w:rPr>
        <w:t>ose automáticamente por  dos períodos iguales, si no existiere oposición de alguna de las partes;</w:t>
      </w:r>
    </w:p>
    <w:p w:rsidR="00B57D39" w:rsidRDefault="00EE1157" w:rsidP="00487582">
      <w:pPr>
        <w:spacing w:after="0" w:line="360" w:lineRule="auto"/>
        <w:ind w:firstLine="283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10)</w:t>
      </w:r>
      <w:r>
        <w:rPr>
          <w:rFonts w:ascii="Arial" w:eastAsia="Arial" w:hAnsi="Arial" w:cs="Arial"/>
          <w:sz w:val="24"/>
        </w:rPr>
        <w:t xml:space="preserve"> que se adjunta proyecto de Resolución del MIDES autorizando, previa intervención de este Tribunal, la suscripción del Convenio menc</w:t>
      </w:r>
      <w:r>
        <w:rPr>
          <w:rFonts w:ascii="Arial" w:eastAsia="Arial" w:hAnsi="Arial" w:cs="Arial"/>
          <w:sz w:val="24"/>
        </w:rPr>
        <w:t xml:space="preserve">ionado, y disponiendo que la erogación resultante del mismo se impute </w:t>
      </w:r>
      <w:r w:rsidR="00487582">
        <w:rPr>
          <w:rFonts w:ascii="Arial" w:eastAsia="Arial" w:hAnsi="Arial" w:cs="Arial"/>
          <w:sz w:val="24"/>
        </w:rPr>
        <w:t>al Programa 401, Proyecto 104, G</w:t>
      </w:r>
      <w:r>
        <w:rPr>
          <w:rFonts w:ascii="Arial" w:eastAsia="Arial" w:hAnsi="Arial" w:cs="Arial"/>
          <w:sz w:val="24"/>
        </w:rPr>
        <w:t>rupo 5, Unidad Ejecutora 002 del Inciso 15 “Ministerio de Desarrollo Social”;</w:t>
      </w:r>
    </w:p>
    <w:p w:rsidR="00487582" w:rsidRDefault="00EE1157" w:rsidP="00487582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CONSIDERANDO: 1) </w:t>
      </w:r>
      <w:r>
        <w:rPr>
          <w:rFonts w:ascii="Arial" w:eastAsia="Arial" w:hAnsi="Arial" w:cs="Arial"/>
          <w:sz w:val="24"/>
        </w:rPr>
        <w:t>que el MIDES fue creado por la Ley Nº 17.866 de 21 de marzo</w:t>
      </w:r>
      <w:r>
        <w:rPr>
          <w:rFonts w:ascii="Arial" w:eastAsia="Arial" w:hAnsi="Arial" w:cs="Arial"/>
          <w:sz w:val="24"/>
        </w:rPr>
        <w:t xml:space="preserve"> de 2005 y tiene entre sus cometidos la implementación, ejecución y coordinación de programas de atención a la emergencia social, dirigidos a quienes se hallan en situación de</w:t>
      </w:r>
      <w:r w:rsidR="00487582">
        <w:rPr>
          <w:rFonts w:ascii="Arial" w:eastAsia="Arial" w:hAnsi="Arial" w:cs="Arial"/>
          <w:sz w:val="24"/>
        </w:rPr>
        <w:t xml:space="preserve"> indigencia y extrema pobreza (Literal F del A</w:t>
      </w:r>
      <w:r>
        <w:rPr>
          <w:rFonts w:ascii="Arial" w:eastAsia="Arial" w:hAnsi="Arial" w:cs="Arial"/>
          <w:sz w:val="24"/>
        </w:rPr>
        <w:t>rtículo 9);</w:t>
      </w:r>
    </w:p>
    <w:p w:rsidR="00487582" w:rsidRDefault="00EE1157" w:rsidP="00487582">
      <w:pPr>
        <w:spacing w:after="0" w:line="360" w:lineRule="auto"/>
        <w:ind w:firstLine="311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2) </w:t>
      </w:r>
      <w:r w:rsidR="00487582">
        <w:rPr>
          <w:rFonts w:ascii="Arial" w:eastAsia="Arial" w:hAnsi="Arial" w:cs="Arial"/>
          <w:sz w:val="24"/>
        </w:rPr>
        <w:t xml:space="preserve">que asimismo la </w:t>
      </w:r>
      <w:r>
        <w:rPr>
          <w:rFonts w:ascii="Arial" w:eastAsia="Arial" w:hAnsi="Arial" w:cs="Arial"/>
          <w:sz w:val="24"/>
        </w:rPr>
        <w:t>Ley lo faculta a celebrar convenios bilaterales o multilaterales de cooperación con inst</w:t>
      </w:r>
      <w:r w:rsidR="00487582">
        <w:rPr>
          <w:rFonts w:ascii="Arial" w:eastAsia="Arial" w:hAnsi="Arial" w:cs="Arial"/>
          <w:sz w:val="24"/>
        </w:rPr>
        <w:t>ituciones públicas y privadas (Literal I del A</w:t>
      </w:r>
      <w:r>
        <w:rPr>
          <w:rFonts w:ascii="Arial" w:eastAsia="Arial" w:hAnsi="Arial" w:cs="Arial"/>
          <w:sz w:val="24"/>
        </w:rPr>
        <w:t>rtículo 9);</w:t>
      </w:r>
    </w:p>
    <w:p w:rsidR="00487582" w:rsidRDefault="00EE1157" w:rsidP="00487582">
      <w:pPr>
        <w:spacing w:after="0" w:line="360" w:lineRule="auto"/>
        <w:ind w:firstLine="311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3) </w:t>
      </w:r>
      <w:r>
        <w:rPr>
          <w:rFonts w:ascii="Arial" w:eastAsia="Arial" w:hAnsi="Arial" w:cs="Arial"/>
          <w:sz w:val="24"/>
        </w:rPr>
        <w:t xml:space="preserve">que por su parte, </w:t>
      </w:r>
      <w:r>
        <w:rPr>
          <w:rFonts w:ascii="Arial" w:eastAsia="Arial" w:hAnsi="Arial" w:cs="Arial"/>
          <w:sz w:val="24"/>
        </w:rPr>
        <w:t xml:space="preserve">el </w:t>
      </w:r>
      <w:r w:rsidR="00487582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rtículo 135 de la Ley Nº18.172 del 31 de agosto de 2007 autoriza al Ministerio de </w:t>
      </w:r>
      <w:r>
        <w:rPr>
          <w:rFonts w:ascii="Arial" w:eastAsia="Arial" w:hAnsi="Arial" w:cs="Arial"/>
          <w:sz w:val="24"/>
        </w:rPr>
        <w:t>Defensa Nacional a celebrar convenios con personas físicas o jurídicas, públicas o privadas nacionales o extranjeras para la prestación de servicios o colaboración en actividades que por su especialidad o conveniencia pública le sean requeridas;</w:t>
      </w:r>
    </w:p>
    <w:p w:rsidR="00487582" w:rsidRDefault="00EE1157" w:rsidP="00487582">
      <w:pPr>
        <w:spacing w:after="0" w:line="360" w:lineRule="auto"/>
        <w:ind w:firstLine="311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4) </w:t>
      </w:r>
      <w:r>
        <w:rPr>
          <w:rFonts w:ascii="Arial" w:eastAsia="Arial" w:hAnsi="Arial" w:cs="Arial"/>
          <w:sz w:val="24"/>
        </w:rPr>
        <w:t>que en cuanto al aspecto procedimental, la contratación directa entre las partes se ampara e</w:t>
      </w:r>
      <w:r w:rsidR="00487582">
        <w:rPr>
          <w:rFonts w:ascii="Arial" w:eastAsia="Arial" w:hAnsi="Arial" w:cs="Arial"/>
          <w:sz w:val="24"/>
        </w:rPr>
        <w:t>n la excepción prevista en el  N</w:t>
      </w:r>
      <w:r>
        <w:rPr>
          <w:rFonts w:ascii="Arial" w:eastAsia="Arial" w:hAnsi="Arial" w:cs="Arial"/>
          <w:sz w:val="24"/>
        </w:rPr>
        <w:t xml:space="preserve">umeral 1) del </w:t>
      </w:r>
      <w:r w:rsidR="00487582">
        <w:rPr>
          <w:rFonts w:ascii="Arial" w:eastAsia="Arial" w:hAnsi="Arial" w:cs="Arial"/>
          <w:sz w:val="24"/>
        </w:rPr>
        <w:t>Literal C) del A</w:t>
      </w:r>
      <w:r>
        <w:rPr>
          <w:rFonts w:ascii="Arial" w:eastAsia="Arial" w:hAnsi="Arial" w:cs="Arial"/>
          <w:sz w:val="24"/>
        </w:rPr>
        <w:t>rtículo 33 del TOCAF;</w:t>
      </w:r>
    </w:p>
    <w:p w:rsidR="00B57D39" w:rsidRDefault="00EE1157" w:rsidP="00487582">
      <w:pPr>
        <w:spacing w:after="0" w:line="360" w:lineRule="auto"/>
        <w:ind w:firstLine="311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5) </w:t>
      </w:r>
      <w:r>
        <w:rPr>
          <w:rFonts w:ascii="Arial" w:eastAsia="Arial" w:hAnsi="Arial" w:cs="Arial"/>
          <w:sz w:val="24"/>
        </w:rPr>
        <w:t>que se deberá tener presente que la fecha de vigencia del convenio (1/1/2017), deberá ser modificada en atención a que la misma es anterior  a la suscripción del mismo y a la remisión de las actuaciones a este Tribunal;</w:t>
      </w:r>
    </w:p>
    <w:p w:rsidR="00B57D39" w:rsidRDefault="00EE1157" w:rsidP="00487582">
      <w:pPr>
        <w:spacing w:after="0" w:line="360" w:lineRule="auto"/>
        <w:ind w:firstLine="85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ATENTO</w:t>
      </w:r>
      <w:r>
        <w:rPr>
          <w:rFonts w:ascii="Arial" w:eastAsia="Arial" w:hAnsi="Arial" w:cs="Arial"/>
          <w:sz w:val="24"/>
        </w:rPr>
        <w:t>: a lo precedentemente expuest</w:t>
      </w:r>
      <w:r>
        <w:rPr>
          <w:rFonts w:ascii="Arial" w:eastAsia="Arial" w:hAnsi="Arial" w:cs="Arial"/>
          <w:sz w:val="24"/>
        </w:rPr>
        <w:t xml:space="preserve">o y a lo dispuesto </w:t>
      </w:r>
      <w:r w:rsidR="00487582">
        <w:rPr>
          <w:rFonts w:ascii="Arial" w:eastAsia="Arial" w:hAnsi="Arial" w:cs="Arial"/>
          <w:sz w:val="24"/>
        </w:rPr>
        <w:t>por el A</w:t>
      </w:r>
      <w:r>
        <w:rPr>
          <w:rFonts w:ascii="Arial" w:eastAsia="Arial" w:hAnsi="Arial" w:cs="Arial"/>
          <w:sz w:val="24"/>
        </w:rPr>
        <w:t>rtículo 211 Literal B) de la Constitución de la República;</w:t>
      </w:r>
    </w:p>
    <w:p w:rsidR="00B57D39" w:rsidRDefault="00EE1157">
      <w:pPr>
        <w:keepNext/>
        <w:spacing w:after="0" w:line="360" w:lineRule="auto"/>
        <w:ind w:firstLine="7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EL TRIBUNAL </w:t>
      </w:r>
      <w:r w:rsidR="00487582">
        <w:rPr>
          <w:rFonts w:ascii="Arial" w:eastAsia="Arial" w:hAnsi="Arial" w:cs="Arial"/>
          <w:b/>
          <w:sz w:val="24"/>
        </w:rPr>
        <w:t xml:space="preserve"> POR MAYORIA </w:t>
      </w:r>
      <w:r>
        <w:rPr>
          <w:rFonts w:ascii="Arial" w:eastAsia="Arial" w:hAnsi="Arial" w:cs="Arial"/>
          <w:b/>
          <w:sz w:val="24"/>
        </w:rPr>
        <w:t>ACUERDA</w:t>
      </w:r>
    </w:p>
    <w:p w:rsidR="00B57D39" w:rsidRPr="00487582" w:rsidRDefault="00EE1157" w:rsidP="00487582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 w:rsidRPr="00487582">
        <w:rPr>
          <w:rFonts w:ascii="Arial" w:eastAsia="Arial" w:hAnsi="Arial" w:cs="Arial"/>
          <w:sz w:val="24"/>
        </w:rPr>
        <w:t>No formular observaciones al convenio a suscribir entre el Ministerio de Desarrollo Social y el Ministerio de Defensa Nacional;</w:t>
      </w:r>
    </w:p>
    <w:p w:rsidR="00B57D39" w:rsidRDefault="00EE1157" w:rsidP="004875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Cuando el ordenador comp</w:t>
      </w:r>
      <w:r>
        <w:rPr>
          <w:rFonts w:ascii="Arial" w:eastAsia="Arial" w:hAnsi="Arial" w:cs="Arial"/>
          <w:sz w:val="24"/>
        </w:rPr>
        <w:t xml:space="preserve">etente disponga el gasto en la forma propuesta, se comete al Contador Auditor la intervención del gasto de hasta $ 8:364.283, previo control de su imputación con cargo a grupo adecuado con disponibilidad suficiente,  de que la contratación se ajuste a las </w:t>
      </w:r>
      <w:r>
        <w:rPr>
          <w:rFonts w:ascii="Arial" w:eastAsia="Arial" w:hAnsi="Arial" w:cs="Arial"/>
          <w:sz w:val="24"/>
        </w:rPr>
        <w:t>condiciones consideradas por este Tribunal y, en particular, de la modificación de la fecha de vigencia del Convenio, según lo</w:t>
      </w:r>
      <w:r w:rsidR="00621073">
        <w:rPr>
          <w:rFonts w:ascii="Arial" w:eastAsia="Arial" w:hAnsi="Arial" w:cs="Arial"/>
          <w:sz w:val="24"/>
        </w:rPr>
        <w:t xml:space="preserve"> consignado en el Considerando 5</w:t>
      </w:r>
      <w:r>
        <w:rPr>
          <w:rFonts w:ascii="Arial" w:eastAsia="Arial" w:hAnsi="Arial" w:cs="Arial"/>
          <w:sz w:val="24"/>
        </w:rPr>
        <w:t>) de la presente Resolución. Asimismo, previo a la intervención del gasto correspondiente a las pa</w:t>
      </w:r>
      <w:r>
        <w:rPr>
          <w:rFonts w:ascii="Arial" w:eastAsia="Arial" w:hAnsi="Arial" w:cs="Arial"/>
          <w:sz w:val="24"/>
        </w:rPr>
        <w:t>rtidas sucesivas deberá verificar que se haya cumplido con la obligación de rendir cuentas de las transferencias ya efectuadas en el marco del Convenio;</w:t>
      </w:r>
    </w:p>
    <w:p w:rsidR="00B57D39" w:rsidRDefault="00EE1157" w:rsidP="004875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Comunicar al Contador Auditor destacado ante el Ministerio de Desarrollo Social;</w:t>
      </w:r>
    </w:p>
    <w:p w:rsidR="00B57D39" w:rsidRDefault="00EE1157" w:rsidP="004875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Devolver las actuacio</w:t>
      </w:r>
      <w:r>
        <w:rPr>
          <w:rFonts w:ascii="Arial" w:eastAsia="Arial" w:hAnsi="Arial" w:cs="Arial"/>
          <w:sz w:val="24"/>
        </w:rPr>
        <w:t>nes.</w:t>
      </w:r>
    </w:p>
    <w:p w:rsidR="00487582" w:rsidRDefault="00487582" w:rsidP="0048758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487582" w:rsidRDefault="00487582" w:rsidP="0048758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487582" w:rsidRDefault="00487582" w:rsidP="0062107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bookmarkStart w:id="0" w:name="_GoBack"/>
      <w:bookmarkEnd w:id="0"/>
      <w:r w:rsidRPr="00487582">
        <w:rPr>
          <w:rFonts w:ascii="Arial" w:hAnsi="Arial" w:cs="Arial"/>
          <w:b/>
          <w:sz w:val="24"/>
          <w:szCs w:val="24"/>
          <w:lang w:val="es-UY"/>
        </w:rPr>
        <w:lastRenderedPageBreak/>
        <w:t xml:space="preserve">CONSTANCIA DE FUNDAMENTO DE VOTO DISCORDE DE LA PRESIDENTE </w:t>
      </w:r>
      <w:r>
        <w:rPr>
          <w:rFonts w:ascii="Arial" w:hAnsi="Arial" w:cs="Arial"/>
          <w:b/>
          <w:sz w:val="24"/>
          <w:szCs w:val="24"/>
          <w:lang w:val="es-UY"/>
        </w:rPr>
        <w:t xml:space="preserve">      CRA. SUSANA DÍAZ</w:t>
      </w:r>
      <w:r w:rsidRPr="00487582">
        <w:rPr>
          <w:rFonts w:ascii="Arial" w:hAnsi="Arial" w:cs="Arial"/>
          <w:b/>
          <w:sz w:val="24"/>
          <w:szCs w:val="24"/>
          <w:lang w:val="es-UY"/>
        </w:rPr>
        <w:t xml:space="preserve">: </w:t>
      </w:r>
      <w:r w:rsidR="00621073">
        <w:rPr>
          <w:rFonts w:ascii="Arial" w:hAnsi="Arial" w:cs="Arial"/>
          <w:b/>
          <w:sz w:val="24"/>
          <w:szCs w:val="24"/>
          <w:lang w:val="es-UY"/>
        </w:rPr>
        <w:t xml:space="preserve">“CONVENIO M.D.N. – MI.DES. </w:t>
      </w:r>
      <w:proofErr w:type="gramStart"/>
      <w:r w:rsidR="00621073">
        <w:rPr>
          <w:rFonts w:ascii="Arial" w:hAnsi="Arial" w:cs="Arial"/>
          <w:sz w:val="24"/>
          <w:szCs w:val="24"/>
          <w:lang w:val="es-UY"/>
        </w:rPr>
        <w:t>por</w:t>
      </w:r>
      <w:proofErr w:type="gramEnd"/>
      <w:r w:rsidR="00621073">
        <w:rPr>
          <w:rFonts w:ascii="Arial" w:hAnsi="Arial" w:cs="Arial"/>
          <w:sz w:val="24"/>
          <w:szCs w:val="24"/>
          <w:lang w:val="es-UY"/>
        </w:rPr>
        <w:t xml:space="preserve"> el cual el M.D.N. conviene en elaborar y distribuir pan a todos los centros del Ministerio.</w:t>
      </w:r>
    </w:p>
    <w:p w:rsidR="00621073" w:rsidRDefault="00621073" w:rsidP="0062107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Dentro de los cometidos del M.D.N. no se encuentra la comercialización de productos alimenticios tales como pan o productos afines, chacinados, productos cárnicos, etc. Motivo por el cual considero que el Proyecto presentado a estudio no está en condiciones de ser aprobado.</w:t>
      </w:r>
    </w:p>
    <w:p w:rsidR="00621073" w:rsidRPr="00621073" w:rsidRDefault="00621073" w:rsidP="0062107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Por lo tanto, quien suscribe no ha votado el Oficio de referencia”.</w:t>
      </w:r>
    </w:p>
    <w:p w:rsidR="00487582" w:rsidRPr="00FB4277" w:rsidRDefault="00487582" w:rsidP="00D71A3A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87582" w:rsidRDefault="00487582" w:rsidP="00D71A3A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87582" w:rsidRPr="00FB4277" w:rsidRDefault="00487582" w:rsidP="00D71A3A">
      <w:pPr>
        <w:spacing w:line="360" w:lineRule="auto"/>
        <w:jc w:val="both"/>
        <w:rPr>
          <w:rFonts w:ascii="Arial" w:hAnsi="Arial" w:cs="Arial"/>
          <w:szCs w:val="24"/>
          <w:lang w:val="es-UY"/>
        </w:rPr>
      </w:pPr>
    </w:p>
    <w:p w:rsidR="00487582" w:rsidRDefault="00487582" w:rsidP="0048758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B57D39" w:rsidRDefault="00487582" w:rsidP="00487582">
      <w:pPr>
        <w:tabs>
          <w:tab w:val="left" w:pos="284"/>
        </w:tabs>
        <w:spacing w:after="0" w:line="360" w:lineRule="auto"/>
        <w:ind w:hanging="567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dc</w:t>
      </w:r>
      <w:proofErr w:type="gramEnd"/>
    </w:p>
    <w:sectPr w:rsidR="00B57D39" w:rsidSect="00621073">
      <w:pgSz w:w="12240" w:h="15840" w:code="1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2D25"/>
    <w:multiLevelType w:val="multilevel"/>
    <w:tmpl w:val="CE124332"/>
    <w:lvl w:ilvl="0">
      <w:start w:val="1"/>
      <w:numFmt w:val="decimal"/>
      <w:lvlText w:val="%1)"/>
      <w:lvlJc w:val="left"/>
      <w:rPr>
        <w:rFonts w:ascii="Arial" w:eastAsia="Arial" w:hAnsi="Arial" w:cs="Arial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39"/>
    <w:rsid w:val="00487582"/>
    <w:rsid w:val="005D03EB"/>
    <w:rsid w:val="00621073"/>
    <w:rsid w:val="00B57D39"/>
    <w:rsid w:val="00D7430A"/>
    <w:rsid w:val="00E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30FD-D10D-42EB-A2F5-9CA1381B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2017-06-09T15:35:00Z</cp:lastPrinted>
  <dcterms:created xsi:type="dcterms:W3CDTF">2017-06-09T15:35:00Z</dcterms:created>
  <dcterms:modified xsi:type="dcterms:W3CDTF">2017-06-09T15:35:00Z</dcterms:modified>
</cp:coreProperties>
</file>