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28" w:rsidRPr="00832B90" w:rsidRDefault="00540228" w:rsidP="00832B9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1808/17</w:t>
      </w:r>
    </w:p>
    <w:p w:rsidR="00540228" w:rsidRPr="00540228" w:rsidRDefault="00540228" w:rsidP="005402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4022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40228" w:rsidRPr="00540228" w:rsidRDefault="00540228" w:rsidP="0054022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0228" w:rsidRPr="00540228" w:rsidRDefault="00540228" w:rsidP="005402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4022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40228" w:rsidRPr="00540228" w:rsidRDefault="00540228" w:rsidP="0054022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0228" w:rsidRPr="00540228" w:rsidRDefault="00540228" w:rsidP="005402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40228">
        <w:rPr>
          <w:rFonts w:ascii="Arial" w:hAnsi="Arial" w:cs="Arial"/>
          <w:b/>
          <w:sz w:val="24"/>
          <w:szCs w:val="24"/>
          <w:lang w:val="es-ES_tradnl"/>
        </w:rPr>
        <w:t>EN SESION DE FECHA 7 DE JUNIO DE 2017</w:t>
      </w:r>
    </w:p>
    <w:p w:rsidR="00540228" w:rsidRPr="00540228" w:rsidRDefault="00540228" w:rsidP="005402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40228" w:rsidRPr="00540228" w:rsidRDefault="00540228" w:rsidP="0054022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4022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540228">
        <w:rPr>
          <w:rFonts w:ascii="Arial" w:hAnsi="Arial" w:cs="Arial"/>
          <w:b/>
          <w:sz w:val="24"/>
          <w:szCs w:val="24"/>
          <w:lang w:val="es-ES"/>
        </w:rPr>
        <w:t>2017-17-1-0003079</w:t>
      </w:r>
      <w:r w:rsidRPr="0054022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540228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540228">
        <w:rPr>
          <w:rFonts w:ascii="Arial" w:hAnsi="Arial" w:cs="Arial"/>
          <w:b/>
          <w:sz w:val="24"/>
          <w:szCs w:val="24"/>
          <w:lang w:val="en-US"/>
        </w:rPr>
        <w:t>. N°</w:t>
      </w:r>
      <w:r w:rsidRPr="00540228">
        <w:rPr>
          <w:rFonts w:ascii="Arial" w:hAnsi="Arial" w:cs="Arial"/>
          <w:b/>
          <w:sz w:val="24"/>
          <w:szCs w:val="24"/>
          <w:lang w:val="es-ES"/>
        </w:rPr>
        <w:t>2283/17</w:t>
      </w:r>
      <w:r w:rsidRPr="0054022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40228" w:rsidRDefault="00540228">
      <w:pPr>
        <w:rPr>
          <w:lang w:val="en-US"/>
        </w:rPr>
      </w:pPr>
    </w:p>
    <w:p w:rsidR="00EA27AC" w:rsidRDefault="0001530F" w:rsidP="005402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 w:rsidR="001F151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F151B" w:rsidRPr="001F151B">
        <w:rPr>
          <w:rFonts w:ascii="Arial" w:hAnsi="Arial" w:cs="Arial"/>
          <w:sz w:val="24"/>
          <w:szCs w:val="24"/>
          <w:lang w:val="es-ES"/>
        </w:rPr>
        <w:t xml:space="preserve">las </w:t>
      </w:r>
      <w:r w:rsidR="001F151B">
        <w:rPr>
          <w:rFonts w:ascii="Arial" w:hAnsi="Arial" w:cs="Arial"/>
          <w:sz w:val="24"/>
          <w:szCs w:val="24"/>
          <w:lang w:val="es-ES"/>
        </w:rPr>
        <w:t xml:space="preserve">actuaciones remitidas por el Ministerio de Economía y Finanzas, relacionadas con el Acuerdo de Anticipo de Preparación No. P 484, </w:t>
      </w:r>
      <w:r w:rsidR="00F10222">
        <w:rPr>
          <w:rFonts w:ascii="Arial" w:hAnsi="Arial" w:cs="Arial"/>
          <w:sz w:val="24"/>
          <w:szCs w:val="24"/>
          <w:lang w:val="es-ES"/>
        </w:rPr>
        <w:t xml:space="preserve">suscrito </w:t>
      </w:r>
      <w:r w:rsidR="001F151B">
        <w:rPr>
          <w:rFonts w:ascii="Arial" w:hAnsi="Arial" w:cs="Arial"/>
          <w:sz w:val="24"/>
          <w:szCs w:val="24"/>
          <w:lang w:val="es-ES"/>
        </w:rPr>
        <w:t>entre el Banco Internacional de Reconstrucción y Desarrollo (B</w:t>
      </w:r>
      <w:r w:rsidR="004F0DFD">
        <w:rPr>
          <w:rFonts w:ascii="Arial" w:hAnsi="Arial" w:cs="Arial"/>
          <w:sz w:val="24"/>
          <w:szCs w:val="24"/>
          <w:lang w:val="es-ES"/>
        </w:rPr>
        <w:t>IRF-B</w:t>
      </w:r>
      <w:r w:rsidR="001F151B">
        <w:rPr>
          <w:rFonts w:ascii="Arial" w:hAnsi="Arial" w:cs="Arial"/>
          <w:sz w:val="24"/>
          <w:szCs w:val="24"/>
          <w:lang w:val="es-ES"/>
        </w:rPr>
        <w:t xml:space="preserve">anco Mundial), y la República </w:t>
      </w:r>
      <w:r w:rsidR="004F0DFD">
        <w:rPr>
          <w:rFonts w:ascii="Arial" w:hAnsi="Arial" w:cs="Arial"/>
          <w:sz w:val="24"/>
          <w:szCs w:val="24"/>
          <w:lang w:val="es-ES"/>
        </w:rPr>
        <w:t>O</w:t>
      </w:r>
      <w:r w:rsidR="001F151B">
        <w:rPr>
          <w:rFonts w:ascii="Arial" w:hAnsi="Arial" w:cs="Arial"/>
          <w:sz w:val="24"/>
          <w:szCs w:val="24"/>
          <w:lang w:val="es-ES"/>
        </w:rPr>
        <w:t xml:space="preserve">riental del Uruguay; </w:t>
      </w:r>
    </w:p>
    <w:p w:rsidR="0094388F" w:rsidRDefault="00EA27AC" w:rsidP="005402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EA27AC"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A27AC">
        <w:rPr>
          <w:rFonts w:ascii="Arial" w:hAnsi="Arial" w:cs="Arial"/>
          <w:sz w:val="24"/>
          <w:szCs w:val="24"/>
          <w:lang w:val="es-ES"/>
        </w:rPr>
        <w:t>q</w:t>
      </w:r>
      <w:r w:rsidR="00F10222">
        <w:rPr>
          <w:rFonts w:ascii="Arial" w:hAnsi="Arial" w:cs="Arial"/>
          <w:sz w:val="24"/>
          <w:szCs w:val="24"/>
          <w:lang w:val="es-ES"/>
        </w:rPr>
        <w:t>ue el A</w:t>
      </w:r>
      <w:r>
        <w:rPr>
          <w:rFonts w:ascii="Arial" w:hAnsi="Arial" w:cs="Arial"/>
          <w:sz w:val="24"/>
          <w:szCs w:val="24"/>
          <w:lang w:val="es-ES"/>
        </w:rPr>
        <w:t>cuerdo, e</w:t>
      </w:r>
      <w:r w:rsidRPr="00EA27AC">
        <w:rPr>
          <w:rFonts w:ascii="Arial" w:hAnsi="Arial" w:cs="Arial"/>
          <w:sz w:val="24"/>
          <w:szCs w:val="24"/>
          <w:lang w:val="es-ES"/>
        </w:rPr>
        <w:t>stá destinado a financiar actividades preparatorias</w:t>
      </w:r>
      <w:r>
        <w:rPr>
          <w:rFonts w:ascii="Arial" w:hAnsi="Arial" w:cs="Arial"/>
          <w:sz w:val="24"/>
          <w:szCs w:val="24"/>
          <w:lang w:val="es-ES"/>
        </w:rPr>
        <w:t xml:space="preserve"> del “Proyecto de Mejora de los Servicios a través del Gobierno Electrónico”</w:t>
      </w:r>
      <w:r w:rsidR="004326D5">
        <w:rPr>
          <w:rFonts w:ascii="Arial" w:hAnsi="Arial" w:cs="Arial"/>
          <w:sz w:val="24"/>
          <w:szCs w:val="24"/>
          <w:lang w:val="es-ES"/>
        </w:rPr>
        <w:t xml:space="preserve">, por un </w:t>
      </w:r>
      <w:r w:rsidR="0094388F">
        <w:rPr>
          <w:rFonts w:ascii="Arial" w:hAnsi="Arial" w:cs="Arial"/>
          <w:sz w:val="24"/>
          <w:szCs w:val="24"/>
          <w:lang w:val="es-ES"/>
        </w:rPr>
        <w:t xml:space="preserve"> monto </w:t>
      </w:r>
      <w:r w:rsidR="004326D5">
        <w:rPr>
          <w:rFonts w:ascii="Arial" w:hAnsi="Arial" w:cs="Arial"/>
          <w:sz w:val="24"/>
          <w:szCs w:val="24"/>
          <w:lang w:val="es-ES"/>
        </w:rPr>
        <w:t xml:space="preserve">total </w:t>
      </w:r>
      <w:r w:rsidR="0094388F">
        <w:rPr>
          <w:rFonts w:ascii="Arial" w:hAnsi="Arial" w:cs="Arial"/>
          <w:sz w:val="24"/>
          <w:szCs w:val="24"/>
          <w:lang w:val="es-ES"/>
        </w:rPr>
        <w:t>de U$S 1:029.000;</w:t>
      </w:r>
    </w:p>
    <w:p w:rsidR="0094388F" w:rsidRDefault="0094388F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94388F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4326D5">
        <w:rPr>
          <w:rFonts w:ascii="Arial" w:hAnsi="Arial" w:cs="Arial"/>
          <w:sz w:val="24"/>
          <w:szCs w:val="24"/>
          <w:lang w:val="es-ES"/>
        </w:rPr>
        <w:t xml:space="preserve">que </w:t>
      </w:r>
      <w:r w:rsidRPr="0094388F">
        <w:rPr>
          <w:rFonts w:ascii="Arial" w:hAnsi="Arial" w:cs="Arial"/>
          <w:sz w:val="24"/>
          <w:szCs w:val="24"/>
          <w:lang w:val="es-ES"/>
        </w:rPr>
        <w:t xml:space="preserve">el </w:t>
      </w:r>
      <w:r w:rsidR="00436D9A">
        <w:rPr>
          <w:rFonts w:ascii="Arial" w:hAnsi="Arial" w:cs="Arial"/>
          <w:sz w:val="24"/>
          <w:szCs w:val="24"/>
          <w:lang w:val="es-ES"/>
        </w:rPr>
        <w:t>referido documento</w:t>
      </w:r>
      <w:r w:rsidR="004326D5">
        <w:rPr>
          <w:rFonts w:ascii="Arial" w:hAnsi="Arial" w:cs="Arial"/>
          <w:sz w:val="24"/>
          <w:szCs w:val="24"/>
          <w:lang w:val="es-ES"/>
        </w:rPr>
        <w:t xml:space="preserve"> prevé</w:t>
      </w:r>
      <w:r w:rsidRPr="0094388F">
        <w:rPr>
          <w:rFonts w:ascii="Arial" w:hAnsi="Arial" w:cs="Arial"/>
          <w:sz w:val="24"/>
          <w:szCs w:val="24"/>
          <w:lang w:val="es-ES"/>
        </w:rPr>
        <w:t xml:space="preserve"> que</w:t>
      </w:r>
      <w:r w:rsidR="004326D5" w:rsidRPr="004326D5">
        <w:rPr>
          <w:rFonts w:ascii="Arial" w:hAnsi="Arial" w:cs="Arial"/>
          <w:sz w:val="24"/>
          <w:szCs w:val="24"/>
          <w:lang w:val="es-ES"/>
        </w:rPr>
        <w:t xml:space="preserve"> una vez otorgado el préstamo que financiará el Proyecto</w:t>
      </w:r>
      <w:r w:rsidR="004326D5">
        <w:rPr>
          <w:rFonts w:ascii="Arial" w:hAnsi="Arial" w:cs="Arial"/>
          <w:sz w:val="24"/>
          <w:szCs w:val="24"/>
          <w:lang w:val="es-ES"/>
        </w:rPr>
        <w:t>,</w:t>
      </w:r>
      <w:r w:rsidRPr="0094388F">
        <w:rPr>
          <w:rFonts w:ascii="Arial" w:hAnsi="Arial" w:cs="Arial"/>
          <w:sz w:val="24"/>
          <w:szCs w:val="24"/>
          <w:lang w:val="es-ES"/>
        </w:rPr>
        <w:t xml:space="preserve"> se descuente de una sola vez el monto utili</w:t>
      </w:r>
      <w:r w:rsidR="004326D5">
        <w:rPr>
          <w:rFonts w:ascii="Arial" w:hAnsi="Arial" w:cs="Arial"/>
          <w:sz w:val="24"/>
          <w:szCs w:val="24"/>
          <w:lang w:val="es-ES"/>
        </w:rPr>
        <w:t>zado</w:t>
      </w:r>
      <w:r>
        <w:rPr>
          <w:rFonts w:ascii="Arial" w:hAnsi="Arial" w:cs="Arial"/>
          <w:sz w:val="24"/>
          <w:szCs w:val="24"/>
          <w:lang w:val="es-ES"/>
        </w:rPr>
        <w:t>, en u</w:t>
      </w:r>
      <w:r w:rsidR="004326D5">
        <w:rPr>
          <w:rFonts w:ascii="Arial" w:hAnsi="Arial" w:cs="Arial"/>
          <w:sz w:val="24"/>
          <w:szCs w:val="24"/>
          <w:lang w:val="es-ES"/>
        </w:rPr>
        <w:t xml:space="preserve">na sola cuota, si dicho </w:t>
      </w:r>
      <w:r>
        <w:rPr>
          <w:rFonts w:ascii="Arial" w:hAnsi="Arial" w:cs="Arial"/>
          <w:sz w:val="24"/>
          <w:szCs w:val="24"/>
          <w:lang w:val="es-ES"/>
        </w:rPr>
        <w:t xml:space="preserve">monto </w:t>
      </w:r>
      <w:r w:rsidR="004326D5">
        <w:rPr>
          <w:rFonts w:ascii="Arial" w:hAnsi="Arial" w:cs="Arial"/>
          <w:sz w:val="24"/>
          <w:szCs w:val="24"/>
          <w:lang w:val="es-ES"/>
        </w:rPr>
        <w:t xml:space="preserve">es </w:t>
      </w:r>
      <w:r>
        <w:rPr>
          <w:rFonts w:ascii="Arial" w:hAnsi="Arial" w:cs="Arial"/>
          <w:sz w:val="24"/>
          <w:szCs w:val="24"/>
          <w:lang w:val="es-ES"/>
        </w:rPr>
        <w:t xml:space="preserve">menor a los </w:t>
      </w:r>
      <w:r w:rsidR="00832B90">
        <w:rPr>
          <w:rFonts w:ascii="Arial" w:hAnsi="Arial" w:cs="Arial"/>
          <w:sz w:val="24"/>
          <w:szCs w:val="24"/>
          <w:lang w:val="es-ES"/>
        </w:rPr>
        <w:t xml:space="preserve">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U$S 50.000 o en 10 cuotas semestrales, si se utilizó un monto superior, aplicándose en ambos casos, la tasa de referencia utilizada por el Banco más el margen fijo; </w:t>
      </w:r>
    </w:p>
    <w:p w:rsidR="004F0DFD" w:rsidRDefault="0094388F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94388F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4326D5">
        <w:rPr>
          <w:rFonts w:ascii="Arial" w:hAnsi="Arial" w:cs="Arial"/>
          <w:sz w:val="24"/>
          <w:szCs w:val="24"/>
          <w:lang w:val="es-ES"/>
        </w:rPr>
        <w:t>que asimismo establece que</w:t>
      </w:r>
      <w:r>
        <w:rPr>
          <w:rFonts w:ascii="Arial" w:hAnsi="Arial" w:cs="Arial"/>
          <w:sz w:val="24"/>
          <w:szCs w:val="24"/>
          <w:lang w:val="es-ES"/>
        </w:rPr>
        <w:t xml:space="preserve"> los fondos serán administrados por la Unidad Coordinadora </w:t>
      </w:r>
      <w:r w:rsidR="00794EB3">
        <w:rPr>
          <w:rFonts w:ascii="Arial" w:hAnsi="Arial" w:cs="Arial"/>
          <w:sz w:val="24"/>
          <w:szCs w:val="24"/>
          <w:lang w:val="es-ES"/>
        </w:rPr>
        <w:t>de Proyectos (UCP) de la Dirección General de Secretaría del Mi</w:t>
      </w:r>
      <w:r w:rsidR="004326D5">
        <w:rPr>
          <w:rFonts w:ascii="Arial" w:hAnsi="Arial" w:cs="Arial"/>
          <w:sz w:val="24"/>
          <w:szCs w:val="24"/>
          <w:lang w:val="es-ES"/>
        </w:rPr>
        <w:t>nisterio de Economía y Finanzas y que e</w:t>
      </w:r>
      <w:r w:rsidR="00794EB3">
        <w:rPr>
          <w:rFonts w:ascii="Arial" w:hAnsi="Arial" w:cs="Arial"/>
          <w:sz w:val="24"/>
          <w:szCs w:val="24"/>
          <w:lang w:val="es-ES"/>
        </w:rPr>
        <w:t>l plan de ejecución será de 8 meses a part</w:t>
      </w:r>
      <w:r w:rsidR="004326D5">
        <w:rPr>
          <w:rFonts w:ascii="Arial" w:hAnsi="Arial" w:cs="Arial"/>
          <w:sz w:val="24"/>
          <w:szCs w:val="24"/>
          <w:lang w:val="es-ES"/>
        </w:rPr>
        <w:t>ir de la suscripción del Acuerdo</w:t>
      </w:r>
      <w:r w:rsidR="00794EB3">
        <w:rPr>
          <w:rFonts w:ascii="Arial" w:hAnsi="Arial" w:cs="Arial"/>
          <w:sz w:val="24"/>
          <w:szCs w:val="24"/>
          <w:lang w:val="es-ES"/>
        </w:rPr>
        <w:t xml:space="preserve">;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4388F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445E4" w:rsidRDefault="004F0DFD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4F0DFD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>
        <w:rPr>
          <w:rFonts w:ascii="Arial" w:hAnsi="Arial" w:cs="Arial"/>
          <w:sz w:val="24"/>
          <w:szCs w:val="24"/>
          <w:lang w:val="es-ES"/>
        </w:rPr>
        <w:t xml:space="preserve">que en las actuaciones remitidas, consta traducción del </w:t>
      </w:r>
      <w:r w:rsidR="00FB02B3">
        <w:rPr>
          <w:rFonts w:ascii="Arial" w:hAnsi="Arial" w:cs="Arial"/>
          <w:sz w:val="24"/>
          <w:szCs w:val="24"/>
          <w:lang w:val="es-ES"/>
        </w:rPr>
        <w:t xml:space="preserve">proyecto de 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F10222">
        <w:rPr>
          <w:rFonts w:ascii="Arial" w:hAnsi="Arial" w:cs="Arial"/>
          <w:sz w:val="24"/>
          <w:szCs w:val="24"/>
          <w:lang w:val="es-ES"/>
        </w:rPr>
        <w:t xml:space="preserve">cuerdo de Anticipo </w:t>
      </w:r>
      <w:r w:rsidR="000445E4">
        <w:rPr>
          <w:rFonts w:ascii="Arial" w:hAnsi="Arial" w:cs="Arial"/>
          <w:sz w:val="24"/>
          <w:szCs w:val="24"/>
          <w:lang w:val="es-ES"/>
        </w:rPr>
        <w:t xml:space="preserve"> y la correspondiente carta de desembolso;</w:t>
      </w:r>
    </w:p>
    <w:p w:rsidR="000445E4" w:rsidRDefault="000445E4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445E4">
        <w:rPr>
          <w:rFonts w:ascii="Arial" w:hAnsi="Arial" w:cs="Arial"/>
          <w:b/>
          <w:sz w:val="24"/>
          <w:szCs w:val="24"/>
          <w:lang w:val="es-ES"/>
        </w:rPr>
        <w:t>5)</w:t>
      </w:r>
      <w:r w:rsidR="00F10222">
        <w:rPr>
          <w:rFonts w:ascii="Arial" w:hAnsi="Arial" w:cs="Arial"/>
          <w:sz w:val="24"/>
          <w:szCs w:val="24"/>
          <w:lang w:val="es-ES"/>
        </w:rPr>
        <w:t xml:space="preserve"> que el </w:t>
      </w:r>
      <w:r w:rsidR="004F0DFD">
        <w:rPr>
          <w:rFonts w:ascii="Arial" w:hAnsi="Arial" w:cs="Arial"/>
          <w:sz w:val="24"/>
          <w:szCs w:val="24"/>
          <w:lang w:val="es-ES"/>
        </w:rPr>
        <w:t xml:space="preserve">Poder Ejecutivo </w:t>
      </w:r>
      <w:r>
        <w:rPr>
          <w:rFonts w:ascii="Arial" w:hAnsi="Arial" w:cs="Arial"/>
          <w:sz w:val="24"/>
          <w:szCs w:val="24"/>
          <w:lang w:val="es-ES"/>
        </w:rPr>
        <w:t xml:space="preserve">por Resolución </w:t>
      </w:r>
      <w:r w:rsidR="004F0DFD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 xml:space="preserve">e fecha 24/4/2017, </w:t>
      </w:r>
      <w:r w:rsidR="00436D9A">
        <w:rPr>
          <w:rFonts w:ascii="Arial" w:hAnsi="Arial" w:cs="Arial"/>
          <w:sz w:val="24"/>
          <w:szCs w:val="24"/>
          <w:lang w:val="es-ES"/>
        </w:rPr>
        <w:t>aprobó</w:t>
      </w:r>
      <w:r w:rsidR="004326D5">
        <w:rPr>
          <w:rFonts w:ascii="Arial" w:hAnsi="Arial" w:cs="Arial"/>
          <w:sz w:val="24"/>
          <w:szCs w:val="24"/>
          <w:lang w:val="es-ES"/>
        </w:rPr>
        <w:t xml:space="preserve"> dicho Acuerdo, por un</w:t>
      </w:r>
      <w:r w:rsidR="004F0DFD">
        <w:rPr>
          <w:rFonts w:ascii="Arial" w:hAnsi="Arial" w:cs="Arial"/>
          <w:sz w:val="24"/>
          <w:szCs w:val="24"/>
          <w:lang w:val="es-ES"/>
        </w:rPr>
        <w:t xml:space="preserve"> monto de U$S 1:029.000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="00436D9A">
        <w:rPr>
          <w:rFonts w:ascii="Arial" w:hAnsi="Arial" w:cs="Arial"/>
          <w:sz w:val="24"/>
          <w:szCs w:val="24"/>
          <w:lang w:val="es-ES"/>
        </w:rPr>
        <w:t xml:space="preserve"> designó</w:t>
      </w:r>
      <w:r w:rsidR="00FB02B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indistintamente </w:t>
      </w:r>
      <w:r w:rsidR="00FB02B3">
        <w:rPr>
          <w:rFonts w:ascii="Arial" w:hAnsi="Arial" w:cs="Arial"/>
          <w:sz w:val="24"/>
          <w:szCs w:val="24"/>
          <w:lang w:val="es-ES"/>
        </w:rPr>
        <w:t>al Sr. Ministro de Economía y Finanzas y al Sr. Sub Secretario para otorgar y suscribir el mismo</w:t>
      </w:r>
      <w:r w:rsidR="00436D9A">
        <w:rPr>
          <w:rFonts w:ascii="Arial" w:hAnsi="Arial" w:cs="Arial"/>
          <w:sz w:val="24"/>
          <w:szCs w:val="24"/>
          <w:lang w:val="es-ES"/>
        </w:rPr>
        <w:t>. Asimismo, dispuso</w:t>
      </w:r>
      <w:r>
        <w:rPr>
          <w:rFonts w:ascii="Arial" w:hAnsi="Arial" w:cs="Arial"/>
          <w:sz w:val="24"/>
          <w:szCs w:val="24"/>
          <w:lang w:val="es-ES"/>
        </w:rPr>
        <w:t xml:space="preserve"> dar cuenta a la Asamblea General dentro de los diez días de la celebración del contrato;</w:t>
      </w:r>
    </w:p>
    <w:p w:rsidR="000445E4" w:rsidRDefault="000445E4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445E4"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que con fecha 26/4/2017, el Ministro de Economía comunicó la referida Resolución a la Asamblea General;</w:t>
      </w:r>
    </w:p>
    <w:p w:rsidR="004F0DFD" w:rsidRDefault="000445E4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207448">
        <w:rPr>
          <w:rFonts w:ascii="Arial" w:hAnsi="Arial" w:cs="Arial"/>
          <w:b/>
          <w:sz w:val="24"/>
          <w:szCs w:val="24"/>
          <w:lang w:val="es-ES"/>
        </w:rPr>
        <w:lastRenderedPageBreak/>
        <w:t>7)</w:t>
      </w:r>
      <w:r>
        <w:rPr>
          <w:rFonts w:ascii="Arial" w:hAnsi="Arial" w:cs="Arial"/>
          <w:sz w:val="24"/>
          <w:szCs w:val="24"/>
          <w:lang w:val="es-ES"/>
        </w:rPr>
        <w:t xml:space="preserve"> que con fecha </w:t>
      </w:r>
      <w:r w:rsidR="00207448">
        <w:rPr>
          <w:rFonts w:ascii="Arial" w:hAnsi="Arial" w:cs="Arial"/>
          <w:sz w:val="24"/>
          <w:szCs w:val="24"/>
          <w:lang w:val="es-ES"/>
        </w:rPr>
        <w:t xml:space="preserve">2 de mayo de 2017, el referido Ministro suscribió el Acuerdo </w:t>
      </w:r>
      <w:r w:rsidR="00973D09">
        <w:rPr>
          <w:rFonts w:ascii="Arial" w:hAnsi="Arial" w:cs="Arial"/>
          <w:sz w:val="24"/>
          <w:szCs w:val="24"/>
          <w:lang w:val="es-ES"/>
        </w:rPr>
        <w:t xml:space="preserve">de Avance </w:t>
      </w:r>
      <w:r w:rsidR="00207448">
        <w:rPr>
          <w:rFonts w:ascii="Arial" w:hAnsi="Arial" w:cs="Arial"/>
          <w:sz w:val="24"/>
          <w:szCs w:val="24"/>
          <w:lang w:val="es-ES"/>
        </w:rPr>
        <w:t>que había sido firmado por el representante del Banco de Reconstrucción y Fomento el 8 de marzo de 2017</w:t>
      </w:r>
      <w:r w:rsidR="00973D09">
        <w:rPr>
          <w:rFonts w:ascii="Arial" w:hAnsi="Arial" w:cs="Arial"/>
          <w:sz w:val="24"/>
          <w:szCs w:val="24"/>
          <w:lang w:val="es-ES"/>
        </w:rPr>
        <w:t>, para ser remitido a la Institución prestataria</w:t>
      </w:r>
      <w:r w:rsidR="00207448">
        <w:rPr>
          <w:rFonts w:ascii="Arial" w:hAnsi="Arial" w:cs="Arial"/>
          <w:sz w:val="24"/>
          <w:szCs w:val="24"/>
          <w:lang w:val="es-ES"/>
        </w:rPr>
        <w:t>;</w:t>
      </w:r>
      <w:r w:rsidR="004F0DF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73D09" w:rsidRDefault="00973D09" w:rsidP="00832B9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973D09">
        <w:rPr>
          <w:rFonts w:ascii="Arial" w:hAnsi="Arial" w:cs="Arial"/>
          <w:b/>
          <w:sz w:val="24"/>
          <w:szCs w:val="24"/>
          <w:lang w:val="es-ES"/>
        </w:rPr>
        <w:t>8)</w:t>
      </w:r>
      <w:r>
        <w:rPr>
          <w:rFonts w:ascii="Arial" w:hAnsi="Arial" w:cs="Arial"/>
          <w:sz w:val="24"/>
          <w:szCs w:val="24"/>
          <w:lang w:val="es-ES"/>
        </w:rPr>
        <w:t xml:space="preserve"> que los antecedente</w:t>
      </w:r>
      <w:r w:rsidR="00436D9A">
        <w:rPr>
          <w:rFonts w:ascii="Arial" w:hAnsi="Arial" w:cs="Arial"/>
          <w:sz w:val="24"/>
          <w:szCs w:val="24"/>
          <w:lang w:val="es-ES"/>
        </w:rPr>
        <w:t xml:space="preserve">s ingresaron a este Tribunal el </w:t>
      </w:r>
      <w:r>
        <w:rPr>
          <w:rFonts w:ascii="Arial" w:hAnsi="Arial" w:cs="Arial"/>
          <w:sz w:val="24"/>
          <w:szCs w:val="24"/>
          <w:lang w:val="es-ES"/>
        </w:rPr>
        <w:t>8 de ma</w:t>
      </w:r>
      <w:r w:rsidR="00436D9A">
        <w:rPr>
          <w:rFonts w:ascii="Arial" w:hAnsi="Arial" w:cs="Arial"/>
          <w:sz w:val="24"/>
          <w:szCs w:val="24"/>
          <w:lang w:val="es-ES"/>
        </w:rPr>
        <w:t>yo de 2017, con posterioridad a la suscripción del acuerdo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B04D7" w:rsidRDefault="00DB04D7" w:rsidP="00832B90">
      <w:pPr>
        <w:pStyle w:val="Sangradetextonormal"/>
        <w:ind w:firstLine="851"/>
        <w:jc w:val="both"/>
      </w:pPr>
      <w:r>
        <w:rPr>
          <w:b/>
          <w:bCs/>
        </w:rPr>
        <w:t xml:space="preserve">CONSIDERANDO: 1) </w:t>
      </w:r>
      <w:r w:rsidR="004326D5">
        <w:t>que la L</w:t>
      </w:r>
      <w:r>
        <w:t xml:space="preserve">ey </w:t>
      </w:r>
      <w:r w:rsidR="004326D5">
        <w:t xml:space="preserve">Nº </w:t>
      </w:r>
      <w:r>
        <w:t>15.851, en su artículo 145 inciso 2, preceptúa que “</w:t>
      </w:r>
      <w:r>
        <w:rPr>
          <w:i/>
          <w:iCs/>
        </w:rPr>
        <w:t>no requieren ratificación legislativa los convenios o contratos que el Poder Ejecutivo, los Entes Autónomos y Servicios Descentralizados celebren con organismos internacionales de los que el país forme pa</w:t>
      </w:r>
      <w:r w:rsidR="00436D9A">
        <w:rPr>
          <w:i/>
          <w:iCs/>
        </w:rPr>
        <w:t xml:space="preserve">rte” </w:t>
      </w:r>
      <w:r w:rsidR="00436D9A">
        <w:rPr>
          <w:iCs/>
        </w:rPr>
        <w:t>y en su inciso 4 dispone que se debe “</w:t>
      </w:r>
      <w:r w:rsidR="00436D9A" w:rsidRPr="00436D9A">
        <w:rPr>
          <w:i/>
          <w:iCs/>
        </w:rPr>
        <w:t>dar cuenta a la Asamblea General dentro de los diez días siguientes al de su celebración</w:t>
      </w:r>
      <w:r w:rsidR="00436D9A">
        <w:rPr>
          <w:iCs/>
        </w:rPr>
        <w:t>”</w:t>
      </w:r>
      <w:r>
        <w:t xml:space="preserve"> </w:t>
      </w:r>
    </w:p>
    <w:p w:rsidR="00973D09" w:rsidRDefault="00DB04D7" w:rsidP="00832B90">
      <w:pPr>
        <w:pStyle w:val="Sangradetextonormal"/>
        <w:ind w:firstLine="2977"/>
        <w:jc w:val="both"/>
        <w:rPr>
          <w:i/>
          <w:iCs/>
        </w:rPr>
      </w:pPr>
      <w:r>
        <w:rPr>
          <w:b/>
          <w:bCs/>
        </w:rPr>
        <w:t xml:space="preserve">2) </w:t>
      </w:r>
      <w:r>
        <w:t xml:space="preserve">que el Decreto </w:t>
      </w:r>
      <w:r w:rsidR="004326D5">
        <w:t xml:space="preserve">Nº </w:t>
      </w:r>
      <w:r>
        <w:t>586/993, de 27/12/1993, en su artículo 1, dispone que “</w:t>
      </w:r>
      <w:r>
        <w:rPr>
          <w:i/>
          <w:iCs/>
        </w:rPr>
        <w:t xml:space="preserve">compete exclusivamente al Poder Ejecutivo, en acuerdo con el Ministerio de Economía y Finanzas, y el Ministro del ramo en su caso, autorizar toda gestión tendiente a la obtención de préstamos de organismos internacionales, instituciones o gobiernos extranjeros, en los que la República deba asumir la responsabilidad directa del prestatario o las obligaciones del garante, al suscribir los convenios respectivos”;  </w:t>
      </w:r>
    </w:p>
    <w:p w:rsidR="00436D9A" w:rsidRDefault="00973D09" w:rsidP="00832B90">
      <w:pPr>
        <w:pStyle w:val="Sangradetextonormal"/>
        <w:ind w:firstLine="2977"/>
        <w:jc w:val="both"/>
        <w:rPr>
          <w:iCs/>
        </w:rPr>
      </w:pPr>
      <w:r w:rsidRPr="00A707F1">
        <w:rPr>
          <w:b/>
          <w:iCs/>
        </w:rPr>
        <w:t>3)</w:t>
      </w:r>
      <w:r>
        <w:rPr>
          <w:iCs/>
        </w:rPr>
        <w:t xml:space="preserve"> </w:t>
      </w:r>
      <w:r w:rsidR="00436D9A">
        <w:rPr>
          <w:iCs/>
        </w:rPr>
        <w:t>que el artículo 33 de la Ley Nº 19.149  de fecha 24 de octubre de 2013 establece que “</w:t>
      </w:r>
      <w:r w:rsidR="00436D9A" w:rsidRPr="00436D9A">
        <w:rPr>
          <w:i/>
          <w:iCs/>
        </w:rPr>
        <w:t>los convenios y contratos suscritos al amparo del artículo 145 de la Ley Nº 15.851, de 24 de diciembre de 1986, deberán remitirse al Tribunal de Cuentas, a los efectos de contar con los antecedentes para la intervención establecida en el artículo 211 literal B) de la Constitución de la República dentro de los diez días de suscritos</w:t>
      </w:r>
      <w:r w:rsidR="00436D9A">
        <w:rPr>
          <w:iCs/>
        </w:rPr>
        <w:t>”;</w:t>
      </w:r>
    </w:p>
    <w:p w:rsidR="00DB04D7" w:rsidRDefault="00436D9A" w:rsidP="00832B90">
      <w:pPr>
        <w:pStyle w:val="Sangradetextonormal"/>
        <w:ind w:firstLine="2835"/>
        <w:jc w:val="both"/>
        <w:rPr>
          <w:i/>
          <w:iCs/>
        </w:rPr>
      </w:pPr>
      <w:r w:rsidRPr="00E57272">
        <w:rPr>
          <w:b/>
          <w:iCs/>
        </w:rPr>
        <w:t>4)</w:t>
      </w:r>
      <w:r>
        <w:rPr>
          <w:iCs/>
        </w:rPr>
        <w:t xml:space="preserve"> </w:t>
      </w:r>
      <w:r w:rsidR="00973D09">
        <w:rPr>
          <w:iCs/>
        </w:rPr>
        <w:t xml:space="preserve">que </w:t>
      </w:r>
      <w:r w:rsidR="008C5EAB">
        <w:rPr>
          <w:iCs/>
        </w:rPr>
        <w:t xml:space="preserve">en tanto </w:t>
      </w:r>
      <w:r w:rsidR="00973D09">
        <w:rPr>
          <w:iCs/>
        </w:rPr>
        <w:t xml:space="preserve">el Acuerdo de Avance fue suscrito </w:t>
      </w:r>
      <w:r w:rsidR="008C5EAB">
        <w:rPr>
          <w:iCs/>
        </w:rPr>
        <w:t>el 2 de mayo y remitido a este Tribunal el 8 del mismo mes, se ha dado cumplimiento a lo dispuesto por la normativa citada;</w:t>
      </w:r>
      <w:r w:rsidR="00DB04D7">
        <w:rPr>
          <w:i/>
          <w:iCs/>
        </w:rPr>
        <w:t xml:space="preserve"> </w:t>
      </w:r>
    </w:p>
    <w:p w:rsidR="008C5EAB" w:rsidRPr="00832B90" w:rsidRDefault="00DB04D7" w:rsidP="00832B90">
      <w:pPr>
        <w:autoSpaceDE w:val="0"/>
        <w:autoSpaceDN w:val="0"/>
        <w:adjustRightInd w:val="0"/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DB04D7">
        <w:rPr>
          <w:rFonts w:ascii="Arial" w:hAnsi="Arial" w:cs="Arial"/>
          <w:b/>
          <w:bCs/>
          <w:color w:val="000000"/>
          <w:sz w:val="24"/>
          <w:szCs w:val="24"/>
        </w:rPr>
        <w:t xml:space="preserve">ATENTO: </w:t>
      </w:r>
      <w:r w:rsidRPr="00DB04D7">
        <w:rPr>
          <w:rFonts w:ascii="Arial" w:hAnsi="Arial" w:cs="Arial"/>
          <w:sz w:val="24"/>
          <w:szCs w:val="24"/>
        </w:rPr>
        <w:t>a lo precedente</w:t>
      </w:r>
      <w:r w:rsidR="00F10222">
        <w:rPr>
          <w:rFonts w:ascii="Arial" w:hAnsi="Arial" w:cs="Arial"/>
          <w:sz w:val="24"/>
          <w:szCs w:val="24"/>
        </w:rPr>
        <w:t xml:space="preserve">mente expuesto y a  lo establecido por el artículo 211 </w:t>
      </w:r>
      <w:r w:rsidRPr="00DB04D7">
        <w:rPr>
          <w:rFonts w:ascii="Arial" w:hAnsi="Arial" w:cs="Arial"/>
          <w:sz w:val="24"/>
          <w:szCs w:val="24"/>
        </w:rPr>
        <w:t>de la Constitución de la República;</w:t>
      </w:r>
    </w:p>
    <w:p w:rsidR="00DB04D7" w:rsidRPr="00832B90" w:rsidRDefault="00DB04D7" w:rsidP="005402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32B90">
        <w:rPr>
          <w:rFonts w:ascii="Arial" w:hAnsi="Arial" w:cs="Arial"/>
          <w:b/>
          <w:color w:val="000000"/>
          <w:sz w:val="24"/>
          <w:szCs w:val="24"/>
        </w:rPr>
        <w:lastRenderedPageBreak/>
        <w:t>EL TRIBUNAL ACUERDA</w:t>
      </w:r>
    </w:p>
    <w:p w:rsidR="00DB04D7" w:rsidRPr="00F10222" w:rsidRDefault="008C5EAB" w:rsidP="0054022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formular observaciones  al </w:t>
      </w:r>
      <w:r w:rsidR="00F10222">
        <w:rPr>
          <w:rFonts w:ascii="Arial" w:hAnsi="Arial" w:cs="Arial"/>
          <w:sz w:val="24"/>
          <w:szCs w:val="24"/>
        </w:rPr>
        <w:t xml:space="preserve"> Acuerdo de Avance suscrito con el Banco de Reconstrucción y Fomento (BIRF) por hasta la suma de U$ 1. 029.000 (un millón veint</w:t>
      </w:r>
      <w:r w:rsidR="00E57272">
        <w:rPr>
          <w:rFonts w:ascii="Arial" w:hAnsi="Arial" w:cs="Arial"/>
          <w:sz w:val="24"/>
          <w:szCs w:val="24"/>
        </w:rPr>
        <w:t>inueve mil dólares americanos)</w:t>
      </w:r>
      <w:r w:rsidR="00F10222">
        <w:rPr>
          <w:rFonts w:ascii="Arial" w:hAnsi="Arial" w:cs="Arial"/>
          <w:sz w:val="24"/>
          <w:szCs w:val="24"/>
        </w:rPr>
        <w:t xml:space="preserve">; </w:t>
      </w:r>
    </w:p>
    <w:p w:rsidR="00E57272" w:rsidRPr="00E57272" w:rsidRDefault="00E57272" w:rsidP="0054022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57272">
        <w:rPr>
          <w:rFonts w:ascii="Arial" w:hAnsi="Arial" w:cs="Arial"/>
          <w:color w:val="000000"/>
          <w:sz w:val="24"/>
          <w:szCs w:val="24"/>
        </w:rPr>
        <w:t xml:space="preserve">Señalar que los gastos y pagos emergentes, deberán remitirse a este Tribunal de Cuentas o a su Contador Auditor, según su naturaleza o monto, a efectos </w:t>
      </w:r>
      <w:r>
        <w:rPr>
          <w:rFonts w:ascii="Arial" w:hAnsi="Arial" w:cs="Arial"/>
          <w:color w:val="000000"/>
          <w:sz w:val="24"/>
          <w:szCs w:val="24"/>
        </w:rPr>
        <w:t>de su intervención, de acuerdo con</w:t>
      </w:r>
      <w:r w:rsidRPr="00E57272">
        <w:rPr>
          <w:rFonts w:ascii="Arial" w:hAnsi="Arial" w:cs="Arial"/>
          <w:color w:val="000000"/>
          <w:sz w:val="24"/>
          <w:szCs w:val="24"/>
        </w:rPr>
        <w:t xml:space="preserve"> lo dispuesto por el artículo 211 de la Constitución de la República</w:t>
      </w:r>
      <w:r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DB04D7" w:rsidRDefault="00DB04D7" w:rsidP="00540228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B04D7">
        <w:rPr>
          <w:rFonts w:ascii="Arial" w:hAnsi="Arial" w:cs="Arial"/>
          <w:color w:val="000000"/>
          <w:sz w:val="24"/>
          <w:szCs w:val="24"/>
        </w:rPr>
        <w:t>Devolver los antecedentes.</w:t>
      </w:r>
    </w:p>
    <w:p w:rsidR="00832B90" w:rsidRPr="00832B90" w:rsidRDefault="00832B90" w:rsidP="00832B9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32B90">
        <w:rPr>
          <w:rFonts w:ascii="Arial" w:hAnsi="Arial" w:cs="Arial"/>
          <w:color w:val="000000"/>
          <w:sz w:val="20"/>
          <w:szCs w:val="20"/>
        </w:rPr>
        <w:t>CLC</w:t>
      </w:r>
    </w:p>
    <w:p w:rsidR="001F151B" w:rsidRDefault="004F0DFD" w:rsidP="005402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</w:t>
      </w:r>
    </w:p>
    <w:sectPr w:rsidR="001F151B" w:rsidSect="00832B9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83"/>
    <w:multiLevelType w:val="hybridMultilevel"/>
    <w:tmpl w:val="D0A28642"/>
    <w:lvl w:ilvl="0" w:tplc="01046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1B"/>
    <w:rsid w:val="0001530F"/>
    <w:rsid w:val="000445E4"/>
    <w:rsid w:val="001F151B"/>
    <w:rsid w:val="00207448"/>
    <w:rsid w:val="00243213"/>
    <w:rsid w:val="002D0BE6"/>
    <w:rsid w:val="004326D5"/>
    <w:rsid w:val="00436D9A"/>
    <w:rsid w:val="004F0DFD"/>
    <w:rsid w:val="00540228"/>
    <w:rsid w:val="00560719"/>
    <w:rsid w:val="007517F6"/>
    <w:rsid w:val="00794EB3"/>
    <w:rsid w:val="00832B90"/>
    <w:rsid w:val="00850E5A"/>
    <w:rsid w:val="008C5EAB"/>
    <w:rsid w:val="008D57F6"/>
    <w:rsid w:val="0094388F"/>
    <w:rsid w:val="00973D09"/>
    <w:rsid w:val="00A707F1"/>
    <w:rsid w:val="00BE2476"/>
    <w:rsid w:val="00CA220B"/>
    <w:rsid w:val="00DB04D7"/>
    <w:rsid w:val="00DB3F38"/>
    <w:rsid w:val="00E57272"/>
    <w:rsid w:val="00E87314"/>
    <w:rsid w:val="00EA27AC"/>
    <w:rsid w:val="00F10222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DB04D7"/>
    <w:pPr>
      <w:spacing w:after="0" w:line="360" w:lineRule="auto"/>
      <w:ind w:firstLine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B04D7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DB04D7"/>
    <w:pPr>
      <w:spacing w:after="0" w:line="360" w:lineRule="auto"/>
      <w:ind w:firstLine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B04D7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Tribunal1</cp:lastModifiedBy>
  <cp:revision>4</cp:revision>
  <dcterms:created xsi:type="dcterms:W3CDTF">2017-06-13T18:58:00Z</dcterms:created>
  <dcterms:modified xsi:type="dcterms:W3CDTF">2017-06-13T19:04:00Z</dcterms:modified>
</cp:coreProperties>
</file>