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E5" w:rsidRPr="00786EEB" w:rsidRDefault="00B371E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1802/17</w:t>
      </w:r>
    </w:p>
    <w:p w:rsidR="00B371E5" w:rsidRDefault="00B371E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371E5" w:rsidRPr="00B371E5" w:rsidRDefault="00B371E5" w:rsidP="00B371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71E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371E5" w:rsidRPr="00B371E5" w:rsidRDefault="00B371E5" w:rsidP="00B371E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71E5" w:rsidRPr="00B371E5" w:rsidRDefault="00B371E5" w:rsidP="00B371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71E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371E5" w:rsidRPr="00B371E5" w:rsidRDefault="00B371E5" w:rsidP="00B371E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71E5" w:rsidRPr="00B371E5" w:rsidRDefault="00B371E5" w:rsidP="00B371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371E5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B371E5">
        <w:rPr>
          <w:rFonts w:ascii="Helvetica" w:hAnsi="Helvetica"/>
          <w:b/>
          <w:sz w:val="24"/>
          <w:szCs w:val="24"/>
          <w:lang w:val="es-ES_tradnl"/>
        </w:rPr>
        <w:t>7 DE JUNIO DE 2017</w:t>
      </w:r>
    </w:p>
    <w:p w:rsidR="00B371E5" w:rsidRPr="00B371E5" w:rsidRDefault="00B371E5" w:rsidP="00B371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371E5" w:rsidRPr="00B371E5" w:rsidRDefault="00B371E5" w:rsidP="00B371E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71E5">
        <w:rPr>
          <w:rFonts w:ascii="Arial" w:hAnsi="Arial" w:cs="Arial"/>
          <w:b/>
          <w:sz w:val="24"/>
          <w:szCs w:val="24"/>
        </w:rPr>
        <w:t xml:space="preserve">(E. E. Nº 2017-17-1-0002897, </w:t>
      </w:r>
      <w:proofErr w:type="spellStart"/>
      <w:r w:rsidRPr="00B371E5">
        <w:rPr>
          <w:rFonts w:ascii="Arial" w:hAnsi="Arial" w:cs="Arial"/>
          <w:b/>
          <w:sz w:val="24"/>
          <w:szCs w:val="24"/>
        </w:rPr>
        <w:t>Ent</w:t>
      </w:r>
      <w:proofErr w:type="spellEnd"/>
      <w:r w:rsidRPr="00B371E5">
        <w:rPr>
          <w:rFonts w:ascii="Arial" w:hAnsi="Arial" w:cs="Arial"/>
          <w:b/>
          <w:sz w:val="24"/>
          <w:szCs w:val="24"/>
        </w:rPr>
        <w:t>. N° 2402/17)</w:t>
      </w:r>
    </w:p>
    <w:p w:rsidR="00B371E5" w:rsidRPr="00B371E5" w:rsidRDefault="00B371E5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FE5950" w:rsidRPr="00FE5950" w:rsidRDefault="00FE5950" w:rsidP="00B371E5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VISTO: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las actuaciones remitidas por el Banco de Seguros del Estado, relacionadas con la contratación directa para la asistencia médica de siniestrados en accidentes de trabajo y de enfermedades profesionales en el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D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epartamento de </w:t>
      </w:r>
      <w:r w:rsidR="00B762BD">
        <w:rPr>
          <w:rFonts w:ascii="Arial" w:eastAsia="Times New Roman" w:hAnsi="Arial" w:cs="Times New Roman"/>
          <w:sz w:val="24"/>
          <w:szCs w:val="24"/>
          <w:lang w:val="es-MX" w:eastAsia="es-ES"/>
        </w:rPr>
        <w:t>Soriano;</w:t>
      </w:r>
    </w:p>
    <w:p w:rsidR="00FE5950" w:rsidRPr="00FE5950" w:rsidRDefault="00FE5950" w:rsidP="00B371E5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RESULTANDO:</w:t>
      </w:r>
      <w:r w:rsidR="00B371E5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1)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la</w:t>
      </w:r>
      <w:r w:rsidR="00A07EDB">
        <w:rPr>
          <w:rFonts w:ascii="Arial" w:eastAsia="Times New Roman" w:hAnsi="Arial" w:cs="Times New Roman"/>
          <w:sz w:val="24"/>
          <w:szCs w:val="24"/>
          <w:lang w:val="es-MX" w:eastAsia="es-ES"/>
        </w:rPr>
        <w:t>s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presentes actuaciones </w:t>
      </w:r>
      <w:r w:rsidR="00A07EDB">
        <w:rPr>
          <w:rFonts w:ascii="Arial" w:eastAsia="Times New Roman" w:hAnsi="Arial" w:cs="Times New Roman"/>
          <w:sz w:val="24"/>
          <w:szCs w:val="24"/>
          <w:lang w:val="es-MX" w:eastAsia="es-ES"/>
        </w:rPr>
        <w:t>tienen como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antecedente </w:t>
      </w:r>
      <w:r w:rsidR="00A07EDB">
        <w:rPr>
          <w:rFonts w:ascii="Arial" w:eastAsia="Times New Roman" w:hAnsi="Arial" w:cs="Times New Roman"/>
          <w:sz w:val="24"/>
          <w:szCs w:val="24"/>
          <w:lang w:val="es-MX" w:eastAsia="es-ES"/>
        </w:rPr>
        <w:t>el procedimiento de</w:t>
      </w: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Licitación Pública N° 1051,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cuyo objeto consistió en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la contratación de asistencia m</w:t>
      </w:r>
      <w:r w:rsidR="00A07EDB">
        <w:rPr>
          <w:rFonts w:ascii="Arial" w:eastAsia="Times New Roman" w:hAnsi="Arial" w:cs="Times New Roman"/>
          <w:sz w:val="24"/>
          <w:szCs w:val="24"/>
          <w:lang w:val="es-MX" w:eastAsia="es-ES"/>
        </w:rPr>
        <w:t>édica para el interior del país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para siniestrados en accidentes de trabajo y enfermedades profesionales</w:t>
      </w:r>
      <w:r w:rsidR="00A07EDB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en la que, p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or Resolución N° 0816/2014 de fecha 29/10/14, el Di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rectorio adjudicó a ORAMECO el R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englón 1 (zona Colonia del Sacramento y zonas de influencia) y dispuso declarar desierto dicho renglón para los restantes departamentos y zonas de influencia establecida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s, así como los renglones 2 y 3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por manifiestamente inconvenientes, autorizando a realizar una contratación directa, con idénticas bases y condiciones a las del procedimiento fracasado,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al amparo de </w:t>
      </w:r>
      <w:r w:rsidR="00F051FC">
        <w:rPr>
          <w:rFonts w:ascii="Arial" w:eastAsia="Times New Roman" w:hAnsi="Arial" w:cs="Times New Roman"/>
          <w:sz w:val="24"/>
          <w:szCs w:val="24"/>
          <w:lang w:val="es-MX" w:eastAsia="es-ES"/>
        </w:rPr>
        <w:t>l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a excepción prevista en el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rtículo 33,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L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iteral C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N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umeral 2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del TOCAF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con invitación a los oferentes originales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FE5950" w:rsidRPr="00FE5950" w:rsidRDefault="00FE5950" w:rsidP="00B371E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2)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en Sesión de fecha 21.01.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15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este Tribunal 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observó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el gasto derivado de la adjudicación a ORAMECO, en razón de que se contravino lo dispuesto por el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rtículo 48 del TOCAF;</w:t>
      </w:r>
    </w:p>
    <w:p w:rsidR="00B90A32" w:rsidRDefault="00FE5950" w:rsidP="00B371E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lastRenderedPageBreak/>
        <w:t>3)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con fecha 24.04.17 la Dirección </w:t>
      </w:r>
      <w:r w:rsidR="00B90A32" w:rsidRPr="00BF15AB">
        <w:rPr>
          <w:rFonts w:ascii="Arial" w:eastAsia="Times New Roman" w:hAnsi="Arial" w:cs="Times New Roman"/>
          <w:sz w:val="24"/>
          <w:szCs w:val="24"/>
          <w:lang w:val="es-MX" w:eastAsia="es-ES"/>
        </w:rPr>
        <w:t>División de Central de Servicios Médicos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informó que, de conformidad con lo dispuesto en </w:t>
      </w:r>
      <w:r w:rsidR="00BF15AB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las Resoluciones RD N° 816/2014 y 1068/2015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="00BF15AB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se inició 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el </w:t>
      </w:r>
      <w:r w:rsidR="00BF15AB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procedimiento de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contratación </w:t>
      </w:r>
      <w:r w:rsidR="00BF15AB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direc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ta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al amparo de la excepción prevista en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rtículo 33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L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iteral C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N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umeral 2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del TOCAF,</w:t>
      </w:r>
      <w:r w:rsidR="00BF15AB" w:rsidRP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BF15AB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con idénticas bases y condiciones a las del procedimiento fracasado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para el departamento de Soriano, estimándose 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un gasto anual de $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5:712.510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consi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derado en el presupuesto 2017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dejándose 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constancia 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de 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no se realiza reserva dado</w:t>
      </w:r>
      <w:r w:rsidR="00F8301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el R</w:t>
      </w:r>
      <w:r w:rsidR="00B90A32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englón 10299 es de carácter no l</w:t>
      </w:r>
      <w:r w:rsidR="00B90A32">
        <w:rPr>
          <w:rFonts w:ascii="Arial" w:eastAsia="Times New Roman" w:hAnsi="Arial" w:cs="Times New Roman"/>
          <w:sz w:val="24"/>
          <w:szCs w:val="24"/>
          <w:lang w:val="es-MX" w:eastAsia="es-ES"/>
        </w:rPr>
        <w:t>imitativo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0C4EAD" w:rsidRDefault="00BF15AB" w:rsidP="00B371E5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BF15AB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4)</w:t>
      </w: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786AC5" w:rsidRPr="00786AC5">
        <w:rPr>
          <w:rFonts w:ascii="Arial" w:eastAsia="Times New Roman" w:hAnsi="Arial" w:cs="Times New Roman"/>
          <w:sz w:val="24"/>
          <w:szCs w:val="24"/>
          <w:lang w:val="es-MX" w:eastAsia="es-ES"/>
        </w:rPr>
        <w:t>que asimismo,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la referida D</w:t>
      </w:r>
      <w:r w:rsidR="00786AC5" w:rsidRPr="00786AC5">
        <w:rPr>
          <w:rFonts w:ascii="Arial" w:eastAsia="Times New Roman" w:hAnsi="Arial" w:cs="Times New Roman"/>
          <w:sz w:val="24"/>
          <w:szCs w:val="24"/>
          <w:lang w:val="es-MX" w:eastAsia="es-ES"/>
        </w:rPr>
        <w:t>ivisión informó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786AC5" w:rsidRPr="00786AC5"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 w:rsidR="00786AC5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0C4EAD">
        <w:rPr>
          <w:rFonts w:ascii="Arial" w:eastAsia="Times New Roman" w:hAnsi="Arial" w:cs="Times New Roman"/>
          <w:sz w:val="24"/>
          <w:szCs w:val="24"/>
          <w:lang w:val="es-MX" w:eastAsia="es-ES"/>
        </w:rPr>
        <w:t>se llegó a un precio promedio unitario de lo que se paga actualmente por departamento y en todo el país, considerándose como valor tope de referencia lo qu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 se abona a la firma </w:t>
      </w:r>
      <w:proofErr w:type="spellStart"/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>Mediplus</w:t>
      </w:r>
      <w:proofErr w:type="spellEnd"/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correspondiente a </w:t>
      </w:r>
      <w:r w:rsidR="000C4EAD">
        <w:rPr>
          <w:rFonts w:ascii="Arial" w:eastAsia="Times New Roman" w:hAnsi="Arial" w:cs="Times New Roman"/>
          <w:sz w:val="24"/>
          <w:szCs w:val="24"/>
          <w:lang w:val="es-MX" w:eastAsia="es-ES"/>
        </w:rPr>
        <w:t>$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0C4EAD">
        <w:rPr>
          <w:rFonts w:ascii="Arial" w:eastAsia="Times New Roman" w:hAnsi="Arial" w:cs="Times New Roman"/>
          <w:sz w:val="24"/>
          <w:szCs w:val="24"/>
          <w:lang w:val="es-MX" w:eastAsia="es-ES"/>
        </w:rPr>
        <w:t>8.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200 por denuncia obrera; </w:t>
      </w:r>
    </w:p>
    <w:p w:rsidR="00FE5950" w:rsidRDefault="000C4EAD" w:rsidP="000C4EA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ab/>
        <w:t xml:space="preserve">5) 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habiéndose cursado invitaciones a los participantes del procedimiento original, </w:t>
      </w:r>
      <w:r w:rsidR="00FE5950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se presentaron dos oferentes para el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>r</w:t>
      </w:r>
      <w:r w:rsidR="00FE5950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englón 1 (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P</w:t>
      </w:r>
      <w:r w:rsidR="00FE5950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rimer 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N</w:t>
      </w:r>
      <w:r w:rsidR="00FE5950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ivel de 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 w:rsidR="00FE5950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sistenc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ia): Cooperativa de Asistencia Médica de Soriano (CAMS)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, que cotizó una tarifa plana de $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699.825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Círculo Católico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con una tarifa plana de $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1.908.535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; y se presentó un único oferente para los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>r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>englones 2 y 3: Cooperativa de Asistencia Médica de Soriano (CAMS)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, cotizando $ 7.950 ambulatorio</w:t>
      </w:r>
      <w:r w:rsidR="00BF15AB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;  </w:t>
      </w:r>
    </w:p>
    <w:p w:rsidR="000C4EAD" w:rsidRDefault="000C4EAD" w:rsidP="000C4EA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786AC5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6</w:t>
      </w:r>
      <w:r w:rsidRPr="000C4EAD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)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 w:rsidR="004253DC" w:rsidRP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en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los informes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la Dirección de División de </w:t>
      </w:r>
      <w:r w:rsidR="004253DC" w:rsidRPr="00BF15AB">
        <w:rPr>
          <w:rFonts w:ascii="Arial" w:eastAsia="Times New Roman" w:hAnsi="Arial" w:cs="Times New Roman"/>
          <w:sz w:val="24"/>
          <w:szCs w:val="24"/>
          <w:lang w:val="es-MX" w:eastAsia="es-ES"/>
        </w:rPr>
        <w:t>Central de Servicios Médicos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fecha 24.04.17 y 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>de la Gerencia General de fecha 26.04.17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se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establecen que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la evaluación de las ofertas 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>se realizó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 acuerdo a los puntajes previstos en el Pli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ego de Condiciones Particulares y, en el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>r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>englón 1, se llegó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 una diferencia de 173% a favor de CAMS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dejándose constancia de que 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>su oferta se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encuentra dentro de un margen razonable respecto al tope establecido (Resultando N° 4)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y que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se ajusta a </w:t>
      </w:r>
      <w:r w:rsid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los requisitos técnicos solicitados en las bases del llamado</w:t>
      </w:r>
      <w:r w:rsidR="00786AC5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4253DC" w:rsidRPr="004253DC" w:rsidRDefault="004253DC" w:rsidP="000C4EA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sz w:val="24"/>
          <w:szCs w:val="24"/>
          <w:lang w:val="es-MX" w:eastAsia="es-ES"/>
        </w:rPr>
        <w:lastRenderedPageBreak/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 w:rsidRPr="004253D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7)</w:t>
      </w: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en cuanto a los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>r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englones 2 y 3,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para los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que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se recibió únicamente la oferta de </w:t>
      </w:r>
      <w:r w:rsidRPr="004253DC">
        <w:rPr>
          <w:rFonts w:ascii="Arial" w:eastAsia="Times New Roman" w:hAnsi="Arial" w:cs="Times New Roman"/>
          <w:sz w:val="24"/>
          <w:szCs w:val="24"/>
          <w:lang w:val="es-MX" w:eastAsia="es-ES"/>
        </w:rPr>
        <w:t>CAMS,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4253DC">
        <w:rPr>
          <w:rFonts w:ascii="Arial" w:eastAsia="Times New Roman" w:hAnsi="Arial" w:cs="Times New Roman"/>
          <w:sz w:val="24"/>
          <w:szCs w:val="24"/>
          <w:lang w:val="es-MX" w:eastAsia="es-ES"/>
        </w:rPr>
        <w:t>los informes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5A62A8" w:rsidRPr="004253D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referidos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establecen q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ue los precios cotizados por la misma no presentan grandes variaciones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en comparación con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los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fijados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en el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arancel vigente, por lo que fueron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considera</w:t>
      </w:r>
      <w:r w:rsidR="00F051FC">
        <w:rPr>
          <w:rFonts w:ascii="Arial" w:eastAsia="Times New Roman" w:hAnsi="Arial" w:cs="Times New Roman"/>
          <w:sz w:val="24"/>
          <w:szCs w:val="24"/>
          <w:lang w:val="es-MX" w:eastAsia="es-ES"/>
        </w:rPr>
        <w:t>d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o</w:t>
      </w:r>
      <w:r w:rsidR="00F051FC">
        <w:rPr>
          <w:rFonts w:ascii="Arial" w:eastAsia="Times New Roman" w:hAnsi="Arial" w:cs="Times New Roman"/>
          <w:sz w:val="24"/>
          <w:szCs w:val="24"/>
          <w:lang w:val="es-MX" w:eastAsia="es-ES"/>
        </w:rPr>
        <w:t>s</w:t>
      </w:r>
      <w:bookmarkStart w:id="0" w:name="_GoBack"/>
      <w:bookmarkEnd w:id="0"/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aceptables y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asimismo,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se dejó constancia de que la oferta cumple con los requisitos técnicos solicitados en las bases del procedimiento;  </w:t>
      </w:r>
    </w:p>
    <w:p w:rsidR="008A09CC" w:rsidRPr="00FE5950" w:rsidRDefault="008A09CC" w:rsidP="008A09CC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Pr="008A09CC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8)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por Resolución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>N°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0252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/17 de fecha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03.05.17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el Directorio dispuso la adjudicación de los renglones 1, 2 y 3 a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la Cooperativa de Asistencia Médica de Soriano (CAMS–IAMPP)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al amparo de lo preceptuado por el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rtículo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33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L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it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eral C) 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N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umeral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2</w:t>
      </w:r>
      <w:r w:rsidR="00B371E5">
        <w:rPr>
          <w:rFonts w:ascii="Arial" w:eastAsia="Times New Roman" w:hAnsi="Arial" w:cs="Times New Roman"/>
          <w:sz w:val="24"/>
          <w:szCs w:val="24"/>
          <w:lang w:val="es-MX" w:eastAsia="es-ES"/>
        </w:rPr>
        <w:t>)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del TOCAF, ad referéndum de la intervención preventiva de este Tribunal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FE5950" w:rsidRPr="00FE5950" w:rsidRDefault="00FE5950" w:rsidP="00B371E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CONSIDERANDO: 1) 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la presente contratación directa se realizó sobre las mismas bases y especificaciones que </w:t>
      </w:r>
      <w:r w:rsidR="00F8301C">
        <w:rPr>
          <w:rFonts w:ascii="Arial" w:eastAsia="Times New Roman" w:hAnsi="Arial" w:cs="Times New Roman"/>
          <w:sz w:val="24"/>
          <w:szCs w:val="24"/>
          <w:lang w:val="es-MX" w:eastAsia="es-ES"/>
        </w:rPr>
        <w:t>rigieron la licitación original y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F8301C">
        <w:rPr>
          <w:rFonts w:ascii="Arial" w:eastAsia="Times New Roman" w:hAnsi="Arial" w:cs="Times New Roman"/>
          <w:sz w:val="24"/>
          <w:szCs w:val="24"/>
          <w:lang w:val="es-MX" w:eastAsia="es-ES"/>
        </w:rPr>
        <w:t>se cursaron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las invitaciones a los oferentes originales que participaron en dicho procedimiento, por lo que se dio cumplimiento a lo dispuesto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en la causal de excepción invocada</w:t>
      </w:r>
      <w:r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; </w:t>
      </w:r>
    </w:p>
    <w:p w:rsidR="005A62A8" w:rsidRDefault="00B371E5" w:rsidP="00B371E5">
      <w:pPr>
        <w:suppressAutoHyphens/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="00FE5950" w:rsidRPr="00FE595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="00FE5950" w:rsidRPr="00FE595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</w:t>
      </w:r>
      <w:r w:rsidR="00F878A9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el Pliego de Condiciones Particulares estableció que se calificaría a los oferentes tomando en cuenta </w:t>
      </w:r>
      <w:r w:rsidR="00F878A9">
        <w:rPr>
          <w:rFonts w:ascii="Arial" w:eastAsia="Times New Roman" w:hAnsi="Arial" w:cs="Times New Roman"/>
          <w:sz w:val="24"/>
          <w:szCs w:val="24"/>
          <w:lang w:val="es-MX" w:eastAsia="es-ES"/>
        </w:rPr>
        <w:t>varios factores de ponderación y, sin embargo</w:t>
      </w:r>
      <w:r w:rsidR="00D47DE2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en el análisis de las ofertas recibidas para el </w:t>
      </w:r>
      <w:r w:rsidR="009F5D82">
        <w:rPr>
          <w:rFonts w:ascii="Arial" w:eastAsia="Times New Roman" w:hAnsi="Arial" w:cs="Times New Roman"/>
          <w:sz w:val="24"/>
          <w:szCs w:val="24"/>
          <w:lang w:val="es-MX" w:eastAsia="es-ES"/>
        </w:rPr>
        <w:t>r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englón 1, 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el Organismo se limitó a señalar que </w:t>
      </w:r>
      <w:r w:rsidR="00AC4A4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las mismas 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se </w:t>
      </w:r>
      <w:r w:rsidR="00AC4A4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evaluaron 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>acorde a los puntajes establecidos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en las bases del llamado, indicando</w:t>
      </w:r>
      <w:r w:rsidR="00AC4A4C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únicamente su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diferencia porcent</w:t>
      </w:r>
      <w:r w:rsidR="005A62A8">
        <w:rPr>
          <w:rFonts w:ascii="Arial" w:eastAsia="Times New Roman" w:hAnsi="Arial" w:cs="Times New Roman"/>
          <w:sz w:val="24"/>
          <w:szCs w:val="24"/>
          <w:lang w:val="es-MX" w:eastAsia="es-ES"/>
        </w:rPr>
        <w:t>ual</w:t>
      </w:r>
      <w:r w:rsidR="00AC4A4C">
        <w:rPr>
          <w:rFonts w:ascii="Arial" w:eastAsia="Times New Roman" w:hAnsi="Arial" w:cs="Times New Roman"/>
          <w:sz w:val="24"/>
          <w:szCs w:val="24"/>
          <w:lang w:val="es-MX" w:eastAsia="es-ES"/>
        </w:rPr>
        <w:t>,</w:t>
      </w:r>
      <w:r w:rsidR="00D47DE2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pero</w:t>
      </w:r>
      <w:r w:rsidR="00AC4A4C" w:rsidRPr="00AC4A4C">
        <w:rPr>
          <w:rFonts w:ascii="Arial" w:hAnsi="Arial" w:cs="Arial"/>
          <w:sz w:val="24"/>
          <w:szCs w:val="24"/>
        </w:rPr>
        <w:t xml:space="preserve"> </w:t>
      </w:r>
      <w:r w:rsidR="00AC4A4C">
        <w:rPr>
          <w:rFonts w:ascii="Arial" w:hAnsi="Arial" w:cs="Arial"/>
          <w:sz w:val="24"/>
          <w:szCs w:val="24"/>
        </w:rPr>
        <w:t xml:space="preserve">sin agregar el detalle del estudio realizado, ni especificar cuáles son </w:t>
      </w:r>
      <w:r w:rsidR="00AC4A4C" w:rsidRPr="00473640">
        <w:rPr>
          <w:rFonts w:ascii="Arial" w:hAnsi="Arial" w:cs="Arial"/>
          <w:sz w:val="24"/>
          <w:szCs w:val="24"/>
        </w:rPr>
        <w:t>los puntajes asignados a cada oferente por cada factor</w:t>
      </w:r>
      <w:r w:rsidR="00AC4A4C">
        <w:rPr>
          <w:rFonts w:ascii="Arial" w:hAnsi="Arial" w:cs="Arial"/>
          <w:sz w:val="24"/>
          <w:szCs w:val="24"/>
        </w:rPr>
        <w:t>, con la correspondiente puntuación definitiva, lo que hubiera resultado conveniente a efectos de generar mayor certeza en el proceder de la Administración</w:t>
      </w:r>
      <w:r w:rsidR="005A62A8" w:rsidRPr="005A62A8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; </w:t>
      </w:r>
    </w:p>
    <w:p w:rsidR="00FE5950" w:rsidRPr="00FE5950" w:rsidRDefault="00FE5950" w:rsidP="00B371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ATENTO: </w:t>
      </w:r>
      <w:r w:rsidRPr="00FE595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lo expuesto y a lo dispuesto por el </w:t>
      </w:r>
      <w:r w:rsidR="00B371E5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FE595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211, </w:t>
      </w:r>
      <w:r w:rsidR="00B371E5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FE5950">
        <w:rPr>
          <w:rFonts w:ascii="Arial" w:eastAsia="Times New Roman" w:hAnsi="Arial" w:cs="Arial"/>
          <w:sz w:val="24"/>
          <w:szCs w:val="24"/>
          <w:lang w:val="es-ES" w:eastAsia="es-ES"/>
        </w:rPr>
        <w:t>iteral B) de la Constitución de la República;</w:t>
      </w:r>
      <w:r w:rsidRPr="00FE595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FE5950" w:rsidRPr="00FE5950" w:rsidRDefault="00FE5950" w:rsidP="00FE5950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</w:pPr>
      <w:r w:rsidRPr="00FE5950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lastRenderedPageBreak/>
        <w:t>EL TRIBUNAL ACUERDA</w:t>
      </w:r>
    </w:p>
    <w:p w:rsidR="00AC4A4C" w:rsidRPr="00E94095" w:rsidRDefault="00AC4A4C" w:rsidP="00B371E5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AC4A4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1)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Cometer al Contador Delegado la intervención del gasto, una vez imputado el mismo a rubro adecuado con disponibilidad presupuestal suficiente</w:t>
      </w:r>
      <w:r w:rsidR="00E94095" w:rsidRPr="00E94095">
        <w:rPr>
          <w:rFonts w:ascii="Arial" w:hAnsi="Arial" w:cs="Arial"/>
          <w:sz w:val="24"/>
          <w:szCs w:val="24"/>
        </w:rPr>
        <w:t xml:space="preserve"> </w:t>
      </w:r>
      <w:r w:rsidR="00E94095">
        <w:rPr>
          <w:rFonts w:ascii="Arial" w:hAnsi="Arial" w:cs="Arial"/>
          <w:sz w:val="24"/>
          <w:szCs w:val="24"/>
        </w:rPr>
        <w:t xml:space="preserve">y previo control al momento del otorgamiento del cumplimiento de lo preceptuado por el </w:t>
      </w:r>
      <w:r w:rsidR="00B371E5">
        <w:rPr>
          <w:rFonts w:ascii="Arial" w:hAnsi="Arial" w:cs="Arial"/>
          <w:sz w:val="24"/>
          <w:szCs w:val="24"/>
        </w:rPr>
        <w:t>A</w:t>
      </w:r>
      <w:r w:rsidR="00E94095">
        <w:rPr>
          <w:rFonts w:ascii="Arial" w:hAnsi="Arial" w:cs="Arial"/>
          <w:sz w:val="24"/>
          <w:szCs w:val="24"/>
        </w:rPr>
        <w:t xml:space="preserve">rtículo 3 de la </w:t>
      </w:r>
      <w:r w:rsidR="00B371E5">
        <w:rPr>
          <w:rFonts w:ascii="Arial" w:hAnsi="Arial" w:cs="Arial"/>
          <w:sz w:val="24"/>
          <w:szCs w:val="24"/>
        </w:rPr>
        <w:t>L</w:t>
      </w:r>
      <w:r w:rsidR="00E94095">
        <w:rPr>
          <w:rFonts w:ascii="Arial" w:hAnsi="Arial" w:cs="Arial"/>
          <w:sz w:val="24"/>
          <w:szCs w:val="24"/>
        </w:rPr>
        <w:t>ey N° 18.244;</w:t>
      </w:r>
    </w:p>
    <w:p w:rsidR="00AC4A4C" w:rsidRPr="00AC4A4C" w:rsidRDefault="00AC4A4C" w:rsidP="00AC4A4C">
      <w:pPr>
        <w:suppressAutoHyphens/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AC4A4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2) 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Téngase presente lo expresado en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el 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>Considerando 2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)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; </w:t>
      </w:r>
      <w:r w:rsidRPr="00AC4A4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</w:t>
      </w:r>
    </w:p>
    <w:p w:rsidR="00AC4A4C" w:rsidRPr="00AC4A4C" w:rsidRDefault="00AC4A4C" w:rsidP="00AC4A4C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C4A4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AC4A4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Comunicar al Contador Delegado; y </w:t>
      </w:r>
    </w:p>
    <w:p w:rsidR="00AC4A4C" w:rsidRPr="00AC4A4C" w:rsidRDefault="00AC4A4C" w:rsidP="00AC4A4C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AC4A4C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4) </w:t>
      </w:r>
      <w:r w:rsidR="00B371E5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 </w:t>
      </w:r>
      <w:r w:rsidRPr="00AC4A4C">
        <w:rPr>
          <w:rFonts w:ascii="Arial" w:eastAsia="Times New Roman" w:hAnsi="Arial" w:cs="Times New Roman"/>
          <w:sz w:val="24"/>
          <w:szCs w:val="24"/>
          <w:lang w:val="es-ES" w:eastAsia="es-ES"/>
        </w:rPr>
        <w:t>Devolver las actuaciones.</w:t>
      </w:r>
    </w:p>
    <w:p w:rsidR="00AC4A4C" w:rsidRDefault="00AC4A4C" w:rsidP="00AC4A4C">
      <w:pPr>
        <w:spacing w:after="120" w:line="360" w:lineRule="auto"/>
        <w:ind w:left="283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B371E5" w:rsidRDefault="00B371E5" w:rsidP="00AC4A4C">
      <w:pPr>
        <w:spacing w:after="120" w:line="360" w:lineRule="auto"/>
        <w:ind w:left="283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B371E5" w:rsidRDefault="00B371E5" w:rsidP="00AC4A4C">
      <w:pPr>
        <w:spacing w:after="120" w:line="360" w:lineRule="auto"/>
        <w:ind w:left="283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B371E5" w:rsidRDefault="00B371E5" w:rsidP="00AC4A4C">
      <w:pPr>
        <w:spacing w:after="120" w:line="360" w:lineRule="auto"/>
        <w:ind w:left="283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</w:p>
    <w:p w:rsidR="00B371E5" w:rsidRPr="00B371E5" w:rsidRDefault="00B371E5" w:rsidP="00B371E5">
      <w:pPr>
        <w:spacing w:after="120" w:line="36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proofErr w:type="spellStart"/>
      <w:proofErr w:type="gramStart"/>
      <w:r w:rsidRPr="00B371E5">
        <w:rPr>
          <w:rFonts w:ascii="Arial" w:eastAsia="Times New Roman" w:hAnsi="Arial" w:cs="Times New Roman"/>
          <w:sz w:val="24"/>
          <w:szCs w:val="24"/>
          <w:lang w:val="es-ES" w:eastAsia="es-ES"/>
        </w:rPr>
        <w:t>cr</w:t>
      </w:r>
      <w:proofErr w:type="spellEnd"/>
      <w:proofErr w:type="gramEnd"/>
    </w:p>
    <w:sectPr w:rsidR="00B371E5" w:rsidRPr="00B371E5" w:rsidSect="00B371E5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A9" w:rsidRDefault="00F878A9">
      <w:pPr>
        <w:spacing w:after="0" w:line="240" w:lineRule="auto"/>
      </w:pPr>
      <w:r>
        <w:separator/>
      </w:r>
    </w:p>
  </w:endnote>
  <w:endnote w:type="continuationSeparator" w:id="0">
    <w:p w:rsidR="00F878A9" w:rsidRDefault="00F8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8A9" w:rsidRDefault="00F878A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F878A9" w:rsidRDefault="00F878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8A9" w:rsidRDefault="00F878A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51F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878A9" w:rsidRDefault="00F878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A9" w:rsidRDefault="00F878A9">
      <w:pPr>
        <w:spacing w:after="0" w:line="240" w:lineRule="auto"/>
      </w:pPr>
      <w:r>
        <w:separator/>
      </w:r>
    </w:p>
  </w:footnote>
  <w:footnote w:type="continuationSeparator" w:id="0">
    <w:p w:rsidR="00F878A9" w:rsidRDefault="00F87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50"/>
    <w:rsid w:val="0005507B"/>
    <w:rsid w:val="000B5556"/>
    <w:rsid w:val="000C4EAD"/>
    <w:rsid w:val="000E1DE3"/>
    <w:rsid w:val="00130655"/>
    <w:rsid w:val="001C2AF7"/>
    <w:rsid w:val="001C6EE4"/>
    <w:rsid w:val="00257DBC"/>
    <w:rsid w:val="004253DC"/>
    <w:rsid w:val="005A62A8"/>
    <w:rsid w:val="005E0C8D"/>
    <w:rsid w:val="0072177E"/>
    <w:rsid w:val="0075595A"/>
    <w:rsid w:val="00786AC5"/>
    <w:rsid w:val="008A09CC"/>
    <w:rsid w:val="008A1310"/>
    <w:rsid w:val="00996BA5"/>
    <w:rsid w:val="009F5D82"/>
    <w:rsid w:val="00A07EDB"/>
    <w:rsid w:val="00AC4A4C"/>
    <w:rsid w:val="00B371E5"/>
    <w:rsid w:val="00B762BD"/>
    <w:rsid w:val="00B90A32"/>
    <w:rsid w:val="00BF15AB"/>
    <w:rsid w:val="00D47DE2"/>
    <w:rsid w:val="00E94095"/>
    <w:rsid w:val="00F051FC"/>
    <w:rsid w:val="00F8301C"/>
    <w:rsid w:val="00F878A9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E5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5950"/>
  </w:style>
  <w:style w:type="character" w:styleId="Nmerodepgina">
    <w:name w:val="page number"/>
    <w:basedOn w:val="Fuentedeprrafopredeter"/>
    <w:semiHidden/>
    <w:rsid w:val="00FE5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E5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5950"/>
  </w:style>
  <w:style w:type="character" w:styleId="Nmerodepgina">
    <w:name w:val="page number"/>
    <w:basedOn w:val="Fuentedeprrafopredeter"/>
    <w:semiHidden/>
    <w:rsid w:val="00FE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CE1D-0CE5-4EE1-9294-0482D326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2017-06-13T17:58:00Z</cp:lastPrinted>
  <dcterms:created xsi:type="dcterms:W3CDTF">2017-06-13T17:58:00Z</dcterms:created>
  <dcterms:modified xsi:type="dcterms:W3CDTF">2017-06-13T17:58:00Z</dcterms:modified>
</cp:coreProperties>
</file>