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BD" w:rsidRPr="00786EEB" w:rsidRDefault="00155DB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1007/17</w:t>
      </w:r>
    </w:p>
    <w:p w:rsidR="00155DBD" w:rsidRDefault="00155DB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55DBD" w:rsidRPr="00155DBD" w:rsidRDefault="00155DBD" w:rsidP="00155D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5DB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55DBD" w:rsidRPr="00155DBD" w:rsidRDefault="00155DBD" w:rsidP="00155DB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5DBD" w:rsidRPr="00155DBD" w:rsidRDefault="00155DBD" w:rsidP="00155D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5DB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55DBD" w:rsidRPr="00155DBD" w:rsidRDefault="00155DBD" w:rsidP="00155DB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5DBD" w:rsidRPr="00155DBD" w:rsidRDefault="00155DBD" w:rsidP="00155D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5DBD">
        <w:rPr>
          <w:rFonts w:ascii="Arial" w:hAnsi="Arial" w:cs="Arial"/>
          <w:b/>
          <w:sz w:val="24"/>
          <w:szCs w:val="24"/>
          <w:lang w:val="es-ES_tradnl"/>
        </w:rPr>
        <w:t xml:space="preserve">EN SESION DE FECHA 29 DE MARZO </w:t>
      </w:r>
      <w:r w:rsidRPr="00155DBD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155DBD" w:rsidRPr="00155DBD" w:rsidRDefault="00155DBD" w:rsidP="00155D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5DBD" w:rsidRPr="00155DBD" w:rsidRDefault="00155DBD" w:rsidP="00155D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155DBD">
        <w:rPr>
          <w:rFonts w:ascii="Arial" w:hAnsi="Arial" w:cs="Arial"/>
          <w:b/>
          <w:sz w:val="24"/>
          <w:szCs w:val="24"/>
          <w:lang w:val="es-AR"/>
        </w:rPr>
        <w:t xml:space="preserve">(E. E. Nº 2017-17-1-0001469, </w:t>
      </w:r>
      <w:proofErr w:type="spellStart"/>
      <w:r w:rsidRPr="00155DBD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155DBD">
        <w:rPr>
          <w:rFonts w:ascii="Arial" w:hAnsi="Arial" w:cs="Arial"/>
          <w:b/>
          <w:sz w:val="24"/>
          <w:szCs w:val="24"/>
          <w:lang w:val="es-AR"/>
        </w:rPr>
        <w:t>. N° 1139/17)</w:t>
      </w:r>
    </w:p>
    <w:p w:rsidR="00155DBD" w:rsidRPr="00155DBD" w:rsidRDefault="00155D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55DBD" w:rsidRDefault="00FA15AE" w:rsidP="00155DB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Usinas y Trasmisiones Eléctricas relacionadas con la </w:t>
      </w:r>
      <w:r w:rsidR="00155DBD">
        <w:rPr>
          <w:rFonts w:ascii="Arial" w:hAnsi="Arial" w:cs="Arial"/>
          <w:sz w:val="24"/>
          <w:szCs w:val="24"/>
        </w:rPr>
        <w:t>Licitación Pública N°</w:t>
      </w:r>
      <w:r>
        <w:rPr>
          <w:rFonts w:ascii="Arial" w:hAnsi="Arial" w:cs="Arial"/>
          <w:sz w:val="24"/>
          <w:szCs w:val="24"/>
        </w:rPr>
        <w:t>P49066,  para la contratación de  empresa de servicios de personal para tareas de ejecución de obra civil y montaje electromecánico, tareas de gestión y administrativas;</w:t>
      </w:r>
    </w:p>
    <w:p w:rsidR="00213822" w:rsidRDefault="00FA15AE" w:rsidP="00155DB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>que</w:t>
      </w:r>
      <w:r w:rsidR="00155DBD">
        <w:rPr>
          <w:rFonts w:ascii="Arial" w:hAnsi="Arial" w:cs="Arial"/>
          <w:sz w:val="24"/>
          <w:szCs w:val="24"/>
        </w:rPr>
        <w:t xml:space="preserve"> habiéndose dado cumplimiento con el</w:t>
      </w:r>
      <w:r>
        <w:rPr>
          <w:rFonts w:ascii="Arial" w:hAnsi="Arial" w:cs="Arial"/>
          <w:sz w:val="24"/>
          <w:szCs w:val="24"/>
        </w:rPr>
        <w:t xml:space="preserve"> requisito legal de publicidad, con fecha 28.10.16 se realizó el acto de apertura de ofertas, </w:t>
      </w:r>
      <w:proofErr w:type="spellStart"/>
      <w:r>
        <w:rPr>
          <w:rFonts w:ascii="Arial" w:hAnsi="Arial" w:cs="Arial"/>
          <w:sz w:val="24"/>
          <w:szCs w:val="24"/>
        </w:rPr>
        <w:t>recepcionándose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55DBD">
        <w:rPr>
          <w:rFonts w:ascii="Arial" w:hAnsi="Arial" w:cs="Arial"/>
          <w:sz w:val="24"/>
          <w:szCs w:val="24"/>
        </w:rPr>
        <w:t>las propuestas de: Estilo S.R.L.,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LKSur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155D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Electrotécnica Novas S.A</w:t>
      </w:r>
      <w:r w:rsidR="00155D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213822" w:rsidRDefault="00FA15AE" w:rsidP="002138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13822">
        <w:rPr>
          <w:rFonts w:ascii="Arial" w:hAnsi="Arial" w:cs="Arial"/>
          <w:b/>
          <w:bCs/>
          <w:sz w:val="24"/>
          <w:szCs w:val="24"/>
        </w:rPr>
        <w:t>2)</w:t>
      </w:r>
      <w:r w:rsidRPr="00213822">
        <w:rPr>
          <w:rFonts w:ascii="Arial" w:hAnsi="Arial" w:cs="Arial"/>
          <w:sz w:val="24"/>
          <w:szCs w:val="24"/>
        </w:rPr>
        <w:t xml:space="preserve"> que con fecha 11.11.2016, la Comisión Asesora de Adjudicaciones elaboró un informe estableciendo que la oferta de  Electromecánica Novas S.A</w:t>
      </w:r>
      <w:r w:rsidR="00213822">
        <w:rPr>
          <w:rFonts w:ascii="Arial" w:hAnsi="Arial" w:cs="Arial"/>
          <w:sz w:val="24"/>
          <w:szCs w:val="24"/>
        </w:rPr>
        <w:t>.</w:t>
      </w:r>
      <w:r w:rsidRPr="00213822">
        <w:rPr>
          <w:rFonts w:ascii="Arial" w:hAnsi="Arial" w:cs="Arial"/>
          <w:sz w:val="24"/>
          <w:szCs w:val="24"/>
        </w:rPr>
        <w:t xml:space="preserve"> no es admisible, en tanto la misma no cuenta con la certificación en el proceso de suministro de personal ISO 9001:2008 o ISO 9001:2015 (exigidas como re</w:t>
      </w:r>
      <w:r w:rsidR="00213822">
        <w:rPr>
          <w:rFonts w:ascii="Arial" w:hAnsi="Arial" w:cs="Arial"/>
          <w:sz w:val="24"/>
          <w:szCs w:val="24"/>
        </w:rPr>
        <w:t>quisito de admisibilidad en el A</w:t>
      </w:r>
      <w:r w:rsidRPr="00213822">
        <w:rPr>
          <w:rFonts w:ascii="Arial" w:hAnsi="Arial" w:cs="Arial"/>
          <w:sz w:val="24"/>
          <w:szCs w:val="24"/>
        </w:rPr>
        <w:t>rt</w:t>
      </w:r>
      <w:r w:rsidR="00213822">
        <w:rPr>
          <w:rFonts w:ascii="Arial" w:hAnsi="Arial" w:cs="Arial"/>
          <w:sz w:val="24"/>
          <w:szCs w:val="24"/>
        </w:rPr>
        <w:t>ículo</w:t>
      </w:r>
      <w:r w:rsidRPr="00213822">
        <w:rPr>
          <w:rFonts w:ascii="Arial" w:hAnsi="Arial" w:cs="Arial"/>
          <w:sz w:val="24"/>
          <w:szCs w:val="24"/>
        </w:rPr>
        <w:t xml:space="preserve"> 1.3 del Capítulo II del Pliego de Condiciones), ni con la inscripción como Agencia</w:t>
      </w:r>
      <w:r w:rsidR="00213822">
        <w:rPr>
          <w:rFonts w:ascii="Arial" w:hAnsi="Arial" w:cs="Arial"/>
          <w:sz w:val="24"/>
          <w:szCs w:val="24"/>
        </w:rPr>
        <w:t xml:space="preserve"> de Empleo privada en el MTSS (A</w:t>
      </w:r>
      <w:r w:rsidRPr="00213822">
        <w:rPr>
          <w:rFonts w:ascii="Arial" w:hAnsi="Arial" w:cs="Arial"/>
          <w:sz w:val="24"/>
          <w:szCs w:val="24"/>
        </w:rPr>
        <w:t>rtículo 1.5 Capítulo II)  y tampoco acredita la experiencia en la actividad pública mínima de tres años en el desempeño de tareas similares, r</w:t>
      </w:r>
      <w:r w:rsidR="00213822">
        <w:rPr>
          <w:rFonts w:ascii="Arial" w:hAnsi="Arial" w:cs="Arial"/>
          <w:sz w:val="24"/>
          <w:szCs w:val="24"/>
        </w:rPr>
        <w:t>equisito exigido por el A</w:t>
      </w:r>
      <w:r w:rsidRPr="00213822">
        <w:rPr>
          <w:rFonts w:ascii="Arial" w:hAnsi="Arial" w:cs="Arial"/>
          <w:sz w:val="24"/>
          <w:szCs w:val="24"/>
        </w:rPr>
        <w:t xml:space="preserve">rtículo 1.3  sub </w:t>
      </w:r>
      <w:proofErr w:type="spellStart"/>
      <w:r w:rsidR="00213822">
        <w:rPr>
          <w:rFonts w:ascii="Arial" w:hAnsi="Arial" w:cs="Arial"/>
          <w:sz w:val="24"/>
          <w:szCs w:val="24"/>
        </w:rPr>
        <w:t>i</w:t>
      </w:r>
      <w:r w:rsidRPr="00213822">
        <w:rPr>
          <w:rFonts w:ascii="Arial" w:hAnsi="Arial" w:cs="Arial"/>
          <w:sz w:val="24"/>
          <w:szCs w:val="24"/>
        </w:rPr>
        <w:t>tem</w:t>
      </w:r>
      <w:proofErr w:type="spellEnd"/>
      <w:r w:rsidRPr="00213822">
        <w:rPr>
          <w:rFonts w:ascii="Arial" w:hAnsi="Arial" w:cs="Arial"/>
          <w:sz w:val="24"/>
          <w:szCs w:val="24"/>
        </w:rPr>
        <w:t xml:space="preserve"> 1.1 del referido Pliego)  por l</w:t>
      </w:r>
      <w:r w:rsidR="00213822">
        <w:rPr>
          <w:rFonts w:ascii="Arial" w:hAnsi="Arial" w:cs="Arial"/>
          <w:sz w:val="24"/>
          <w:szCs w:val="24"/>
        </w:rPr>
        <w:t>o que se procedió a su rechazo.</w:t>
      </w:r>
      <w:r w:rsidRPr="00213822">
        <w:rPr>
          <w:rFonts w:ascii="Arial" w:hAnsi="Arial" w:cs="Arial"/>
          <w:sz w:val="24"/>
          <w:szCs w:val="24"/>
        </w:rPr>
        <w:t xml:space="preserve"> Señala asimismo la Comisión  que las ofertas de Estilo S.R.L</w:t>
      </w:r>
      <w:r w:rsidR="00213822">
        <w:rPr>
          <w:rFonts w:ascii="Arial" w:hAnsi="Arial" w:cs="Arial"/>
          <w:sz w:val="24"/>
          <w:szCs w:val="24"/>
        </w:rPr>
        <w:t>.</w:t>
      </w:r>
      <w:r w:rsidRPr="00213822">
        <w:rPr>
          <w:rFonts w:ascii="Arial" w:hAnsi="Arial" w:cs="Arial"/>
          <w:sz w:val="24"/>
          <w:szCs w:val="24"/>
        </w:rPr>
        <w:t xml:space="preserve"> y de </w:t>
      </w:r>
      <w:proofErr w:type="spellStart"/>
      <w:r w:rsidRPr="00213822">
        <w:rPr>
          <w:rFonts w:ascii="Arial" w:hAnsi="Arial" w:cs="Arial"/>
          <w:sz w:val="24"/>
          <w:szCs w:val="24"/>
        </w:rPr>
        <w:t>LKSur</w:t>
      </w:r>
      <w:proofErr w:type="spellEnd"/>
      <w:r w:rsidRPr="00213822">
        <w:rPr>
          <w:rFonts w:ascii="Arial" w:hAnsi="Arial" w:cs="Arial"/>
          <w:sz w:val="24"/>
          <w:szCs w:val="24"/>
        </w:rPr>
        <w:t xml:space="preserve"> S.A</w:t>
      </w:r>
      <w:r w:rsidR="00213822">
        <w:rPr>
          <w:rFonts w:ascii="Arial" w:hAnsi="Arial" w:cs="Arial"/>
          <w:sz w:val="24"/>
          <w:szCs w:val="24"/>
        </w:rPr>
        <w:t>.</w:t>
      </w:r>
      <w:r w:rsidRPr="00213822">
        <w:rPr>
          <w:rFonts w:ascii="Arial" w:hAnsi="Arial" w:cs="Arial"/>
          <w:sz w:val="24"/>
          <w:szCs w:val="24"/>
        </w:rPr>
        <w:t xml:space="preserve"> fueron validadas, por cumplir </w:t>
      </w:r>
      <w:r w:rsidRPr="00213822">
        <w:rPr>
          <w:rFonts w:ascii="Arial" w:hAnsi="Arial" w:cs="Arial"/>
          <w:sz w:val="24"/>
          <w:szCs w:val="24"/>
        </w:rPr>
        <w:lastRenderedPageBreak/>
        <w:t>los requisitos de admisibilidad e incorporadas a un cuadro comparativo de precios,  concluyendo que la propuesta de Estilo S.R.L.,  es la de</w:t>
      </w:r>
      <w:r w:rsidR="00213822">
        <w:rPr>
          <w:rFonts w:ascii="Arial" w:hAnsi="Arial" w:cs="Arial"/>
          <w:sz w:val="24"/>
          <w:szCs w:val="24"/>
        </w:rPr>
        <w:t xml:space="preserve"> mejor precio en todos los </w:t>
      </w:r>
      <w:proofErr w:type="spellStart"/>
      <w:r w:rsidR="00213822">
        <w:rPr>
          <w:rFonts w:ascii="Arial" w:hAnsi="Arial" w:cs="Arial"/>
          <w:sz w:val="24"/>
          <w:szCs w:val="24"/>
        </w:rPr>
        <w:t>item</w:t>
      </w:r>
      <w:proofErr w:type="spellEnd"/>
      <w:r w:rsidRPr="00213822">
        <w:rPr>
          <w:rFonts w:ascii="Arial" w:hAnsi="Arial" w:cs="Arial"/>
          <w:sz w:val="24"/>
          <w:szCs w:val="24"/>
        </w:rPr>
        <w:t>, por lo que recomendó la adjudicación a  esa empresa;</w:t>
      </w:r>
    </w:p>
    <w:p w:rsidR="00213822" w:rsidRDefault="00FA15AE" w:rsidP="002138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1382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213822">
        <w:rPr>
          <w:rFonts w:ascii="Arial" w:hAnsi="Arial" w:cs="Arial"/>
          <w:sz w:val="24"/>
          <w:szCs w:val="24"/>
        </w:rPr>
        <w:t xml:space="preserve"> que con fecha 14.11.16</w:t>
      </w:r>
      <w:r>
        <w:rPr>
          <w:rFonts w:ascii="Arial" w:hAnsi="Arial" w:cs="Arial"/>
          <w:sz w:val="24"/>
          <w:szCs w:val="24"/>
        </w:rPr>
        <w:t>,</w:t>
      </w:r>
      <w:r w:rsidR="00213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dio vista de las actuaciones por el término de cinco días hábiles, de confor</w:t>
      </w:r>
      <w:r w:rsidR="00213822">
        <w:rPr>
          <w:rFonts w:ascii="Arial" w:hAnsi="Arial" w:cs="Arial"/>
          <w:sz w:val="24"/>
          <w:szCs w:val="24"/>
        </w:rPr>
        <w:t>midad con lo establecido en el A</w:t>
      </w:r>
      <w:r>
        <w:rPr>
          <w:rFonts w:ascii="Arial" w:hAnsi="Arial" w:cs="Arial"/>
          <w:sz w:val="24"/>
          <w:szCs w:val="24"/>
        </w:rPr>
        <w:t>rtículo 67 del TOCAF, notificándose todos los participantes del llamado a tales efectos;</w:t>
      </w:r>
    </w:p>
    <w:p w:rsidR="00213822" w:rsidRDefault="00FA15AE" w:rsidP="002138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1382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el Departamento de Registro y Control Presupuestal informó con fecha 23.11.16 que, para el Presupuesto 2016, adecuado a precios enero-junio 2016, el Grupo 2 y el Grupo 3 han sido imputados sin disponibilidad presupuestal suficiente par</w:t>
      </w:r>
      <w:r w:rsidR="00213822">
        <w:rPr>
          <w:rFonts w:ascii="Arial" w:hAnsi="Arial" w:cs="Arial"/>
          <w:sz w:val="24"/>
          <w:szCs w:val="24"/>
        </w:rPr>
        <w:t>a comprometer los montos de $ 8:</w:t>
      </w:r>
      <w:r>
        <w:rPr>
          <w:rFonts w:ascii="Arial" w:hAnsi="Arial" w:cs="Arial"/>
          <w:sz w:val="24"/>
          <w:szCs w:val="24"/>
        </w:rPr>
        <w:t>196.722</w:t>
      </w:r>
      <w:r w:rsidR="00213822">
        <w:rPr>
          <w:rFonts w:ascii="Arial" w:hAnsi="Arial" w:cs="Arial"/>
          <w:sz w:val="24"/>
          <w:szCs w:val="24"/>
        </w:rPr>
        <w:t xml:space="preserve"> (neto de impuestos) y de $ 199:</w:t>
      </w:r>
      <w:r>
        <w:rPr>
          <w:rFonts w:ascii="Arial" w:hAnsi="Arial" w:cs="Arial"/>
          <w:sz w:val="24"/>
          <w:szCs w:val="24"/>
        </w:rPr>
        <w:t>478.256 (neto de impuestos) respectivamente en el Ejercicio 2016 e incorporar en el Ejercicio 2017 y siguientes;</w:t>
      </w:r>
    </w:p>
    <w:p w:rsidR="00213822" w:rsidRDefault="00FA15AE" w:rsidP="002138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1382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con fecha 13.01.17, la Administración comunicó a Estilo S.R.L</w:t>
      </w:r>
      <w:r w:rsidR="002138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que, producto de una reconsideración del alcance de las prestaciones objeto del llamado, se entendió conveniente solicitar la prestación de su conformidad a efectos de realizar una disminución en el  período de la cont</w:t>
      </w:r>
      <w:r w:rsidR="00213822">
        <w:rPr>
          <w:rFonts w:ascii="Arial" w:hAnsi="Arial" w:cs="Arial"/>
          <w:sz w:val="24"/>
          <w:szCs w:val="24"/>
        </w:rPr>
        <w:t xml:space="preserve">ratación del servicio para los </w:t>
      </w:r>
      <w:proofErr w:type="spellStart"/>
      <w:r w:rsidR="00213822"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y 3 en un año, previo al dictado del acto administrativo correspondiente y, con fecha 16.01.17 se </w:t>
      </w:r>
      <w:proofErr w:type="spellStart"/>
      <w:r>
        <w:rPr>
          <w:rFonts w:ascii="Arial" w:hAnsi="Arial" w:cs="Arial"/>
          <w:sz w:val="24"/>
          <w:szCs w:val="24"/>
        </w:rPr>
        <w:t>recepcionó</w:t>
      </w:r>
      <w:proofErr w:type="spellEnd"/>
      <w:r>
        <w:rPr>
          <w:rFonts w:ascii="Arial" w:hAnsi="Arial" w:cs="Arial"/>
          <w:sz w:val="24"/>
          <w:szCs w:val="24"/>
        </w:rPr>
        <w:t xml:space="preserve"> la respuesta de Estilo S.R.L</w:t>
      </w:r>
      <w:r w:rsidR="002138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accediendo a lo solicitado;</w:t>
      </w:r>
    </w:p>
    <w:p w:rsidR="00BA7571" w:rsidRDefault="00FA15AE" w:rsidP="00BA757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1382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el Departamento de Registro y Control Presupuestal con </w:t>
      </w:r>
      <w:r w:rsidR="00BA7571">
        <w:rPr>
          <w:rFonts w:ascii="Arial" w:hAnsi="Arial" w:cs="Arial"/>
          <w:sz w:val="24"/>
          <w:szCs w:val="24"/>
        </w:rPr>
        <w:t>fecha 02.02.16 informó</w:t>
      </w:r>
      <w:r>
        <w:rPr>
          <w:rFonts w:ascii="Arial" w:hAnsi="Arial" w:cs="Arial"/>
          <w:sz w:val="24"/>
          <w:szCs w:val="24"/>
        </w:rPr>
        <w:t xml:space="preserve"> que, de acuerdo con las asignaciones aprobadas, para el Presupuesto 2016, adecuado a precios promedio 2016 vigentes por prórroga automática, el Grupo 2 y el Grupo 3 han sido imputados sin disponibilidad presupuestal suficiente p</w:t>
      </w:r>
      <w:r w:rsidR="00BA7571">
        <w:rPr>
          <w:rFonts w:ascii="Arial" w:hAnsi="Arial" w:cs="Arial"/>
          <w:sz w:val="24"/>
          <w:szCs w:val="24"/>
        </w:rPr>
        <w:t>ara comprometer los montos de $3:</w:t>
      </w:r>
      <w:r>
        <w:rPr>
          <w:rFonts w:ascii="Arial" w:hAnsi="Arial" w:cs="Arial"/>
          <w:sz w:val="24"/>
          <w:szCs w:val="24"/>
        </w:rPr>
        <w:t>018</w:t>
      </w:r>
      <w:r w:rsidR="00BA7571">
        <w:rPr>
          <w:rFonts w:ascii="Arial" w:hAnsi="Arial" w:cs="Arial"/>
          <w:sz w:val="24"/>
          <w:szCs w:val="24"/>
        </w:rPr>
        <w:t>.942 (neto de impuestos) y $ 48:</w:t>
      </w:r>
      <w:r>
        <w:rPr>
          <w:rFonts w:ascii="Arial" w:hAnsi="Arial" w:cs="Arial"/>
          <w:sz w:val="24"/>
          <w:szCs w:val="24"/>
        </w:rPr>
        <w:t xml:space="preserve">870.672 (neto de impuestos) respectivamente en el Ejercicio 2017 y, que los Grupos 2 y el 3 han sido imputados sin disponibilidad presupuestal suficiente para comprometer los </w:t>
      </w:r>
      <w:r w:rsidR="00BA7571">
        <w:rPr>
          <w:rFonts w:ascii="Arial" w:hAnsi="Arial" w:cs="Arial"/>
          <w:sz w:val="24"/>
          <w:szCs w:val="24"/>
        </w:rPr>
        <w:lastRenderedPageBreak/>
        <w:t>montos de $ 1:</w:t>
      </w:r>
      <w:r>
        <w:rPr>
          <w:rFonts w:ascii="Arial" w:hAnsi="Arial" w:cs="Arial"/>
          <w:sz w:val="24"/>
          <w:szCs w:val="24"/>
        </w:rPr>
        <w:t>006.</w:t>
      </w:r>
      <w:r w:rsidR="00BA7571">
        <w:rPr>
          <w:rFonts w:ascii="Arial" w:hAnsi="Arial" w:cs="Arial"/>
          <w:sz w:val="24"/>
          <w:szCs w:val="24"/>
        </w:rPr>
        <w:t>318 (neto de impuestos) y $ 150:</w:t>
      </w:r>
      <w:r>
        <w:rPr>
          <w:rFonts w:ascii="Arial" w:hAnsi="Arial" w:cs="Arial"/>
          <w:sz w:val="24"/>
          <w:szCs w:val="24"/>
        </w:rPr>
        <w:t>607.584 (neto de impuestos) respectivamente en el  Ejercicio 2017 e incorporar en los Ejercicios 2018 y siguiente;</w:t>
      </w:r>
    </w:p>
    <w:p w:rsidR="00FA15AE" w:rsidRDefault="00FA15AE" w:rsidP="00BA757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A757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por Resolución N° 17.-313 de fecha 16.02.17, e</w:t>
      </w:r>
      <w:r w:rsidR="00BA7571">
        <w:rPr>
          <w:rFonts w:ascii="Arial" w:hAnsi="Arial" w:cs="Arial"/>
          <w:sz w:val="24"/>
          <w:szCs w:val="24"/>
        </w:rPr>
        <w:t xml:space="preserve">l Directorio adjudicó, ad </w:t>
      </w:r>
      <w:proofErr w:type="spellStart"/>
      <w:r w:rsidR="00BA7571">
        <w:rPr>
          <w:rFonts w:ascii="Arial" w:hAnsi="Arial" w:cs="Arial"/>
          <w:sz w:val="24"/>
          <w:szCs w:val="24"/>
        </w:rPr>
        <w:t>refere</w:t>
      </w:r>
      <w:r>
        <w:rPr>
          <w:rFonts w:ascii="Arial" w:hAnsi="Arial" w:cs="Arial"/>
          <w:sz w:val="24"/>
          <w:szCs w:val="24"/>
        </w:rPr>
        <w:t>ndum</w:t>
      </w:r>
      <w:proofErr w:type="spellEnd"/>
      <w:r>
        <w:rPr>
          <w:rFonts w:ascii="Arial" w:hAnsi="Arial" w:cs="Arial"/>
          <w:sz w:val="24"/>
          <w:szCs w:val="24"/>
        </w:rPr>
        <w:t xml:space="preserve"> de la intervención p</w:t>
      </w:r>
      <w:r w:rsidR="00BA7571">
        <w:rPr>
          <w:rFonts w:ascii="Arial" w:hAnsi="Arial" w:cs="Arial"/>
          <w:sz w:val="24"/>
          <w:szCs w:val="24"/>
        </w:rPr>
        <w:t>reventiva de este Tribunal, la L</w:t>
      </w:r>
      <w:r>
        <w:rPr>
          <w:rFonts w:ascii="Arial" w:hAnsi="Arial" w:cs="Arial"/>
          <w:sz w:val="24"/>
          <w:szCs w:val="24"/>
        </w:rPr>
        <w:t>icitación de referencia a Estilo S.R.L</w:t>
      </w:r>
      <w:r w:rsidR="00BA7571">
        <w:rPr>
          <w:rFonts w:ascii="Arial" w:hAnsi="Arial" w:cs="Arial"/>
          <w:sz w:val="24"/>
          <w:szCs w:val="24"/>
        </w:rPr>
        <w:t xml:space="preserve">. en los </w:t>
      </w:r>
      <w:proofErr w:type="spellStart"/>
      <w:r w:rsidR="00BA7571"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1, 2 y 3, por un monto total de $ 234:910.815, con cargas sociales, previsión de ajuste e imprevistos incluidos, por e</w:t>
      </w:r>
      <w:r w:rsidR="00BA7571">
        <w:rPr>
          <w:rFonts w:ascii="Arial" w:hAnsi="Arial" w:cs="Arial"/>
          <w:sz w:val="24"/>
          <w:szCs w:val="24"/>
        </w:rPr>
        <w:t xml:space="preserve">l período de tres años para el </w:t>
      </w:r>
      <w:proofErr w:type="spellStart"/>
      <w:r w:rsidR="00BA7571">
        <w:rPr>
          <w:rFonts w:ascii="Arial" w:hAnsi="Arial" w:cs="Arial"/>
          <w:sz w:val="24"/>
          <w:szCs w:val="24"/>
        </w:rPr>
        <w:t>item</w:t>
      </w:r>
      <w:proofErr w:type="spellEnd"/>
      <w:r w:rsidR="00BA7571">
        <w:rPr>
          <w:rFonts w:ascii="Arial" w:hAnsi="Arial" w:cs="Arial"/>
          <w:sz w:val="24"/>
          <w:szCs w:val="24"/>
        </w:rPr>
        <w:t xml:space="preserve"> 1 y de un año para los </w:t>
      </w:r>
      <w:proofErr w:type="spellStart"/>
      <w:r w:rsidR="00BA7571"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y 3, o hasta la ocurrencia de alguna de las causales previstas;</w:t>
      </w:r>
    </w:p>
    <w:p w:rsidR="00BA7571" w:rsidRDefault="00FA15AE" w:rsidP="00BA75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BA757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 w:rsidR="00BA7571">
        <w:rPr>
          <w:rFonts w:ascii="Arial" w:hAnsi="Arial" w:cs="Arial"/>
          <w:sz w:val="24"/>
          <w:szCs w:val="24"/>
        </w:rPr>
        <w:t xml:space="preserve"> que el A</w:t>
      </w:r>
      <w:r>
        <w:rPr>
          <w:rFonts w:ascii="Arial" w:hAnsi="Arial" w:cs="Arial"/>
          <w:sz w:val="24"/>
          <w:szCs w:val="24"/>
        </w:rPr>
        <w:t>rt</w:t>
      </w:r>
      <w:r w:rsidR="00BA7571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 del Pliego de Condiciones establece que el periodo de contratación finaliza por alguna de las siguientes causas lo que suceda primero: </w:t>
      </w:r>
      <w:r w:rsidRPr="00BA7571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 los 3 años de comenzado el servicio y </w:t>
      </w:r>
      <w:r w:rsidRPr="00BA7571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se agote el monto adjudicado, </w:t>
      </w:r>
      <w:r w:rsidRPr="00BA7571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la Administración la de por concluida por finalización de  las condicionantes que dieron  origen a la contratación</w:t>
      </w:r>
      <w:r w:rsidR="00BA7571">
        <w:rPr>
          <w:rFonts w:ascii="Arial" w:hAnsi="Arial" w:cs="Arial"/>
          <w:sz w:val="24"/>
          <w:szCs w:val="24"/>
        </w:rPr>
        <w:t>;</w:t>
      </w:r>
    </w:p>
    <w:p w:rsidR="00BA7571" w:rsidRDefault="00FA15AE" w:rsidP="00BA757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BA7571">
        <w:rPr>
          <w:rFonts w:ascii="Arial" w:hAnsi="Arial" w:cs="Arial"/>
          <w:b/>
          <w:sz w:val="24"/>
          <w:szCs w:val="24"/>
        </w:rPr>
        <w:t>2)</w:t>
      </w:r>
      <w:r w:rsidR="00BA75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Administración actuante contravin</w:t>
      </w:r>
      <w:r w:rsidR="00BA7571">
        <w:rPr>
          <w:rFonts w:ascii="Arial" w:hAnsi="Arial" w:cs="Arial"/>
          <w:sz w:val="24"/>
          <w:szCs w:val="24"/>
        </w:rPr>
        <w:t>o lo dispuesto por el referido A</w:t>
      </w:r>
      <w:r>
        <w:rPr>
          <w:rFonts w:ascii="Arial" w:hAnsi="Arial" w:cs="Arial"/>
          <w:sz w:val="24"/>
          <w:szCs w:val="24"/>
        </w:rPr>
        <w:t>rt</w:t>
      </w:r>
      <w:r w:rsidR="00BA7571">
        <w:rPr>
          <w:rFonts w:ascii="Arial" w:hAnsi="Arial" w:cs="Arial"/>
          <w:sz w:val="24"/>
          <w:szCs w:val="24"/>
        </w:rPr>
        <w:t>ículo 3 de las bases del llamado</w:t>
      </w:r>
      <w:r>
        <w:rPr>
          <w:rFonts w:ascii="Arial" w:hAnsi="Arial" w:cs="Arial"/>
          <w:sz w:val="24"/>
          <w:szCs w:val="24"/>
        </w:rPr>
        <w:t>,</w:t>
      </w:r>
      <w:r w:rsidR="00BA7571">
        <w:rPr>
          <w:rFonts w:ascii="Arial" w:hAnsi="Arial" w:cs="Arial"/>
          <w:sz w:val="24"/>
          <w:szCs w:val="24"/>
        </w:rPr>
        <w:t xml:space="preserve"> en la adjudicación de los </w:t>
      </w:r>
      <w:proofErr w:type="spellStart"/>
      <w:r w:rsidR="00BA7571"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y 3, en tanto redujo el perí</w:t>
      </w:r>
      <w:r w:rsidR="00BA7571">
        <w:rPr>
          <w:rFonts w:ascii="Arial" w:hAnsi="Arial" w:cs="Arial"/>
          <w:sz w:val="24"/>
          <w:szCs w:val="24"/>
        </w:rPr>
        <w:t>odo de la contratación a un año</w:t>
      </w:r>
      <w:r>
        <w:rPr>
          <w:rFonts w:ascii="Arial" w:hAnsi="Arial" w:cs="Arial"/>
          <w:sz w:val="24"/>
          <w:szCs w:val="24"/>
        </w:rPr>
        <w:t>,</w:t>
      </w:r>
      <w:r w:rsidR="00BA7571">
        <w:rPr>
          <w:rFonts w:ascii="Arial" w:hAnsi="Arial" w:cs="Arial"/>
          <w:sz w:val="24"/>
          <w:szCs w:val="24"/>
        </w:rPr>
        <w:t xml:space="preserve"> por lo que se contravino el A</w:t>
      </w:r>
      <w:r>
        <w:rPr>
          <w:rFonts w:ascii="Arial" w:hAnsi="Arial" w:cs="Arial"/>
          <w:sz w:val="24"/>
          <w:szCs w:val="24"/>
        </w:rPr>
        <w:t>rt</w:t>
      </w:r>
      <w:r w:rsidR="00BA7571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63 del </w:t>
      </w:r>
      <w:r w:rsidR="00BA7571">
        <w:rPr>
          <w:rFonts w:ascii="Arial" w:hAnsi="Arial" w:cs="Arial"/>
          <w:sz w:val="24"/>
          <w:szCs w:val="24"/>
        </w:rPr>
        <w:t>TOCAF</w:t>
      </w:r>
      <w:r>
        <w:rPr>
          <w:rFonts w:ascii="Arial" w:hAnsi="Arial" w:cs="Arial"/>
          <w:sz w:val="24"/>
          <w:szCs w:val="24"/>
        </w:rPr>
        <w:t xml:space="preserve"> y por tanto el principio de estricto cumplimiento del Pliego de Condiciones Particulares, que deriva de los</w:t>
      </w:r>
      <w:r w:rsidR="00BA7571">
        <w:rPr>
          <w:rFonts w:ascii="Arial" w:hAnsi="Arial" w:cs="Arial"/>
          <w:sz w:val="24"/>
          <w:szCs w:val="24"/>
        </w:rPr>
        <w:t xml:space="preserve"> principios establecidos en el A</w:t>
      </w:r>
      <w:r>
        <w:rPr>
          <w:rFonts w:ascii="Arial" w:hAnsi="Arial" w:cs="Arial"/>
          <w:sz w:val="24"/>
          <w:szCs w:val="24"/>
        </w:rPr>
        <w:t>rtículo 149 del TOCAF;</w:t>
      </w:r>
    </w:p>
    <w:p w:rsidR="00FA15AE" w:rsidRDefault="00FA15AE" w:rsidP="00BA757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BA757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as</w:t>
      </w:r>
      <w:r w:rsidR="00BA7571">
        <w:rPr>
          <w:rFonts w:ascii="Arial" w:hAnsi="Arial" w:cs="Arial"/>
          <w:sz w:val="24"/>
          <w:szCs w:val="24"/>
        </w:rPr>
        <w:t>imismo, no se dio cumplimiento con lo dispuesto en el A</w:t>
      </w:r>
      <w:r>
        <w:rPr>
          <w:rFonts w:ascii="Arial" w:hAnsi="Arial" w:cs="Arial"/>
          <w:sz w:val="24"/>
          <w:szCs w:val="24"/>
        </w:rPr>
        <w:t>rtículo 15 del TOCAF, al comprometerse un gasto sin disponibilidad suficiente en el correspondiente rubro de imputación;</w:t>
      </w:r>
    </w:p>
    <w:p w:rsidR="00FA15AE" w:rsidRDefault="00FA15AE" w:rsidP="00BA7571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</w:t>
      </w:r>
      <w:r w:rsidR="00BA7571">
        <w:rPr>
          <w:rFonts w:ascii="Arial" w:hAnsi="Arial" w:cs="Arial"/>
          <w:sz w:val="24"/>
          <w:szCs w:val="24"/>
        </w:rPr>
        <w:t>uesto y a lo dispuesto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FA15AE" w:rsidRDefault="00BA7571" w:rsidP="00BA7571">
      <w:pPr>
        <w:pStyle w:val="Ttulo1"/>
        <w:jc w:val="center"/>
      </w:pPr>
      <w:r>
        <w:t>EL TRIBUNAL ACUERDA</w:t>
      </w:r>
    </w:p>
    <w:p w:rsidR="00FA15AE" w:rsidRDefault="00FA15AE" w:rsidP="00BA75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Observar el gasto; y </w:t>
      </w:r>
    </w:p>
    <w:p w:rsidR="00FA15AE" w:rsidRDefault="00FA15AE" w:rsidP="00BA75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Devolver las actuaciones.</w:t>
      </w:r>
    </w:p>
    <w:p w:rsidR="00FA15AE" w:rsidRDefault="00BA7571" w:rsidP="00BA7571">
      <w:pPr>
        <w:spacing w:after="0" w:line="360" w:lineRule="auto"/>
        <w:ind w:hanging="426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dc</w:t>
      </w:r>
      <w:bookmarkStart w:id="0" w:name="_GoBack"/>
      <w:bookmarkEnd w:id="0"/>
      <w:proofErr w:type="gramEnd"/>
    </w:p>
    <w:sectPr w:rsidR="00FA15AE" w:rsidSect="00155DBD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50" w:rsidRDefault="00A77250" w:rsidP="00A77250">
      <w:pPr>
        <w:spacing w:after="0" w:line="240" w:lineRule="auto"/>
      </w:pPr>
      <w:r>
        <w:separator/>
      </w:r>
    </w:p>
  </w:endnote>
  <w:endnote w:type="continuationSeparator" w:id="0">
    <w:p w:rsidR="00A77250" w:rsidRDefault="00A77250" w:rsidP="00A7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50" w:rsidRDefault="00A7725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A77250">
      <w:rPr>
        <w:noProof/>
        <w:lang w:val="es-ES"/>
      </w:rPr>
      <w:t>3</w:t>
    </w:r>
    <w:r>
      <w:fldChar w:fldCharType="end"/>
    </w:r>
  </w:p>
  <w:p w:rsidR="00A77250" w:rsidRDefault="00A772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50" w:rsidRDefault="00A77250" w:rsidP="00A77250">
      <w:pPr>
        <w:spacing w:after="0" w:line="240" w:lineRule="auto"/>
      </w:pPr>
      <w:r>
        <w:separator/>
      </w:r>
    </w:p>
  </w:footnote>
  <w:footnote w:type="continuationSeparator" w:id="0">
    <w:p w:rsidR="00A77250" w:rsidRDefault="00A77250" w:rsidP="00A7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A0CF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AE"/>
    <w:rsid w:val="00155DBD"/>
    <w:rsid w:val="00213822"/>
    <w:rsid w:val="00A77250"/>
    <w:rsid w:val="00BA7571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 w:line="360" w:lineRule="auto"/>
      <w:jc w:val="both"/>
      <w:outlineLvl w:val="0"/>
    </w:pPr>
    <w:rPr>
      <w:rFonts w:ascii="Arial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autoRedefine/>
    <w:uiPriority w:val="99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A772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250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772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250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 w:line="360" w:lineRule="auto"/>
      <w:jc w:val="both"/>
      <w:outlineLvl w:val="0"/>
    </w:pPr>
    <w:rPr>
      <w:rFonts w:ascii="Arial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autoRedefine/>
    <w:uiPriority w:val="99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A772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250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772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250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4397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2017-17-1-0001469</vt:lpstr>
    </vt:vector>
  </TitlesOfParts>
  <Company>Tribunal de Cuentas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2017-17-1-0001469</dc:title>
  <dc:creator>MARIA ALEJANDRA ALVAREZ LOPEZ</dc:creator>
  <cp:lastModifiedBy>Tribunal1</cp:lastModifiedBy>
  <cp:revision>2</cp:revision>
  <cp:lastPrinted>2017-03-31T18:08:00Z</cp:lastPrinted>
  <dcterms:created xsi:type="dcterms:W3CDTF">2017-03-31T18:09:00Z</dcterms:created>
  <dcterms:modified xsi:type="dcterms:W3CDTF">2017-03-31T18:09:00Z</dcterms:modified>
</cp:coreProperties>
</file>