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D73C4" w14:textId="6359B27A" w:rsidR="006F0116" w:rsidRDefault="006F0116" w:rsidP="00C61614">
      <w:pPr>
        <w:tabs>
          <w:tab w:val="center" w:pos="4253"/>
        </w:tabs>
        <w:suppressAutoHyphens/>
        <w:jc w:val="right"/>
        <w:rPr>
          <w:rFonts w:cs="Arial"/>
          <w:b/>
          <w:sz w:val="28"/>
          <w:szCs w:val="28"/>
          <w:lang w:val="es-ES_tradnl"/>
        </w:rPr>
      </w:pPr>
      <w:bookmarkStart w:id="0" w:name="_GoBack"/>
      <w:bookmarkEnd w:id="0"/>
      <w:r w:rsidRPr="00BB7B59">
        <w:rPr>
          <w:rFonts w:cs="Arial"/>
          <w:b/>
          <w:sz w:val="28"/>
          <w:szCs w:val="28"/>
          <w:lang w:val="es-ES_tradnl"/>
        </w:rPr>
        <w:t xml:space="preserve">RES. </w:t>
      </w:r>
      <w:r w:rsidR="00BB7B59">
        <w:rPr>
          <w:rFonts w:cs="Arial"/>
          <w:b/>
          <w:sz w:val="28"/>
          <w:szCs w:val="28"/>
          <w:lang w:val="es-ES_tradnl"/>
        </w:rPr>
        <w:t>3913</w:t>
      </w:r>
      <w:r w:rsidRPr="00BB7B59">
        <w:rPr>
          <w:rFonts w:cs="Arial"/>
          <w:b/>
          <w:sz w:val="28"/>
          <w:szCs w:val="28"/>
          <w:lang w:val="es-ES_tradnl"/>
        </w:rPr>
        <w:t>/16</w:t>
      </w:r>
    </w:p>
    <w:p w14:paraId="75E87960" w14:textId="77777777" w:rsidR="00BC0F9E" w:rsidRPr="00BB7B59" w:rsidRDefault="00BC0F9E" w:rsidP="00C61614">
      <w:pPr>
        <w:tabs>
          <w:tab w:val="center" w:pos="4253"/>
        </w:tabs>
        <w:suppressAutoHyphens/>
        <w:jc w:val="right"/>
        <w:rPr>
          <w:rFonts w:cs="Arial"/>
          <w:b/>
          <w:sz w:val="28"/>
          <w:szCs w:val="28"/>
          <w:lang w:val="es-ES_tradnl"/>
        </w:rPr>
      </w:pPr>
    </w:p>
    <w:p w14:paraId="4F4DCFDD" w14:textId="77777777" w:rsidR="006F0116" w:rsidRPr="006F0116" w:rsidRDefault="006F0116" w:rsidP="00662BF1">
      <w:pPr>
        <w:tabs>
          <w:tab w:val="center" w:pos="4253"/>
        </w:tabs>
        <w:suppressAutoHyphens/>
        <w:jc w:val="center"/>
        <w:rPr>
          <w:rFonts w:cs="Arial"/>
          <w:b/>
          <w:lang w:val="es-ES_tradnl"/>
        </w:rPr>
      </w:pPr>
      <w:r w:rsidRPr="006F0116">
        <w:rPr>
          <w:rFonts w:cs="Arial"/>
          <w:b/>
          <w:lang w:val="es-ES_tradnl"/>
        </w:rPr>
        <w:t>RESOLUCION ADOPTADA POR EL</w:t>
      </w:r>
    </w:p>
    <w:p w14:paraId="772C226E" w14:textId="77777777" w:rsidR="006F0116" w:rsidRPr="006F0116" w:rsidRDefault="006F0116" w:rsidP="00662BF1">
      <w:pPr>
        <w:tabs>
          <w:tab w:val="left" w:pos="-720"/>
        </w:tabs>
        <w:suppressAutoHyphens/>
        <w:jc w:val="center"/>
        <w:rPr>
          <w:rFonts w:cs="Arial"/>
          <w:b/>
          <w:lang w:val="es-ES_tradnl"/>
        </w:rPr>
      </w:pPr>
    </w:p>
    <w:p w14:paraId="7331CB4C" w14:textId="77777777" w:rsidR="006F0116" w:rsidRPr="006F0116" w:rsidRDefault="006F0116" w:rsidP="00662BF1">
      <w:pPr>
        <w:tabs>
          <w:tab w:val="center" w:pos="4253"/>
        </w:tabs>
        <w:suppressAutoHyphens/>
        <w:jc w:val="center"/>
        <w:rPr>
          <w:rFonts w:cs="Arial"/>
          <w:b/>
          <w:lang w:val="es-ES_tradnl"/>
        </w:rPr>
      </w:pPr>
      <w:r w:rsidRPr="006F0116">
        <w:rPr>
          <w:rFonts w:cs="Arial"/>
          <w:b/>
          <w:lang w:val="es-ES_tradnl"/>
        </w:rPr>
        <w:t>TRIBUNAL DE CUENTAS</w:t>
      </w:r>
    </w:p>
    <w:p w14:paraId="58510DD5" w14:textId="77777777" w:rsidR="006F0116" w:rsidRPr="006F0116" w:rsidRDefault="006F0116" w:rsidP="00662BF1">
      <w:pPr>
        <w:tabs>
          <w:tab w:val="left" w:pos="-720"/>
        </w:tabs>
        <w:suppressAutoHyphens/>
        <w:jc w:val="center"/>
        <w:rPr>
          <w:rFonts w:cs="Arial"/>
          <w:b/>
          <w:lang w:val="es-ES_tradnl"/>
        </w:rPr>
      </w:pPr>
    </w:p>
    <w:p w14:paraId="388C7B85" w14:textId="77777777" w:rsidR="006F0116" w:rsidRPr="006F0116" w:rsidRDefault="006F0116" w:rsidP="00662BF1">
      <w:pPr>
        <w:tabs>
          <w:tab w:val="center" w:pos="4253"/>
        </w:tabs>
        <w:suppressAutoHyphens/>
        <w:jc w:val="center"/>
        <w:rPr>
          <w:rFonts w:cs="Arial"/>
          <w:b/>
          <w:lang w:val="es-ES_tradnl"/>
        </w:rPr>
      </w:pPr>
      <w:r w:rsidRPr="006F0116">
        <w:rPr>
          <w:rFonts w:cs="Arial"/>
          <w:b/>
          <w:lang w:val="es-ES_tradnl"/>
        </w:rPr>
        <w:t>EN SESION DE FECHA 9 DE NOVIEMBRE DE 2016</w:t>
      </w:r>
    </w:p>
    <w:p w14:paraId="006B80AD" w14:textId="77777777" w:rsidR="006F0116" w:rsidRPr="006F0116" w:rsidRDefault="006F0116" w:rsidP="00662BF1">
      <w:pPr>
        <w:tabs>
          <w:tab w:val="center" w:pos="4253"/>
        </w:tabs>
        <w:suppressAutoHyphens/>
        <w:jc w:val="center"/>
        <w:rPr>
          <w:rFonts w:cs="Arial"/>
          <w:b/>
          <w:lang w:val="es-ES_tradnl"/>
        </w:rPr>
      </w:pPr>
    </w:p>
    <w:p w14:paraId="37341AC8" w14:textId="51B9767F" w:rsidR="006F0116" w:rsidRPr="00BB7B59" w:rsidRDefault="006F0116" w:rsidP="00662BF1">
      <w:pPr>
        <w:tabs>
          <w:tab w:val="center" w:pos="4253"/>
        </w:tabs>
        <w:suppressAutoHyphens/>
        <w:jc w:val="center"/>
        <w:rPr>
          <w:rFonts w:cs="Arial"/>
          <w:b/>
          <w:lang w:val="es-UY"/>
        </w:rPr>
      </w:pPr>
      <w:r w:rsidRPr="00BB7B59">
        <w:rPr>
          <w:rFonts w:cs="Arial"/>
          <w:b/>
          <w:lang w:val="es-UY"/>
        </w:rPr>
        <w:t>(E. E. Nº 201</w:t>
      </w:r>
      <w:r w:rsidR="00BB7B59" w:rsidRPr="00BB7B59">
        <w:rPr>
          <w:rFonts w:cs="Arial"/>
          <w:b/>
          <w:lang w:val="es-UY"/>
        </w:rPr>
        <w:t>6</w:t>
      </w:r>
      <w:r w:rsidRPr="00BB7B59">
        <w:rPr>
          <w:rFonts w:cs="Arial"/>
          <w:b/>
          <w:lang w:val="es-UY"/>
        </w:rPr>
        <w:t>-17-1-000</w:t>
      </w:r>
      <w:r w:rsidR="00BB7B59" w:rsidRPr="00BB7B59">
        <w:rPr>
          <w:rFonts w:cs="Arial"/>
          <w:b/>
          <w:lang w:val="es-UY"/>
        </w:rPr>
        <w:t>3675</w:t>
      </w:r>
      <w:r w:rsidRPr="00BB7B59">
        <w:rPr>
          <w:rFonts w:cs="Arial"/>
          <w:b/>
          <w:lang w:val="es-UY"/>
        </w:rPr>
        <w:t xml:space="preserve">, </w:t>
      </w:r>
      <w:proofErr w:type="spellStart"/>
      <w:r w:rsidRPr="00BB7B59">
        <w:rPr>
          <w:rFonts w:cs="Arial"/>
          <w:b/>
          <w:lang w:val="es-UY"/>
        </w:rPr>
        <w:t>Ent</w:t>
      </w:r>
      <w:r w:rsidR="00BB7B59" w:rsidRPr="00BB7B59">
        <w:rPr>
          <w:rFonts w:cs="Arial"/>
          <w:b/>
          <w:lang w:val="es-UY"/>
        </w:rPr>
        <w:t>s</w:t>
      </w:r>
      <w:proofErr w:type="spellEnd"/>
      <w:r w:rsidRPr="00BB7B59">
        <w:rPr>
          <w:rFonts w:cs="Arial"/>
          <w:b/>
          <w:lang w:val="es-UY"/>
        </w:rPr>
        <w:t>. N</w:t>
      </w:r>
      <w:r w:rsidR="00BB7B59">
        <w:rPr>
          <w:rFonts w:cs="Arial"/>
          <w:b/>
          <w:lang w:val="es-UY"/>
        </w:rPr>
        <w:t>os.</w:t>
      </w:r>
      <w:r w:rsidRPr="00BB7B59">
        <w:rPr>
          <w:rFonts w:cs="Arial"/>
          <w:b/>
          <w:lang w:val="es-UY"/>
        </w:rPr>
        <w:t xml:space="preserve"> </w:t>
      </w:r>
      <w:r w:rsidR="00BB7B59">
        <w:rPr>
          <w:rFonts w:cs="Arial"/>
          <w:b/>
          <w:lang w:val="es-UY"/>
        </w:rPr>
        <w:t>2815</w:t>
      </w:r>
      <w:r w:rsidRPr="00BB7B59">
        <w:rPr>
          <w:rFonts w:cs="Arial"/>
          <w:b/>
          <w:lang w:val="es-UY"/>
        </w:rPr>
        <w:t>/</w:t>
      </w:r>
      <w:r w:rsidR="00BB7B59">
        <w:rPr>
          <w:rFonts w:cs="Arial"/>
          <w:b/>
          <w:lang w:val="es-UY"/>
        </w:rPr>
        <w:t>16, 3112/16 y 3522/16</w:t>
      </w:r>
      <w:r w:rsidRPr="00BB7B59">
        <w:rPr>
          <w:rFonts w:cs="Arial"/>
          <w:b/>
          <w:lang w:val="es-UY"/>
        </w:rPr>
        <w:t>)</w:t>
      </w:r>
    </w:p>
    <w:p w14:paraId="64F42B65" w14:textId="77777777" w:rsidR="006F0116" w:rsidRDefault="006F0116">
      <w:pPr>
        <w:tabs>
          <w:tab w:val="center" w:pos="4253"/>
        </w:tabs>
        <w:suppressAutoHyphens/>
        <w:jc w:val="center"/>
        <w:rPr>
          <w:rFonts w:cs="Arial"/>
          <w:b/>
          <w:lang w:val="es-UY"/>
        </w:rPr>
      </w:pPr>
    </w:p>
    <w:p w14:paraId="72855707" w14:textId="77777777" w:rsidR="00BC0F9E" w:rsidRPr="00BB7B59" w:rsidRDefault="00BC0F9E">
      <w:pPr>
        <w:tabs>
          <w:tab w:val="center" w:pos="4253"/>
        </w:tabs>
        <w:suppressAutoHyphens/>
        <w:jc w:val="center"/>
        <w:rPr>
          <w:rFonts w:cs="Arial"/>
          <w:b/>
          <w:lang w:val="es-UY"/>
        </w:rPr>
      </w:pPr>
    </w:p>
    <w:p w14:paraId="3984526E" w14:textId="77777777" w:rsidR="006F0116" w:rsidRPr="00BB7B59" w:rsidRDefault="006F0116" w:rsidP="00305CD7">
      <w:pPr>
        <w:tabs>
          <w:tab w:val="center" w:pos="4253"/>
        </w:tabs>
        <w:suppressAutoHyphens/>
        <w:jc w:val="right"/>
        <w:rPr>
          <w:rFonts w:cs="Arial"/>
          <w:b/>
          <w:lang w:val="es-UY"/>
        </w:rPr>
      </w:pPr>
    </w:p>
    <w:p w14:paraId="10E3F6D8" w14:textId="53CD9A78" w:rsidR="006163BC" w:rsidRPr="006163BC" w:rsidRDefault="006163BC" w:rsidP="00BF5205">
      <w:pPr>
        <w:spacing w:line="360" w:lineRule="auto"/>
        <w:ind w:firstLine="851"/>
        <w:jc w:val="both"/>
        <w:rPr>
          <w:rFonts w:eastAsia="Calibri" w:cs="Arial"/>
          <w:b/>
          <w:szCs w:val="22"/>
          <w:lang w:val="es-MX" w:eastAsia="en-US"/>
        </w:rPr>
      </w:pPr>
      <w:r w:rsidRPr="006163BC">
        <w:rPr>
          <w:rFonts w:eastAsia="Calibri"/>
          <w:b/>
          <w:szCs w:val="22"/>
          <w:lang w:val="es-UY" w:eastAsia="en-US"/>
        </w:rPr>
        <w:t>VISTO:</w:t>
      </w:r>
      <w:r w:rsidRPr="006163BC">
        <w:rPr>
          <w:rFonts w:eastAsia="Calibri"/>
          <w:szCs w:val="22"/>
          <w:lang w:val="es-UY" w:eastAsia="en-US"/>
        </w:rPr>
        <w:t xml:space="preserve"> que este Tribunal ha examinado los estados financieros de </w:t>
      </w:r>
      <w:r w:rsidRPr="006163BC">
        <w:rPr>
          <w:rFonts w:cs="Arial"/>
          <w:lang w:val="es-UY"/>
        </w:rPr>
        <w:t xml:space="preserve"> la Agencia Nacional de Desarrollo (ANDE) que comprenden el Estado de Situación Patrimonial al 31/12/2015, los correspondientes Estados de Resultados y de Origen y Aplicación de Fondos, el Estado de Evolución del Patrimonio por el </w:t>
      </w:r>
      <w:r w:rsidR="00552256">
        <w:rPr>
          <w:rFonts w:cs="Arial"/>
          <w:lang w:val="es-UY"/>
        </w:rPr>
        <w:t>E</w:t>
      </w:r>
      <w:r w:rsidRPr="006163BC">
        <w:rPr>
          <w:rFonts w:cs="Arial"/>
          <w:lang w:val="es-UY"/>
        </w:rPr>
        <w:t>jercicio comprendido entre</w:t>
      </w:r>
      <w:r w:rsidR="00BF3CD0">
        <w:rPr>
          <w:rFonts w:cs="Arial"/>
          <w:lang w:val="es-UY"/>
        </w:rPr>
        <w:t xml:space="preserve"> el 08/07/2015 y el 31/12/2015,</w:t>
      </w:r>
      <w:r w:rsidRPr="006163BC">
        <w:rPr>
          <w:rFonts w:cs="Arial"/>
          <w:lang w:val="es-UY"/>
        </w:rPr>
        <w:t xml:space="preserve"> las Notas de políticas contables significativas y otras notas explicativas a los estado</w:t>
      </w:r>
      <w:r w:rsidR="00BF5205">
        <w:rPr>
          <w:rFonts w:cs="Arial"/>
          <w:lang w:val="es-UY"/>
        </w:rPr>
        <w:t>s financieros y anexo;</w:t>
      </w:r>
    </w:p>
    <w:p w14:paraId="14817784" w14:textId="77777777" w:rsidR="006163BC" w:rsidRPr="006163BC" w:rsidRDefault="006163BC" w:rsidP="00BF5205">
      <w:pPr>
        <w:spacing w:line="360" w:lineRule="auto"/>
        <w:ind w:firstLine="851"/>
        <w:jc w:val="both"/>
        <w:rPr>
          <w:rFonts w:eastAsia="Calibri" w:cs="Arial"/>
          <w:szCs w:val="22"/>
          <w:lang w:val="es-MX" w:eastAsia="en-US"/>
        </w:rPr>
      </w:pPr>
      <w:r w:rsidRPr="006163BC">
        <w:rPr>
          <w:rFonts w:eastAsia="Calibri" w:cs="Arial"/>
          <w:b/>
          <w:szCs w:val="22"/>
          <w:lang w:val="es-MX" w:eastAsia="en-US"/>
        </w:rPr>
        <w:t>RESULTANDO:</w:t>
      </w:r>
      <w:r w:rsidRPr="006163BC">
        <w:rPr>
          <w:rFonts w:eastAsia="Calibri" w:cs="Arial"/>
          <w:b/>
          <w:color w:val="FF0000"/>
          <w:szCs w:val="22"/>
          <w:lang w:val="es-MX" w:eastAsia="en-US"/>
        </w:rPr>
        <w:t xml:space="preserve"> </w:t>
      </w:r>
      <w:r w:rsidRPr="006163BC">
        <w:rPr>
          <w:rFonts w:eastAsia="Calibri" w:cs="Arial"/>
          <w:szCs w:val="22"/>
          <w:lang w:val="es-MX" w:eastAsia="en-US"/>
        </w:rPr>
        <w:t xml:space="preserve">que el </w:t>
      </w:r>
      <w:r w:rsidRPr="006163BC">
        <w:rPr>
          <w:rFonts w:eastAsia="Calibri" w:cs="Arial"/>
          <w:szCs w:val="22"/>
          <w:lang w:val="es-UY" w:eastAsia="en-US"/>
        </w:rPr>
        <w:t>examen fue realizado de acuerdo con los Principios Fundamentales de Auditoría (ISSAI 100 y 200) y las Directrices de Auditoría Financiera (ISSAI 1000 a 1810) de la Organización Internacional de Entidades Fiscalizadoras Superiores (INTOSAI);</w:t>
      </w:r>
    </w:p>
    <w:p w14:paraId="45D2BB86" w14:textId="77777777" w:rsidR="006163BC" w:rsidRPr="006163BC" w:rsidRDefault="006163BC" w:rsidP="00BF5205">
      <w:pPr>
        <w:spacing w:line="360" w:lineRule="auto"/>
        <w:ind w:firstLine="851"/>
        <w:jc w:val="both"/>
        <w:rPr>
          <w:rFonts w:eastAsia="Calibri" w:cs="Arial"/>
          <w:szCs w:val="22"/>
          <w:lang w:val="es-MX" w:eastAsia="en-US"/>
        </w:rPr>
      </w:pPr>
      <w:r w:rsidRPr="006163BC">
        <w:rPr>
          <w:rFonts w:eastAsia="Calibri" w:cs="Arial"/>
          <w:b/>
          <w:szCs w:val="22"/>
          <w:lang w:val="es-MX" w:eastAsia="en-US"/>
        </w:rPr>
        <w:t>CONSIDERANDO:</w:t>
      </w:r>
      <w:r w:rsidRPr="006163BC">
        <w:rPr>
          <w:rFonts w:eastAsia="Calibri" w:cs="Arial"/>
          <w:szCs w:val="22"/>
          <w:lang w:val="es-MX" w:eastAsia="en-US"/>
        </w:rPr>
        <w:t xml:space="preserve"> que las conclusiones y evidencias obtenidas son las que se expresan en el Informe de Auditoría, que incluye Dictamen e Informe a la Administración;</w:t>
      </w:r>
    </w:p>
    <w:p w14:paraId="45BB1FCE" w14:textId="5DF86467" w:rsidR="006163BC" w:rsidRPr="006163BC" w:rsidRDefault="006163BC" w:rsidP="00BF5205">
      <w:pPr>
        <w:spacing w:line="360" w:lineRule="auto"/>
        <w:ind w:firstLine="851"/>
        <w:jc w:val="both"/>
        <w:rPr>
          <w:rFonts w:eastAsia="Calibri"/>
          <w:spacing w:val="-3"/>
          <w:szCs w:val="22"/>
          <w:lang w:val="es-MX" w:eastAsia="en-US"/>
        </w:rPr>
      </w:pPr>
      <w:r w:rsidRPr="006163BC">
        <w:rPr>
          <w:rFonts w:eastAsia="Calibri" w:cs="Arial"/>
          <w:b/>
          <w:szCs w:val="22"/>
          <w:lang w:val="es-MX" w:eastAsia="en-US"/>
        </w:rPr>
        <w:t>ATENTO:</w:t>
      </w:r>
      <w:r w:rsidRPr="006163BC">
        <w:rPr>
          <w:rFonts w:eastAsia="Calibri" w:cs="Arial"/>
          <w:szCs w:val="22"/>
          <w:lang w:val="es-MX" w:eastAsia="en-US"/>
        </w:rPr>
        <w:t xml:space="preserve"> </w:t>
      </w:r>
      <w:r w:rsidRPr="006163BC">
        <w:rPr>
          <w:rFonts w:eastAsia="Calibri" w:cs="Arial"/>
          <w:szCs w:val="22"/>
          <w:lang w:val="es-UY" w:eastAsia="en-US"/>
        </w:rPr>
        <w:t xml:space="preserve">a lo dispuesto por los Artículos </w:t>
      </w:r>
      <w:r w:rsidRPr="006163BC">
        <w:rPr>
          <w:rFonts w:eastAsia="Calibri"/>
          <w:spacing w:val="-3"/>
          <w:szCs w:val="22"/>
          <w:lang w:val="es-MX" w:eastAsia="en-US"/>
        </w:rPr>
        <w:t xml:space="preserve">159 y 177 del Texto Ordenado de </w:t>
      </w:r>
      <w:r w:rsidR="00552256" w:rsidRPr="006163BC">
        <w:rPr>
          <w:rFonts w:eastAsia="Calibri"/>
          <w:spacing w:val="-3"/>
          <w:szCs w:val="22"/>
          <w:lang w:val="es-MX" w:eastAsia="en-US"/>
        </w:rPr>
        <w:t xml:space="preserve">Contabilidad y </w:t>
      </w:r>
      <w:r w:rsidRPr="006163BC">
        <w:rPr>
          <w:rFonts w:eastAsia="Calibri"/>
          <w:spacing w:val="-3"/>
          <w:szCs w:val="22"/>
          <w:lang w:val="es-MX" w:eastAsia="en-US"/>
        </w:rPr>
        <w:t>Administración Financiera (TOCAF);</w:t>
      </w:r>
    </w:p>
    <w:p w14:paraId="003AB599" w14:textId="77777777" w:rsidR="006163BC" w:rsidRPr="006163BC" w:rsidRDefault="006163BC" w:rsidP="00BF5205">
      <w:pPr>
        <w:keepNext/>
        <w:spacing w:line="360" w:lineRule="auto"/>
        <w:jc w:val="center"/>
        <w:outlineLvl w:val="3"/>
        <w:rPr>
          <w:rFonts w:cs="Arial"/>
          <w:b/>
          <w:lang w:val="es-MX"/>
        </w:rPr>
      </w:pPr>
      <w:r w:rsidRPr="006163BC">
        <w:rPr>
          <w:rFonts w:cs="Arial"/>
          <w:b/>
          <w:lang w:val="es-MX"/>
        </w:rPr>
        <w:t>EL TRIBUNAL ACUERDA</w:t>
      </w:r>
    </w:p>
    <w:p w14:paraId="6755667A" w14:textId="0C3722BA" w:rsidR="006163BC" w:rsidRPr="00867CC3" w:rsidRDefault="006163BC" w:rsidP="00867CC3">
      <w:pPr>
        <w:pStyle w:val="Prrafodelista"/>
        <w:numPr>
          <w:ilvl w:val="0"/>
          <w:numId w:val="1"/>
        </w:numPr>
        <w:tabs>
          <w:tab w:val="num" w:pos="720"/>
        </w:tabs>
        <w:spacing w:line="360" w:lineRule="auto"/>
        <w:jc w:val="both"/>
        <w:rPr>
          <w:rFonts w:eastAsia="Calibri"/>
          <w:spacing w:val="-3"/>
          <w:szCs w:val="22"/>
          <w:lang w:val="es-MX" w:eastAsia="en-US"/>
        </w:rPr>
      </w:pPr>
      <w:r w:rsidRPr="00867CC3">
        <w:rPr>
          <w:rFonts w:eastAsia="Calibri"/>
          <w:spacing w:val="-3"/>
          <w:szCs w:val="22"/>
          <w:lang w:val="es-MX" w:eastAsia="en-US"/>
        </w:rPr>
        <w:t>Expedirse en los términos del Informe de Auditoría que se adjunta;</w:t>
      </w:r>
    </w:p>
    <w:p w14:paraId="5249437E" w14:textId="11F0AD11" w:rsidR="006163BC" w:rsidRPr="00867CC3" w:rsidRDefault="006163BC" w:rsidP="00867CC3">
      <w:pPr>
        <w:pStyle w:val="Prrafodelista"/>
        <w:numPr>
          <w:ilvl w:val="0"/>
          <w:numId w:val="1"/>
        </w:numPr>
        <w:tabs>
          <w:tab w:val="num" w:pos="720"/>
        </w:tabs>
        <w:spacing w:line="360" w:lineRule="auto"/>
        <w:jc w:val="both"/>
        <w:rPr>
          <w:rFonts w:eastAsia="Calibri"/>
          <w:spacing w:val="-3"/>
          <w:szCs w:val="22"/>
          <w:lang w:val="es-MX" w:eastAsia="en-US"/>
        </w:rPr>
      </w:pPr>
      <w:r w:rsidRPr="00867CC3">
        <w:rPr>
          <w:rFonts w:eastAsia="Calibri"/>
          <w:spacing w:val="-3"/>
          <w:szCs w:val="22"/>
          <w:lang w:val="es-MX" w:eastAsia="en-US"/>
        </w:rPr>
        <w:t>A los efectos dispuestos por el Artículo 177 del TOCAF, el Organismo deberá publicar los estados financieros referidos y el Dictamen correspondiente incluido en el Informe de Auditoría;</w:t>
      </w:r>
    </w:p>
    <w:p w14:paraId="22943E5D" w14:textId="7EAEC93A" w:rsidR="00867CC3" w:rsidRPr="00867CC3" w:rsidRDefault="006163BC" w:rsidP="00867CC3">
      <w:pPr>
        <w:pStyle w:val="Prrafodelista"/>
        <w:numPr>
          <w:ilvl w:val="0"/>
          <w:numId w:val="1"/>
        </w:numPr>
        <w:tabs>
          <w:tab w:val="num" w:pos="720"/>
        </w:tabs>
        <w:spacing w:line="360" w:lineRule="auto"/>
        <w:jc w:val="both"/>
        <w:rPr>
          <w:rFonts w:eastAsia="Calibri"/>
          <w:spacing w:val="-3"/>
          <w:szCs w:val="22"/>
          <w:lang w:val="es-MX" w:eastAsia="en-US"/>
        </w:rPr>
      </w:pPr>
      <w:r w:rsidRPr="00867CC3">
        <w:rPr>
          <w:rFonts w:eastAsia="Calibri"/>
          <w:spacing w:val="-3"/>
          <w:szCs w:val="22"/>
          <w:lang w:val="es-MX" w:eastAsia="en-US"/>
        </w:rPr>
        <w:lastRenderedPageBreak/>
        <w:t>Comunicar la presente Resolución al Ministerio de Economía y Finanzas y al Organismo; y</w:t>
      </w:r>
    </w:p>
    <w:p w14:paraId="4868653A" w14:textId="365AEF2A" w:rsidR="00867CC3" w:rsidRPr="00867CC3" w:rsidRDefault="006163BC" w:rsidP="00867CC3">
      <w:pPr>
        <w:pStyle w:val="Prrafodelista"/>
        <w:numPr>
          <w:ilvl w:val="0"/>
          <w:numId w:val="1"/>
        </w:numPr>
        <w:tabs>
          <w:tab w:val="num" w:pos="720"/>
        </w:tabs>
        <w:spacing w:line="360" w:lineRule="auto"/>
        <w:jc w:val="both"/>
        <w:rPr>
          <w:rFonts w:eastAsia="Calibri"/>
          <w:spacing w:val="-3"/>
          <w:szCs w:val="22"/>
          <w:lang w:val="es-MX" w:eastAsia="en-US"/>
        </w:rPr>
      </w:pPr>
      <w:r w:rsidRPr="00867CC3">
        <w:rPr>
          <w:spacing w:val="-3"/>
          <w:szCs w:val="20"/>
          <w:lang w:val="es-MX"/>
        </w:rPr>
        <w:t>Dar cuenta a la Asamblea General</w:t>
      </w:r>
      <w:r w:rsidR="00867CC3" w:rsidRPr="00867CC3">
        <w:rPr>
          <w:spacing w:val="-3"/>
          <w:szCs w:val="20"/>
          <w:lang w:val="es-MX"/>
        </w:rPr>
        <w:t>.</w:t>
      </w:r>
    </w:p>
    <w:p w14:paraId="605709A0" w14:textId="77777777" w:rsidR="00867CC3" w:rsidRDefault="00867CC3" w:rsidP="00867CC3">
      <w:pPr>
        <w:tabs>
          <w:tab w:val="num" w:pos="720"/>
        </w:tabs>
        <w:spacing w:line="360" w:lineRule="auto"/>
        <w:jc w:val="both"/>
        <w:rPr>
          <w:rFonts w:eastAsia="Calibri"/>
          <w:spacing w:val="-3"/>
          <w:szCs w:val="22"/>
          <w:lang w:val="es-MX" w:eastAsia="en-US"/>
        </w:rPr>
      </w:pPr>
    </w:p>
    <w:p w14:paraId="0282552E" w14:textId="5D0A8540" w:rsidR="00867CC3" w:rsidRDefault="00867CC3" w:rsidP="00867CC3">
      <w:pPr>
        <w:tabs>
          <w:tab w:val="num" w:pos="720"/>
        </w:tabs>
        <w:spacing w:line="360" w:lineRule="auto"/>
        <w:jc w:val="both"/>
        <w:rPr>
          <w:rFonts w:eastAsia="Calibri"/>
          <w:spacing w:val="-3"/>
          <w:szCs w:val="22"/>
          <w:lang w:val="es-MX" w:eastAsia="en-US"/>
        </w:rPr>
      </w:pPr>
      <w:proofErr w:type="spellStart"/>
      <w:proofErr w:type="gramStart"/>
      <w:r>
        <w:rPr>
          <w:rFonts w:eastAsia="Calibri"/>
          <w:spacing w:val="-3"/>
          <w:szCs w:val="22"/>
          <w:lang w:val="es-MX" w:eastAsia="en-US"/>
        </w:rPr>
        <w:t>ag</w:t>
      </w:r>
      <w:proofErr w:type="spellEnd"/>
      <w:proofErr w:type="gramEnd"/>
    </w:p>
    <w:p w14:paraId="00688AD4" w14:textId="77777777" w:rsidR="00BC0F9E" w:rsidRDefault="00BC0F9E" w:rsidP="00867CC3">
      <w:pPr>
        <w:tabs>
          <w:tab w:val="num" w:pos="720"/>
        </w:tabs>
        <w:spacing w:line="360" w:lineRule="auto"/>
        <w:jc w:val="both"/>
        <w:rPr>
          <w:rFonts w:eastAsia="Calibri"/>
          <w:spacing w:val="-3"/>
          <w:szCs w:val="22"/>
          <w:lang w:val="es-MX" w:eastAsia="en-US"/>
        </w:rPr>
      </w:pPr>
    </w:p>
    <w:p w14:paraId="00CEAE32" w14:textId="77777777" w:rsidR="00BC0F9E" w:rsidRDefault="00BC0F9E" w:rsidP="00867CC3">
      <w:pPr>
        <w:tabs>
          <w:tab w:val="num" w:pos="720"/>
        </w:tabs>
        <w:spacing w:line="360" w:lineRule="auto"/>
        <w:jc w:val="both"/>
        <w:rPr>
          <w:rFonts w:eastAsia="Calibri"/>
          <w:spacing w:val="-3"/>
          <w:szCs w:val="22"/>
          <w:lang w:val="es-MX" w:eastAsia="en-US"/>
        </w:rPr>
      </w:pPr>
    </w:p>
    <w:p w14:paraId="13FD7342" w14:textId="77777777" w:rsidR="00BC0F9E" w:rsidRDefault="00BC0F9E" w:rsidP="00867CC3">
      <w:pPr>
        <w:tabs>
          <w:tab w:val="num" w:pos="720"/>
        </w:tabs>
        <w:spacing w:line="360" w:lineRule="auto"/>
        <w:jc w:val="both"/>
        <w:rPr>
          <w:rFonts w:eastAsia="Calibri"/>
          <w:spacing w:val="-3"/>
          <w:szCs w:val="22"/>
          <w:lang w:val="es-MX" w:eastAsia="en-US"/>
        </w:rPr>
      </w:pPr>
    </w:p>
    <w:p w14:paraId="7D3B5C34" w14:textId="77777777" w:rsidR="00BC0F9E" w:rsidRDefault="00BC0F9E" w:rsidP="00867CC3">
      <w:pPr>
        <w:tabs>
          <w:tab w:val="num" w:pos="720"/>
        </w:tabs>
        <w:spacing w:line="360" w:lineRule="auto"/>
        <w:jc w:val="both"/>
        <w:rPr>
          <w:rFonts w:eastAsia="Calibri"/>
          <w:spacing w:val="-3"/>
          <w:szCs w:val="22"/>
          <w:lang w:val="es-MX" w:eastAsia="en-US"/>
        </w:rPr>
      </w:pPr>
    </w:p>
    <w:p w14:paraId="694D2931" w14:textId="77777777" w:rsidR="00BC0F9E" w:rsidRDefault="00BC0F9E" w:rsidP="00867CC3">
      <w:pPr>
        <w:tabs>
          <w:tab w:val="num" w:pos="720"/>
        </w:tabs>
        <w:spacing w:line="360" w:lineRule="auto"/>
        <w:jc w:val="both"/>
        <w:rPr>
          <w:rFonts w:eastAsia="Calibri"/>
          <w:spacing w:val="-3"/>
          <w:szCs w:val="22"/>
          <w:lang w:val="es-MX" w:eastAsia="en-US"/>
        </w:rPr>
      </w:pPr>
    </w:p>
    <w:p w14:paraId="50322D6B" w14:textId="77777777" w:rsidR="00BC0F9E" w:rsidRDefault="00BC0F9E" w:rsidP="00867CC3">
      <w:pPr>
        <w:tabs>
          <w:tab w:val="num" w:pos="720"/>
        </w:tabs>
        <w:spacing w:line="360" w:lineRule="auto"/>
        <w:jc w:val="both"/>
        <w:rPr>
          <w:rFonts w:eastAsia="Calibri"/>
          <w:spacing w:val="-3"/>
          <w:szCs w:val="22"/>
          <w:lang w:val="es-MX" w:eastAsia="en-US"/>
        </w:rPr>
      </w:pPr>
    </w:p>
    <w:p w14:paraId="30053BF0" w14:textId="77777777" w:rsidR="00BC0F9E" w:rsidRDefault="00BC0F9E" w:rsidP="00867CC3">
      <w:pPr>
        <w:tabs>
          <w:tab w:val="num" w:pos="720"/>
        </w:tabs>
        <w:spacing w:line="360" w:lineRule="auto"/>
        <w:jc w:val="both"/>
        <w:rPr>
          <w:rFonts w:eastAsia="Calibri"/>
          <w:spacing w:val="-3"/>
          <w:szCs w:val="22"/>
          <w:lang w:val="es-MX" w:eastAsia="en-US"/>
        </w:rPr>
      </w:pPr>
    </w:p>
    <w:p w14:paraId="53D92666" w14:textId="77777777" w:rsidR="00BC0F9E" w:rsidRDefault="00BC0F9E" w:rsidP="00867CC3">
      <w:pPr>
        <w:tabs>
          <w:tab w:val="num" w:pos="720"/>
        </w:tabs>
        <w:spacing w:line="360" w:lineRule="auto"/>
        <w:jc w:val="both"/>
        <w:rPr>
          <w:rFonts w:eastAsia="Calibri"/>
          <w:spacing w:val="-3"/>
          <w:szCs w:val="22"/>
          <w:lang w:val="es-MX" w:eastAsia="en-US"/>
        </w:rPr>
      </w:pPr>
    </w:p>
    <w:p w14:paraId="4CA30A72" w14:textId="77777777" w:rsidR="00BC0F9E" w:rsidRDefault="00BC0F9E" w:rsidP="00867CC3">
      <w:pPr>
        <w:tabs>
          <w:tab w:val="num" w:pos="720"/>
        </w:tabs>
        <w:spacing w:line="360" w:lineRule="auto"/>
        <w:jc w:val="both"/>
        <w:rPr>
          <w:rFonts w:eastAsia="Calibri"/>
          <w:spacing w:val="-3"/>
          <w:szCs w:val="22"/>
          <w:lang w:val="es-MX" w:eastAsia="en-US"/>
        </w:rPr>
      </w:pPr>
    </w:p>
    <w:p w14:paraId="25D486C4" w14:textId="77777777" w:rsidR="00BC0F9E" w:rsidRDefault="00BC0F9E" w:rsidP="00867CC3">
      <w:pPr>
        <w:tabs>
          <w:tab w:val="num" w:pos="720"/>
        </w:tabs>
        <w:spacing w:line="360" w:lineRule="auto"/>
        <w:jc w:val="both"/>
        <w:rPr>
          <w:rFonts w:eastAsia="Calibri"/>
          <w:spacing w:val="-3"/>
          <w:szCs w:val="22"/>
          <w:lang w:val="es-MX" w:eastAsia="en-US"/>
        </w:rPr>
      </w:pPr>
    </w:p>
    <w:p w14:paraId="6542CE64" w14:textId="77777777" w:rsidR="00BC0F9E" w:rsidRDefault="00BC0F9E" w:rsidP="00867CC3">
      <w:pPr>
        <w:tabs>
          <w:tab w:val="num" w:pos="720"/>
        </w:tabs>
        <w:spacing w:line="360" w:lineRule="auto"/>
        <w:jc w:val="both"/>
        <w:rPr>
          <w:rFonts w:eastAsia="Calibri"/>
          <w:spacing w:val="-3"/>
          <w:szCs w:val="22"/>
          <w:lang w:val="es-MX" w:eastAsia="en-US"/>
        </w:rPr>
      </w:pPr>
    </w:p>
    <w:p w14:paraId="4EF4AD37" w14:textId="77777777" w:rsidR="00BC0F9E" w:rsidRDefault="00BC0F9E" w:rsidP="00867CC3">
      <w:pPr>
        <w:tabs>
          <w:tab w:val="num" w:pos="720"/>
        </w:tabs>
        <w:spacing w:line="360" w:lineRule="auto"/>
        <w:jc w:val="both"/>
        <w:rPr>
          <w:rFonts w:eastAsia="Calibri"/>
          <w:spacing w:val="-3"/>
          <w:szCs w:val="22"/>
          <w:lang w:val="es-MX" w:eastAsia="en-US"/>
        </w:rPr>
      </w:pPr>
    </w:p>
    <w:p w14:paraId="1BA5FD7C" w14:textId="77777777" w:rsidR="00BC0F9E" w:rsidRDefault="00BC0F9E" w:rsidP="00867CC3">
      <w:pPr>
        <w:tabs>
          <w:tab w:val="num" w:pos="720"/>
        </w:tabs>
        <w:spacing w:line="360" w:lineRule="auto"/>
        <w:jc w:val="both"/>
        <w:rPr>
          <w:rFonts w:eastAsia="Calibri"/>
          <w:spacing w:val="-3"/>
          <w:szCs w:val="22"/>
          <w:lang w:val="es-MX" w:eastAsia="en-US"/>
        </w:rPr>
      </w:pPr>
    </w:p>
    <w:p w14:paraId="49FA441B" w14:textId="77777777" w:rsidR="00BC0F9E" w:rsidRDefault="00BC0F9E" w:rsidP="00867CC3">
      <w:pPr>
        <w:tabs>
          <w:tab w:val="num" w:pos="720"/>
        </w:tabs>
        <w:spacing w:line="360" w:lineRule="auto"/>
        <w:jc w:val="both"/>
        <w:rPr>
          <w:rFonts w:eastAsia="Calibri"/>
          <w:spacing w:val="-3"/>
          <w:szCs w:val="22"/>
          <w:lang w:val="es-MX" w:eastAsia="en-US"/>
        </w:rPr>
      </w:pPr>
    </w:p>
    <w:p w14:paraId="21139348" w14:textId="77777777" w:rsidR="00BC0F9E" w:rsidRDefault="00BC0F9E" w:rsidP="00867CC3">
      <w:pPr>
        <w:tabs>
          <w:tab w:val="num" w:pos="720"/>
        </w:tabs>
        <w:spacing w:line="360" w:lineRule="auto"/>
        <w:jc w:val="both"/>
        <w:rPr>
          <w:rFonts w:eastAsia="Calibri"/>
          <w:spacing w:val="-3"/>
          <w:szCs w:val="22"/>
          <w:lang w:val="es-MX" w:eastAsia="en-US"/>
        </w:rPr>
      </w:pPr>
    </w:p>
    <w:p w14:paraId="0705F1F9" w14:textId="77777777" w:rsidR="00BC0F9E" w:rsidRDefault="00BC0F9E" w:rsidP="00867CC3">
      <w:pPr>
        <w:tabs>
          <w:tab w:val="num" w:pos="720"/>
        </w:tabs>
        <w:spacing w:line="360" w:lineRule="auto"/>
        <w:jc w:val="both"/>
        <w:rPr>
          <w:rFonts w:eastAsia="Calibri"/>
          <w:spacing w:val="-3"/>
          <w:szCs w:val="22"/>
          <w:lang w:val="es-MX" w:eastAsia="en-US"/>
        </w:rPr>
      </w:pPr>
    </w:p>
    <w:p w14:paraId="0A209582" w14:textId="77777777" w:rsidR="00BC0F9E" w:rsidRDefault="00BC0F9E" w:rsidP="00867CC3">
      <w:pPr>
        <w:tabs>
          <w:tab w:val="num" w:pos="720"/>
        </w:tabs>
        <w:spacing w:line="360" w:lineRule="auto"/>
        <w:jc w:val="both"/>
        <w:rPr>
          <w:rFonts w:eastAsia="Calibri"/>
          <w:spacing w:val="-3"/>
          <w:szCs w:val="22"/>
          <w:lang w:val="es-MX" w:eastAsia="en-US"/>
        </w:rPr>
      </w:pPr>
    </w:p>
    <w:p w14:paraId="1F144A9C" w14:textId="77777777" w:rsidR="00BC0F9E" w:rsidRDefault="00BC0F9E" w:rsidP="00867CC3">
      <w:pPr>
        <w:tabs>
          <w:tab w:val="num" w:pos="720"/>
        </w:tabs>
        <w:spacing w:line="360" w:lineRule="auto"/>
        <w:jc w:val="both"/>
        <w:rPr>
          <w:rFonts w:eastAsia="Calibri"/>
          <w:spacing w:val="-3"/>
          <w:szCs w:val="22"/>
          <w:lang w:val="es-MX" w:eastAsia="en-US"/>
        </w:rPr>
      </w:pPr>
    </w:p>
    <w:p w14:paraId="687F06DB" w14:textId="77777777" w:rsidR="00BC0F9E" w:rsidRDefault="00BC0F9E" w:rsidP="00867CC3">
      <w:pPr>
        <w:tabs>
          <w:tab w:val="num" w:pos="720"/>
        </w:tabs>
        <w:spacing w:line="360" w:lineRule="auto"/>
        <w:jc w:val="both"/>
        <w:rPr>
          <w:rFonts w:eastAsia="Calibri"/>
          <w:spacing w:val="-3"/>
          <w:szCs w:val="22"/>
          <w:lang w:val="es-MX" w:eastAsia="en-US"/>
        </w:rPr>
      </w:pPr>
    </w:p>
    <w:p w14:paraId="6C36E4A2" w14:textId="77777777" w:rsidR="00BC0F9E" w:rsidRDefault="00BC0F9E" w:rsidP="00867CC3">
      <w:pPr>
        <w:tabs>
          <w:tab w:val="num" w:pos="720"/>
        </w:tabs>
        <w:spacing w:line="360" w:lineRule="auto"/>
        <w:jc w:val="both"/>
        <w:rPr>
          <w:rFonts w:eastAsia="Calibri"/>
          <w:spacing w:val="-3"/>
          <w:szCs w:val="22"/>
          <w:lang w:val="es-MX" w:eastAsia="en-US"/>
        </w:rPr>
      </w:pPr>
    </w:p>
    <w:p w14:paraId="48B7B876" w14:textId="77777777" w:rsidR="00BC0F9E" w:rsidRDefault="00BC0F9E" w:rsidP="00867CC3">
      <w:pPr>
        <w:tabs>
          <w:tab w:val="num" w:pos="720"/>
        </w:tabs>
        <w:spacing w:line="360" w:lineRule="auto"/>
        <w:jc w:val="both"/>
        <w:rPr>
          <w:rFonts w:eastAsia="Calibri"/>
          <w:spacing w:val="-3"/>
          <w:szCs w:val="22"/>
          <w:lang w:val="es-MX" w:eastAsia="en-US"/>
        </w:rPr>
      </w:pPr>
    </w:p>
    <w:p w14:paraId="4B2C6294" w14:textId="77777777" w:rsidR="00BC0F9E" w:rsidRPr="00867CC3" w:rsidRDefault="00BC0F9E" w:rsidP="00867CC3">
      <w:pPr>
        <w:tabs>
          <w:tab w:val="num" w:pos="720"/>
        </w:tabs>
        <w:spacing w:line="360" w:lineRule="auto"/>
        <w:jc w:val="both"/>
        <w:rPr>
          <w:rFonts w:eastAsia="Calibri"/>
          <w:spacing w:val="-3"/>
          <w:szCs w:val="22"/>
          <w:lang w:val="es-MX" w:eastAsia="en-US"/>
        </w:rPr>
      </w:pPr>
    </w:p>
    <w:p w14:paraId="12C5DB86" w14:textId="77777777" w:rsidR="00867CC3" w:rsidRPr="00867CC3" w:rsidRDefault="00867CC3" w:rsidP="00867CC3">
      <w:pPr>
        <w:spacing w:line="360" w:lineRule="auto"/>
        <w:jc w:val="both"/>
        <w:rPr>
          <w:rFonts w:eastAsia="Calibri"/>
          <w:spacing w:val="-3"/>
          <w:szCs w:val="22"/>
          <w:lang w:val="es-MX" w:eastAsia="en-US"/>
        </w:rPr>
      </w:pPr>
    </w:p>
    <w:p w14:paraId="31626796" w14:textId="77777777" w:rsidR="00FF5B92" w:rsidRPr="00F05EE0" w:rsidRDefault="00FF5B92" w:rsidP="00F05EE0">
      <w:pPr>
        <w:keepNext/>
        <w:jc w:val="center"/>
        <w:outlineLvl w:val="7"/>
        <w:rPr>
          <w:rFonts w:cs="Arial"/>
          <w:b/>
        </w:rPr>
      </w:pPr>
      <w:r w:rsidRPr="00F05EE0">
        <w:rPr>
          <w:rFonts w:eastAsia="Calibri" w:cs="Arial"/>
          <w:b/>
          <w:lang w:val="es-UY" w:eastAsia="en-US"/>
        </w:rPr>
        <w:lastRenderedPageBreak/>
        <w:t>DICTAMEN</w:t>
      </w:r>
    </w:p>
    <w:p w14:paraId="272CBE6F" w14:textId="77777777" w:rsidR="00FF5B92" w:rsidRDefault="00FF5B92" w:rsidP="00F05EE0">
      <w:pPr>
        <w:keepNext/>
        <w:jc w:val="both"/>
        <w:outlineLvl w:val="7"/>
        <w:rPr>
          <w:rFonts w:cs="Arial"/>
        </w:rPr>
      </w:pPr>
    </w:p>
    <w:p w14:paraId="7A927319" w14:textId="77777777" w:rsidR="00FF5B92" w:rsidRPr="00F05EE0" w:rsidRDefault="00FF5B92" w:rsidP="00F05EE0">
      <w:pPr>
        <w:keepNext/>
        <w:jc w:val="both"/>
        <w:outlineLvl w:val="7"/>
        <w:rPr>
          <w:rFonts w:cs="Arial"/>
        </w:rPr>
      </w:pPr>
    </w:p>
    <w:p w14:paraId="5F5690EC" w14:textId="77777777" w:rsidR="00FF5B92" w:rsidRPr="00F05EE0" w:rsidRDefault="00FF5B92" w:rsidP="00F05EE0">
      <w:pPr>
        <w:spacing w:line="360" w:lineRule="auto"/>
        <w:jc w:val="both"/>
        <w:rPr>
          <w:rFonts w:cs="Arial"/>
          <w:lang w:val="es-MX"/>
        </w:rPr>
      </w:pPr>
      <w:r w:rsidRPr="00DB30F2">
        <w:rPr>
          <w:rFonts w:cs="Arial"/>
          <w:lang w:val="es-UY"/>
        </w:rPr>
        <w:t xml:space="preserve">El Tribunal de Cuentas ha examinado los estados financieros de la </w:t>
      </w:r>
      <w:r>
        <w:rPr>
          <w:rFonts w:cs="Arial"/>
          <w:lang w:val="es-UY"/>
        </w:rPr>
        <w:t>Agencia Nacional de Desarrollo</w:t>
      </w:r>
      <w:r w:rsidRPr="00DB30F2">
        <w:rPr>
          <w:rFonts w:cs="Arial"/>
          <w:lang w:val="es-UY"/>
        </w:rPr>
        <w:t xml:space="preserve"> (</w:t>
      </w:r>
      <w:r>
        <w:rPr>
          <w:rFonts w:cs="Arial"/>
          <w:lang w:val="es-UY"/>
        </w:rPr>
        <w:t>ANDE</w:t>
      </w:r>
      <w:r w:rsidRPr="00DB30F2">
        <w:rPr>
          <w:rFonts w:cs="Arial"/>
          <w:lang w:val="es-UY"/>
        </w:rPr>
        <w:t xml:space="preserve">). Dichos estados comprenden el Estado de Situación </w:t>
      </w:r>
      <w:r>
        <w:rPr>
          <w:rFonts w:cs="Arial"/>
          <w:lang w:val="es-UY"/>
        </w:rPr>
        <w:t>Patrimonial al 31/12/2015</w:t>
      </w:r>
      <w:r w:rsidRPr="00DB30F2">
        <w:rPr>
          <w:rFonts w:cs="Arial"/>
          <w:lang w:val="es-UY"/>
        </w:rPr>
        <w:t xml:space="preserve">, los correspondientes Estados de Resultados </w:t>
      </w:r>
      <w:r w:rsidRPr="00F05EE0">
        <w:rPr>
          <w:rFonts w:cs="Arial"/>
          <w:lang w:val="es-UY"/>
        </w:rPr>
        <w:t xml:space="preserve">y de </w:t>
      </w:r>
      <w:r>
        <w:rPr>
          <w:rFonts w:cs="Arial"/>
          <w:lang w:val="es-UY"/>
        </w:rPr>
        <w:t>Origen y Aplicación de Fondos</w:t>
      </w:r>
      <w:r w:rsidRPr="00F05EE0">
        <w:rPr>
          <w:rFonts w:cs="Arial"/>
          <w:lang w:val="es-UY"/>
        </w:rPr>
        <w:t xml:space="preserve">, el Estado de </w:t>
      </w:r>
      <w:r>
        <w:rPr>
          <w:rFonts w:cs="Arial"/>
          <w:lang w:val="es-UY"/>
        </w:rPr>
        <w:t>Evolución del Patrimonio</w:t>
      </w:r>
      <w:r w:rsidRPr="00F05EE0">
        <w:rPr>
          <w:rFonts w:cs="Arial"/>
          <w:lang w:val="es-UY"/>
        </w:rPr>
        <w:t xml:space="preserve"> por el ejercici</w:t>
      </w:r>
      <w:r>
        <w:rPr>
          <w:rFonts w:cs="Arial"/>
          <w:lang w:val="es-UY"/>
        </w:rPr>
        <w:t>o comprendido entre el 08/07/2015 y el 31/12/2015</w:t>
      </w:r>
      <w:r w:rsidRPr="00F05EE0">
        <w:rPr>
          <w:rFonts w:cs="Arial"/>
          <w:lang w:val="es-UY"/>
        </w:rPr>
        <w:t>,  las Notas de políticas contables significativas</w:t>
      </w:r>
      <w:r>
        <w:rPr>
          <w:rFonts w:cs="Arial"/>
          <w:lang w:val="es-UY"/>
        </w:rPr>
        <w:t xml:space="preserve"> y</w:t>
      </w:r>
      <w:r w:rsidRPr="00F05EE0">
        <w:rPr>
          <w:rFonts w:cs="Arial"/>
          <w:lang w:val="es-UY"/>
        </w:rPr>
        <w:t xml:space="preserve"> otras notas explicativas a los estados financieros y </w:t>
      </w:r>
      <w:r>
        <w:rPr>
          <w:rFonts w:cs="Arial"/>
          <w:lang w:val="es-UY"/>
        </w:rPr>
        <w:t>anexo</w:t>
      </w:r>
      <w:r w:rsidRPr="00F05EE0">
        <w:rPr>
          <w:rFonts w:cs="Arial"/>
          <w:lang w:val="es-UY"/>
        </w:rPr>
        <w:t>.</w:t>
      </w:r>
    </w:p>
    <w:p w14:paraId="17029DE8" w14:textId="77777777" w:rsidR="00FF5B92" w:rsidRPr="00F05EE0" w:rsidRDefault="00FF5B92" w:rsidP="00F05EE0">
      <w:pPr>
        <w:tabs>
          <w:tab w:val="left" w:pos="0"/>
          <w:tab w:val="center" w:pos="4252"/>
        </w:tabs>
        <w:spacing w:line="360" w:lineRule="auto"/>
        <w:rPr>
          <w:rFonts w:cs="Arial"/>
          <w:lang w:val="es-MX"/>
        </w:rPr>
      </w:pPr>
    </w:p>
    <w:p w14:paraId="5A707D89" w14:textId="77777777" w:rsidR="00FF5B92" w:rsidRPr="00F05EE0" w:rsidRDefault="00FF5B92" w:rsidP="00F05EE0">
      <w:pPr>
        <w:tabs>
          <w:tab w:val="left" w:pos="0"/>
        </w:tabs>
        <w:spacing w:line="360" w:lineRule="auto"/>
        <w:rPr>
          <w:rFonts w:cs="Arial"/>
          <w:b/>
          <w:lang w:val="es-UY"/>
        </w:rPr>
      </w:pPr>
      <w:r w:rsidRPr="00F05EE0">
        <w:rPr>
          <w:rFonts w:cs="Arial"/>
          <w:b/>
          <w:lang w:val="es-UY"/>
        </w:rPr>
        <w:t>Responsabilidad de la Dirección por los estados financieros</w:t>
      </w:r>
    </w:p>
    <w:p w14:paraId="288CC9B6" w14:textId="77777777" w:rsidR="00FF5B92" w:rsidRDefault="00FF5B92" w:rsidP="00E371EE">
      <w:pPr>
        <w:spacing w:after="200" w:line="360" w:lineRule="auto"/>
        <w:jc w:val="both"/>
        <w:rPr>
          <w:rFonts w:eastAsia="Calibri" w:cs="Arial"/>
          <w:spacing w:val="-3"/>
          <w:lang w:val="es-MX" w:eastAsia="en-US"/>
        </w:rPr>
      </w:pPr>
      <w:r w:rsidRPr="00F05EE0">
        <w:rPr>
          <w:rFonts w:eastAsia="Calibri" w:cs="Arial"/>
          <w:spacing w:val="-3"/>
          <w:lang w:val="es-MX" w:eastAsia="en-US"/>
        </w:rPr>
        <w:t xml:space="preserve">La Dirección de </w:t>
      </w:r>
      <w:r>
        <w:rPr>
          <w:rFonts w:eastAsia="Calibri" w:cs="Arial"/>
          <w:spacing w:val="-3"/>
          <w:lang w:val="es-MX" w:eastAsia="en-US"/>
        </w:rPr>
        <w:t>ANDE</w:t>
      </w:r>
      <w:r w:rsidRPr="00F05EE0">
        <w:rPr>
          <w:rFonts w:eastAsia="Calibri" w:cs="Arial"/>
          <w:spacing w:val="-3"/>
          <w:lang w:val="es-MX" w:eastAsia="en-US"/>
        </w:rPr>
        <w:t xml:space="preserve"> es responsable por la preparación y la razonable presentación de estos estados financieros de acuerdo con la Ordenanza Nº 81 del Tribunal de Cuentas. 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14:paraId="3C2315E5" w14:textId="77777777" w:rsidR="00FF5B92" w:rsidRDefault="00FF5B92" w:rsidP="00E371EE">
      <w:pPr>
        <w:spacing w:line="360" w:lineRule="auto"/>
        <w:jc w:val="both"/>
        <w:rPr>
          <w:rFonts w:eastAsia="Calibri" w:cs="Arial"/>
          <w:b/>
          <w:lang w:val="es-UY" w:eastAsia="en-US"/>
        </w:rPr>
      </w:pPr>
    </w:p>
    <w:p w14:paraId="290BD6AC" w14:textId="77777777" w:rsidR="00FF5B92" w:rsidRPr="00F05EE0" w:rsidRDefault="00FF5B92" w:rsidP="00E371EE">
      <w:pPr>
        <w:spacing w:line="360" w:lineRule="auto"/>
        <w:jc w:val="both"/>
        <w:rPr>
          <w:rFonts w:eastAsia="Calibri" w:cs="Arial"/>
          <w:b/>
          <w:lang w:val="es-UY" w:eastAsia="en-US"/>
        </w:rPr>
      </w:pPr>
      <w:r w:rsidRPr="00F05EE0">
        <w:rPr>
          <w:rFonts w:eastAsia="Calibri" w:cs="Arial"/>
          <w:b/>
          <w:lang w:val="es-UY" w:eastAsia="en-US"/>
        </w:rPr>
        <w:t>Responsabilidad del auditor</w:t>
      </w:r>
    </w:p>
    <w:p w14:paraId="46374E37" w14:textId="77777777" w:rsidR="00FF5B92" w:rsidRPr="00AF22AF" w:rsidRDefault="00FF5B92" w:rsidP="00E371EE">
      <w:pPr>
        <w:spacing w:line="360" w:lineRule="auto"/>
        <w:jc w:val="both"/>
        <w:rPr>
          <w:rFonts w:cs="Arial"/>
        </w:rPr>
      </w:pPr>
      <w:r w:rsidRPr="00F05EE0">
        <w:rPr>
          <w:rFonts w:eastAsia="Calibri" w:cs="Arial"/>
          <w:spacing w:val="-3"/>
          <w:lang w:val="es-MX" w:eastAsia="en-US"/>
        </w:rPr>
        <w:t xml:space="preserve">La responsabilidad del Tribunal de Cuentas es expresar una opinión sobre dichos estados financieros basada en la auditoría realizada. Esta auditoría fue practicada de acuerdo </w:t>
      </w:r>
      <w:r w:rsidRPr="00F05EE0">
        <w:rPr>
          <w:rFonts w:eastAsia="Calibri" w:cs="Arial"/>
          <w:lang w:val="es-UY" w:eastAsia="en-US"/>
        </w:rPr>
        <w:t>con los Principios Fundamentales de Auditoría (ISSAI 100 y 200) y las Directrices de Auditoría Financiera (ISSAI 1000 a 1810) de la Organización Internacional de Entidades Fiscalizadoras Superiores (INTOSAI).</w:t>
      </w:r>
      <w:r>
        <w:rPr>
          <w:rFonts w:eastAsia="Calibri" w:cs="Arial"/>
          <w:lang w:val="es-UY" w:eastAsia="en-US"/>
        </w:rPr>
        <w:t xml:space="preserve"> </w:t>
      </w:r>
      <w:r w:rsidRPr="00AF22AF">
        <w:rPr>
          <w:rFonts w:cs="Arial"/>
        </w:rPr>
        <w:t>Estas normas requieren que se cumpla con requisitos éticos, se planifique y se realice la auditoría para obtener seguridad razonable acerca de si los estados financieros están libres de errores significativos.</w:t>
      </w:r>
    </w:p>
    <w:p w14:paraId="52C063A1" w14:textId="77777777" w:rsidR="00FF5B92" w:rsidRDefault="00FF5B92" w:rsidP="00E371EE">
      <w:pPr>
        <w:spacing w:after="260" w:line="360" w:lineRule="auto"/>
        <w:jc w:val="both"/>
        <w:rPr>
          <w:rFonts w:cs="Arial"/>
        </w:rPr>
      </w:pPr>
      <w:r w:rsidRPr="00AF22AF">
        <w:rPr>
          <w:rFonts w:cs="Arial"/>
        </w:rPr>
        <w:lastRenderedPageBreak/>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14:paraId="39BAF48D" w14:textId="77777777" w:rsidR="00FF5B92" w:rsidRPr="00AF22AF" w:rsidRDefault="00FF5B92" w:rsidP="00E371EE">
      <w:pPr>
        <w:spacing w:after="260" w:line="360" w:lineRule="auto"/>
        <w:jc w:val="both"/>
        <w:rPr>
          <w:rFonts w:cs="Arial"/>
        </w:rPr>
      </w:pPr>
      <w:r w:rsidRPr="00AF22AF">
        <w:rPr>
          <w:rFonts w:cs="Arial"/>
        </w:rPr>
        <w:t>Se considera que la evidencia de auditoría obtenida brinda una base suficiente y apropiada para sustentar la opinión.</w:t>
      </w:r>
    </w:p>
    <w:p w14:paraId="54448FA0" w14:textId="77777777" w:rsidR="00FF5B92" w:rsidRDefault="00FF5B92" w:rsidP="00E371EE">
      <w:pPr>
        <w:spacing w:after="260" w:line="360" w:lineRule="auto"/>
        <w:jc w:val="both"/>
        <w:rPr>
          <w:rFonts w:cs="Arial"/>
          <w:b/>
        </w:rPr>
      </w:pPr>
      <w:r w:rsidRPr="00AF22AF">
        <w:rPr>
          <w:rFonts w:cs="Arial"/>
          <w:b/>
        </w:rPr>
        <w:t>Opinión</w:t>
      </w:r>
    </w:p>
    <w:p w14:paraId="6546D520" w14:textId="77777777" w:rsidR="00FF5B92" w:rsidRPr="00BF2950" w:rsidRDefault="00FF5B92" w:rsidP="00BF2950">
      <w:pPr>
        <w:spacing w:after="260" w:line="360" w:lineRule="auto"/>
        <w:jc w:val="both"/>
        <w:rPr>
          <w:rFonts w:cs="Arial"/>
          <w:b/>
          <w:lang w:val="es-UY"/>
        </w:rPr>
      </w:pPr>
      <w:r>
        <w:rPr>
          <w:lang w:val="es-UY"/>
        </w:rPr>
        <w:t>En opinión del Tribunal de Cuentas, los estados financieros referidos precedentemente presentan razonablemente, en todos sus aspectos importantes, la situación patrimonial de ANDE al 31 de diciembre de 2015, los resultados de sus operaciones y el origen y aplicación de fondos por el período comprendido entre el 8 de julio y el 31 de diciembre de 2015, de acuerdo con la Ordenanza Nº 81 del Tribunal de Cuentas.</w:t>
      </w:r>
    </w:p>
    <w:p w14:paraId="696B0AF5" w14:textId="77777777" w:rsidR="00FF5B92" w:rsidRDefault="00FF5B92" w:rsidP="00F05EE0">
      <w:pPr>
        <w:tabs>
          <w:tab w:val="left" w:pos="2552"/>
        </w:tabs>
        <w:spacing w:line="360" w:lineRule="auto"/>
        <w:jc w:val="right"/>
        <w:rPr>
          <w:rFonts w:cs="Arial"/>
        </w:rPr>
      </w:pPr>
      <w:r w:rsidRPr="00F05EE0">
        <w:rPr>
          <w:rFonts w:cs="Arial"/>
        </w:rPr>
        <w:t xml:space="preserve">Montevideo, </w:t>
      </w:r>
      <w:r>
        <w:rPr>
          <w:rFonts w:cs="Arial"/>
        </w:rPr>
        <w:t>19 de octubre de 2016</w:t>
      </w:r>
    </w:p>
    <w:p w14:paraId="4A904D24" w14:textId="77777777" w:rsidR="00FF5B92" w:rsidRDefault="00FF5B92" w:rsidP="00CD77A4">
      <w:pPr>
        <w:rPr>
          <w:b/>
          <w:szCs w:val="20"/>
        </w:rPr>
      </w:pPr>
    </w:p>
    <w:p w14:paraId="1CEC4CC0" w14:textId="77777777" w:rsidR="00FF5B92" w:rsidRDefault="00FF5B92" w:rsidP="00CD77A4">
      <w:pPr>
        <w:pStyle w:val="Ttulo3"/>
        <w:tabs>
          <w:tab w:val="left" w:pos="2552"/>
        </w:tabs>
        <w:spacing w:line="360" w:lineRule="auto"/>
        <w:rPr>
          <w:rFonts w:ascii="Arial" w:hAnsi="Arial" w:cs="Arial"/>
          <w:szCs w:val="24"/>
        </w:rPr>
      </w:pPr>
    </w:p>
    <w:p w14:paraId="30492017" w14:textId="77777777" w:rsidR="00FF5B92" w:rsidRPr="00AC5CA5" w:rsidRDefault="00FF5B92" w:rsidP="00AC5CA5">
      <w:pPr>
        <w:pStyle w:val="Ttulo3"/>
        <w:tabs>
          <w:tab w:val="left" w:pos="2552"/>
        </w:tabs>
        <w:spacing w:line="360" w:lineRule="auto"/>
        <w:jc w:val="left"/>
        <w:rPr>
          <w:rFonts w:ascii="Arial" w:hAnsi="Arial" w:cs="Arial"/>
          <w:b w:val="0"/>
          <w:szCs w:val="24"/>
        </w:rPr>
      </w:pPr>
      <w:proofErr w:type="spellStart"/>
      <w:proofErr w:type="gramStart"/>
      <w:r w:rsidRPr="00AC5CA5">
        <w:rPr>
          <w:rFonts w:ascii="Arial" w:hAnsi="Arial" w:cs="Arial"/>
          <w:b w:val="0"/>
          <w:szCs w:val="24"/>
        </w:rPr>
        <w:t>ag</w:t>
      </w:r>
      <w:proofErr w:type="spellEnd"/>
      <w:proofErr w:type="gramEnd"/>
    </w:p>
    <w:p w14:paraId="0060F0FE" w14:textId="77777777" w:rsidR="00FF5B92" w:rsidRDefault="00FF5B92" w:rsidP="006163BC">
      <w:pPr>
        <w:rPr>
          <w:b/>
          <w:szCs w:val="20"/>
        </w:rPr>
      </w:pPr>
    </w:p>
    <w:p w14:paraId="5DCEAFAD" w14:textId="77777777" w:rsidR="00FF5B92" w:rsidRPr="00F05EE0" w:rsidRDefault="00FF5B92" w:rsidP="00CD77A4">
      <w:pPr>
        <w:pStyle w:val="Ttulo3"/>
        <w:tabs>
          <w:tab w:val="left" w:pos="2552"/>
        </w:tabs>
        <w:spacing w:line="360" w:lineRule="auto"/>
        <w:rPr>
          <w:rFonts w:ascii="Arial" w:hAnsi="Arial" w:cs="Arial"/>
          <w:szCs w:val="24"/>
        </w:rPr>
      </w:pPr>
      <w:r w:rsidRPr="00F05EE0">
        <w:rPr>
          <w:rFonts w:ascii="Arial" w:hAnsi="Arial" w:cs="Arial"/>
          <w:szCs w:val="24"/>
        </w:rPr>
        <w:lastRenderedPageBreak/>
        <w:t>INFORME A LA ADMINISTRACIÓN</w:t>
      </w:r>
    </w:p>
    <w:p w14:paraId="5D367B54" w14:textId="77777777" w:rsidR="00FF5B92" w:rsidRPr="00F05EE0" w:rsidRDefault="00FF5B92" w:rsidP="00F05EE0">
      <w:pPr>
        <w:pStyle w:val="Textoindependiente"/>
        <w:spacing w:line="360" w:lineRule="auto"/>
        <w:jc w:val="both"/>
        <w:rPr>
          <w:rFonts w:ascii="Arial" w:hAnsi="Arial" w:cs="Arial"/>
          <w:spacing w:val="-3"/>
          <w:sz w:val="24"/>
          <w:szCs w:val="24"/>
          <w:lang w:val="es-MX"/>
        </w:rPr>
      </w:pPr>
    </w:p>
    <w:p w14:paraId="0E262C8C" w14:textId="77777777" w:rsidR="00FF5B92" w:rsidRPr="00F05EE0" w:rsidRDefault="00FF5B92"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 xml:space="preserve">El Tribunal de Cuentas ha examinado los estados financieros de la </w:t>
      </w:r>
      <w:r>
        <w:rPr>
          <w:rFonts w:ascii="Arial" w:hAnsi="Arial" w:cs="Arial"/>
          <w:spacing w:val="-3"/>
          <w:sz w:val="24"/>
          <w:szCs w:val="24"/>
          <w:lang w:val="es-MX"/>
        </w:rPr>
        <w:t>Agencia Nacional de Desarrollo (ANDE), correspondientes al E</w:t>
      </w:r>
      <w:r w:rsidRPr="00F05EE0">
        <w:rPr>
          <w:rFonts w:ascii="Arial" w:hAnsi="Arial" w:cs="Arial"/>
          <w:spacing w:val="-3"/>
          <w:sz w:val="24"/>
          <w:szCs w:val="24"/>
          <w:lang w:val="es-MX"/>
        </w:rPr>
        <w:t xml:space="preserve">jercicio </w:t>
      </w:r>
      <w:r>
        <w:rPr>
          <w:rFonts w:ascii="Arial" w:hAnsi="Arial" w:cs="Arial"/>
          <w:spacing w:val="-3"/>
          <w:sz w:val="24"/>
          <w:szCs w:val="24"/>
          <w:lang w:val="es-MX"/>
        </w:rPr>
        <w:t>08/07/2015 al 31/12/2015</w:t>
      </w:r>
      <w:r w:rsidRPr="00F05EE0">
        <w:rPr>
          <w:rFonts w:ascii="Arial" w:hAnsi="Arial" w:cs="Arial"/>
          <w:spacing w:val="-3"/>
          <w:sz w:val="24"/>
          <w:szCs w:val="24"/>
          <w:lang w:val="es-MX"/>
        </w:rPr>
        <w:t xml:space="preserve"> y ha emitido su Dict</w:t>
      </w:r>
      <w:r>
        <w:rPr>
          <w:rFonts w:ascii="Arial" w:hAnsi="Arial" w:cs="Arial"/>
          <w:spacing w:val="-3"/>
          <w:sz w:val="24"/>
          <w:szCs w:val="24"/>
          <w:lang w:val="es-MX"/>
        </w:rPr>
        <w:t>a</w:t>
      </w:r>
      <w:r w:rsidRPr="00F05EE0">
        <w:rPr>
          <w:rFonts w:ascii="Arial" w:hAnsi="Arial" w:cs="Arial"/>
          <w:spacing w:val="-3"/>
          <w:sz w:val="24"/>
          <w:szCs w:val="24"/>
          <w:lang w:val="es-MX"/>
        </w:rPr>
        <w:t>men.</w:t>
      </w:r>
    </w:p>
    <w:p w14:paraId="6987A0F8" w14:textId="77777777" w:rsidR="00FF5B92" w:rsidRPr="00F05EE0" w:rsidRDefault="00FF5B92"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 xml:space="preserve">En este capítulo del informe se agregan consideraciones relativas a la presentación de dichos estados, </w:t>
      </w:r>
      <w:r w:rsidRPr="00F05EE0">
        <w:rPr>
          <w:rFonts w:ascii="Arial" w:hAnsi="Arial" w:cs="Arial"/>
          <w:bCs/>
          <w:spacing w:val="-3"/>
          <w:sz w:val="24"/>
          <w:szCs w:val="24"/>
          <w:lang w:val="es-MX"/>
        </w:rPr>
        <w:t xml:space="preserve"> </w:t>
      </w:r>
      <w:r>
        <w:rPr>
          <w:rFonts w:ascii="Arial" w:hAnsi="Arial" w:cs="Arial"/>
          <w:bCs/>
          <w:spacing w:val="-3"/>
          <w:sz w:val="24"/>
          <w:szCs w:val="24"/>
          <w:lang w:val="es-MX"/>
        </w:rPr>
        <w:t>los incumplimientos legales,</w:t>
      </w:r>
      <w:r w:rsidRPr="00F05EE0">
        <w:rPr>
          <w:rFonts w:ascii="Arial" w:hAnsi="Arial" w:cs="Arial"/>
          <w:spacing w:val="-3"/>
          <w:sz w:val="24"/>
          <w:szCs w:val="24"/>
          <w:lang w:val="es-MX"/>
        </w:rPr>
        <w:t xml:space="preserve"> la evaluación del sistema de control interno y otras consideraciones. También se incluyen las principales recomendaciones que deberá atender el Organismo a efectos de corregir las deficiencias constatadas en el examen practicado.</w:t>
      </w:r>
    </w:p>
    <w:p w14:paraId="13372715" w14:textId="77777777" w:rsidR="00FF5B92" w:rsidRPr="00F05EE0" w:rsidRDefault="00FF5B92" w:rsidP="00F05EE0">
      <w:pPr>
        <w:pStyle w:val="Textoindependiente"/>
        <w:spacing w:line="360" w:lineRule="auto"/>
        <w:jc w:val="both"/>
        <w:rPr>
          <w:rFonts w:ascii="Arial" w:hAnsi="Arial" w:cs="Arial"/>
          <w:spacing w:val="-3"/>
          <w:sz w:val="24"/>
          <w:szCs w:val="24"/>
          <w:lang w:val="es-MX"/>
        </w:rPr>
      </w:pPr>
    </w:p>
    <w:p w14:paraId="45E31410" w14:textId="77777777" w:rsidR="00FF5B92" w:rsidRPr="00F05EE0" w:rsidRDefault="00FF5B92" w:rsidP="00F05EE0">
      <w:pPr>
        <w:pStyle w:val="Textoindependiente"/>
        <w:spacing w:line="360" w:lineRule="auto"/>
        <w:rPr>
          <w:rFonts w:ascii="Arial" w:hAnsi="Arial" w:cs="Arial"/>
          <w:b/>
          <w:sz w:val="24"/>
          <w:szCs w:val="24"/>
        </w:rPr>
      </w:pPr>
      <w:r w:rsidRPr="00F05EE0">
        <w:rPr>
          <w:rFonts w:ascii="Arial" w:hAnsi="Arial" w:cs="Arial"/>
          <w:b/>
          <w:sz w:val="24"/>
          <w:szCs w:val="24"/>
        </w:rPr>
        <w:t>1) Presentación de Estados Financieros</w:t>
      </w:r>
    </w:p>
    <w:p w14:paraId="338595EF" w14:textId="77777777" w:rsidR="00FF5B92" w:rsidRDefault="00FF5B92" w:rsidP="00311791">
      <w:pPr>
        <w:widowControl w:val="0"/>
        <w:spacing w:line="360" w:lineRule="auto"/>
        <w:jc w:val="both"/>
        <w:rPr>
          <w:rFonts w:cs="Arial"/>
          <w:spacing w:val="-3"/>
          <w:lang w:val="es-MX"/>
        </w:rPr>
      </w:pPr>
      <w:r w:rsidRPr="00F05EE0">
        <w:rPr>
          <w:rFonts w:cs="Arial"/>
          <w:spacing w:val="-3"/>
          <w:lang w:val="es-MX"/>
        </w:rPr>
        <w:t>Los estados financieros</w:t>
      </w:r>
      <w:r>
        <w:rPr>
          <w:rFonts w:cs="Arial"/>
          <w:spacing w:val="-3"/>
          <w:lang w:val="es-MX"/>
        </w:rPr>
        <w:t xml:space="preserve"> de ANDE correspondientes al e</w:t>
      </w:r>
      <w:r w:rsidRPr="00F05EE0">
        <w:rPr>
          <w:rFonts w:cs="Arial"/>
          <w:spacing w:val="-3"/>
          <w:lang w:val="es-MX"/>
        </w:rPr>
        <w:t>j</w:t>
      </w:r>
      <w:r>
        <w:rPr>
          <w:rFonts w:cs="Arial"/>
          <w:spacing w:val="-3"/>
          <w:lang w:val="es-MX"/>
        </w:rPr>
        <w:t>ercicio finalizado el 31/12/2015</w:t>
      </w:r>
      <w:r w:rsidRPr="00F05EE0">
        <w:rPr>
          <w:rFonts w:cs="Arial"/>
          <w:spacing w:val="-3"/>
          <w:lang w:val="es-MX"/>
        </w:rPr>
        <w:t xml:space="preserve"> fueron aprobados </w:t>
      </w:r>
      <w:r>
        <w:rPr>
          <w:rFonts w:cs="Arial"/>
          <w:spacing w:val="-3"/>
          <w:lang w:val="es-MX"/>
        </w:rPr>
        <w:t xml:space="preserve">en primera instancia el 31/05/2016 </w:t>
      </w:r>
      <w:r w:rsidRPr="00F05EE0">
        <w:rPr>
          <w:rFonts w:cs="Arial"/>
          <w:spacing w:val="-3"/>
          <w:lang w:val="es-MX"/>
        </w:rPr>
        <w:t>por</w:t>
      </w:r>
      <w:r w:rsidRPr="00F05EE0">
        <w:rPr>
          <w:rFonts w:cs="Arial"/>
        </w:rPr>
        <w:t xml:space="preserve"> </w:t>
      </w:r>
      <w:r>
        <w:rPr>
          <w:rFonts w:cs="Arial"/>
        </w:rPr>
        <w:t>el Directorio de ANDE</w:t>
      </w:r>
      <w:r w:rsidRPr="00F05EE0">
        <w:rPr>
          <w:rFonts w:cs="Arial"/>
        </w:rPr>
        <w:t xml:space="preserve">, según consta </w:t>
      </w:r>
      <w:r w:rsidRPr="00AE1398">
        <w:rPr>
          <w:rFonts w:cs="Arial"/>
        </w:rPr>
        <w:t xml:space="preserve">en el Acta  </w:t>
      </w:r>
      <w:r w:rsidRPr="00AE1398">
        <w:rPr>
          <w:rFonts w:cs="Arial"/>
          <w:spacing w:val="-3"/>
          <w:lang w:val="es-MX"/>
        </w:rPr>
        <w:t>N° 3</w:t>
      </w:r>
      <w:r>
        <w:rPr>
          <w:rFonts w:cs="Arial"/>
          <w:spacing w:val="-3"/>
          <w:lang w:val="es-MX"/>
        </w:rPr>
        <w:t>4.</w:t>
      </w:r>
      <w:r w:rsidRPr="00F05EE0">
        <w:rPr>
          <w:rFonts w:cs="Arial"/>
          <w:spacing w:val="-3"/>
          <w:lang w:val="es-MX"/>
        </w:rPr>
        <w:t xml:space="preserve"> Los mismos fueron remitidos a este Tribunal para su consideración </w:t>
      </w:r>
      <w:r>
        <w:rPr>
          <w:rFonts w:cs="Arial"/>
          <w:spacing w:val="-3"/>
          <w:lang w:val="es-MX"/>
        </w:rPr>
        <w:t>en esa misma</w:t>
      </w:r>
      <w:r w:rsidRPr="00F05EE0">
        <w:rPr>
          <w:rFonts w:cs="Arial"/>
          <w:spacing w:val="-3"/>
          <w:lang w:val="es-MX"/>
        </w:rPr>
        <w:t xml:space="preserve"> fecha</w:t>
      </w:r>
      <w:r>
        <w:rPr>
          <w:rFonts w:cs="Arial"/>
          <w:spacing w:val="-3"/>
          <w:lang w:val="es-MX"/>
        </w:rPr>
        <w:t>.</w:t>
      </w:r>
    </w:p>
    <w:p w14:paraId="26D5CFC9" w14:textId="77777777" w:rsidR="00FF5B92" w:rsidRPr="00F05EE0" w:rsidRDefault="00FF5B92" w:rsidP="00311791">
      <w:pPr>
        <w:widowControl w:val="0"/>
        <w:spacing w:line="360" w:lineRule="auto"/>
        <w:jc w:val="both"/>
        <w:rPr>
          <w:rFonts w:cs="Arial"/>
          <w:spacing w:val="-3"/>
          <w:lang w:val="es-MX"/>
        </w:rPr>
      </w:pPr>
      <w:r>
        <w:rPr>
          <w:rFonts w:cs="Arial"/>
          <w:spacing w:val="-3"/>
          <w:lang w:val="es-MX"/>
        </w:rPr>
        <w:t>Posteriormente, de acuerdo al Acta Nº 37, se aprueban los estados financieros definitivos, acompañados de Informe de Auditoría Independiente, dado que surgieron modificaciones no significativas a los anteriormente presentados. Estos fueron remitidos con fecha 15/06/2016, y son los considerados definitivos a los efectos de la auditoría realizada.</w:t>
      </w:r>
    </w:p>
    <w:p w14:paraId="73912350" w14:textId="77777777" w:rsidR="00FF5B92" w:rsidRDefault="00FF5B92" w:rsidP="00F05EE0">
      <w:pPr>
        <w:pStyle w:val="Textoindependiente"/>
        <w:spacing w:line="360" w:lineRule="auto"/>
        <w:jc w:val="both"/>
        <w:rPr>
          <w:rFonts w:ascii="Arial" w:hAnsi="Arial" w:cs="Arial"/>
          <w:spacing w:val="-3"/>
          <w:sz w:val="24"/>
          <w:szCs w:val="24"/>
          <w:lang w:val="es-MX"/>
        </w:rPr>
      </w:pPr>
      <w:r>
        <w:rPr>
          <w:rFonts w:ascii="Arial" w:hAnsi="Arial" w:cs="Arial"/>
          <w:spacing w:val="-3"/>
          <w:sz w:val="24"/>
          <w:szCs w:val="24"/>
          <w:lang w:val="es-MX"/>
        </w:rPr>
        <w:t>ANDE</w:t>
      </w:r>
      <w:r w:rsidRPr="00F05EE0">
        <w:rPr>
          <w:rFonts w:ascii="Arial" w:hAnsi="Arial" w:cs="Arial"/>
          <w:spacing w:val="-3"/>
          <w:sz w:val="24"/>
          <w:szCs w:val="24"/>
          <w:lang w:val="es-MX"/>
        </w:rPr>
        <w:t xml:space="preserve"> presentó </w:t>
      </w:r>
      <w:r w:rsidRPr="008B3458">
        <w:rPr>
          <w:rFonts w:ascii="Arial" w:hAnsi="Arial" w:cs="Arial"/>
          <w:spacing w:val="-3"/>
          <w:sz w:val="24"/>
          <w:szCs w:val="24"/>
          <w:lang w:val="es-MX"/>
        </w:rPr>
        <w:t>el Estado de Situación Patrimonial al 31/12/2015, los correspondientes Estados de Resultados y de Origen y Aplicación de Fondos, el Estado de Evolución del Patrimonio por el ejercicio comprendido entre el 08/07/2015 y el 31/12/2015,  las Notas de políticas contables significativas y otras notas explicativas a los estados financieros y anexo.</w:t>
      </w:r>
    </w:p>
    <w:p w14:paraId="2204B757" w14:textId="77777777" w:rsidR="00FF5B92" w:rsidRDefault="00FF5B92"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 xml:space="preserve">De acuerdo a la Nota 2.1, los estados financieros de </w:t>
      </w:r>
      <w:r>
        <w:rPr>
          <w:rFonts w:ascii="Arial" w:hAnsi="Arial" w:cs="Arial"/>
          <w:spacing w:val="-3"/>
          <w:sz w:val="24"/>
          <w:szCs w:val="24"/>
          <w:lang w:val="es-MX"/>
        </w:rPr>
        <w:t xml:space="preserve">ANDE </w:t>
      </w:r>
      <w:r w:rsidRPr="00F05EE0">
        <w:rPr>
          <w:rFonts w:ascii="Arial" w:hAnsi="Arial" w:cs="Arial"/>
          <w:spacing w:val="-3"/>
          <w:sz w:val="24"/>
          <w:szCs w:val="24"/>
          <w:lang w:val="es-MX"/>
        </w:rPr>
        <w:t>fueron preparados de acuerdo con lo preceptuado por la Ordenanza Nº 81 del Tribunal de Cuentas.</w:t>
      </w:r>
    </w:p>
    <w:p w14:paraId="29FA4113" w14:textId="77777777" w:rsidR="00FF5B92" w:rsidRDefault="00FF5B92" w:rsidP="00357445">
      <w:pPr>
        <w:autoSpaceDE w:val="0"/>
        <w:autoSpaceDN w:val="0"/>
        <w:adjustRightInd w:val="0"/>
        <w:spacing w:line="360" w:lineRule="auto"/>
        <w:jc w:val="both"/>
        <w:rPr>
          <w:rFonts w:cs="Arial"/>
        </w:rPr>
      </w:pPr>
      <w:r>
        <w:rPr>
          <w:rFonts w:cs="Arial"/>
          <w:spacing w:val="-3"/>
          <w:lang w:val="es-MX"/>
        </w:rPr>
        <w:lastRenderedPageBreak/>
        <w:t>Sin perjuicio de lo expresado, l</w:t>
      </w:r>
      <w:r w:rsidRPr="0006756F">
        <w:rPr>
          <w:rFonts w:cs="Arial"/>
          <w:spacing w:val="-3"/>
          <w:lang w:val="es-MX"/>
        </w:rPr>
        <w:t>a Ley Nº 18.602 de</w:t>
      </w:r>
      <w:r>
        <w:rPr>
          <w:rFonts w:cs="Arial"/>
          <w:spacing w:val="-3"/>
          <w:lang w:val="es-MX"/>
        </w:rPr>
        <w:t>l</w:t>
      </w:r>
      <w:r w:rsidRPr="0006756F">
        <w:rPr>
          <w:rFonts w:cs="Arial"/>
          <w:spacing w:val="-3"/>
          <w:lang w:val="es-MX"/>
        </w:rPr>
        <w:t xml:space="preserve"> 15/09/2009 creó ANDE y determinó sus cometidos, modificando los asignados a </w:t>
      </w:r>
      <w:r>
        <w:rPr>
          <w:rFonts w:cs="Arial"/>
          <w:spacing w:val="-3"/>
          <w:lang w:val="es-MX"/>
        </w:rPr>
        <w:t>la Corporación Nacional para el Desarrollo (CND), así como estableció que el Directorio de CND sería también el Directorio de ANDE hasta el nombramiento del nuevo Directorio. Hasta el Ejercicio 2014</w:t>
      </w:r>
      <w:r w:rsidRPr="0006756F">
        <w:rPr>
          <w:rFonts w:cs="Arial"/>
          <w:spacing w:val="-3"/>
          <w:lang w:val="es-MX"/>
        </w:rPr>
        <w:t>, las actividades desarrolladas en el marco de las competencias atribuidas a ANDE fueron registradas en la contabilidad de CND cuando las mismas debieron haberse registrado en una contabilidad separada, atento a lo prescripto por dicha Ley.</w:t>
      </w:r>
      <w:r>
        <w:rPr>
          <w:rFonts w:cs="Arial"/>
          <w:spacing w:val="-3"/>
          <w:lang w:val="es-MX"/>
        </w:rPr>
        <w:t xml:space="preserve"> Ello motivó que este Tribunal emitiera dictámenes con abstención de opinión sobre los estados contables de la CND correspondientes a los Ejercicios 2011 al 2014. P</w:t>
      </w:r>
      <w:r w:rsidRPr="000B19D3">
        <w:rPr>
          <w:rFonts w:cs="Arial"/>
          <w:spacing w:val="-3"/>
          <w:lang w:val="es-MX"/>
        </w:rPr>
        <w:t xml:space="preserve">or lo tanto ANDE </w:t>
      </w:r>
      <w:r>
        <w:rPr>
          <w:rFonts w:cs="Arial"/>
          <w:spacing w:val="-3"/>
          <w:lang w:val="es-MX"/>
        </w:rPr>
        <w:t>omitió</w:t>
      </w:r>
      <w:r w:rsidRPr="000B19D3">
        <w:rPr>
          <w:rFonts w:cs="Arial"/>
          <w:spacing w:val="-3"/>
          <w:lang w:val="es-MX"/>
        </w:rPr>
        <w:t xml:space="preserve"> present</w:t>
      </w:r>
      <w:r>
        <w:rPr>
          <w:rFonts w:cs="Arial"/>
          <w:spacing w:val="-3"/>
          <w:lang w:val="es-MX"/>
        </w:rPr>
        <w:t>ar los</w:t>
      </w:r>
      <w:r w:rsidRPr="000B19D3">
        <w:rPr>
          <w:rFonts w:cs="Arial"/>
          <w:spacing w:val="-3"/>
          <w:lang w:val="es-MX"/>
        </w:rPr>
        <w:t xml:space="preserve"> balances correspondientes a ejercicios anteriores al 2015. A partir</w:t>
      </w:r>
      <w:r>
        <w:rPr>
          <w:rFonts w:cs="Arial"/>
          <w:spacing w:val="-3"/>
          <w:lang w:val="es-MX"/>
        </w:rPr>
        <w:t xml:space="preserve"> del 08/07/2015 la situación cambió, dado que en dicha fecha comenzó a operar el nuevo Directorio de ANDE, que fuera designado el 22/06/2015, por lo que el período transcurrido entre el 08/07/2015 y e</w:t>
      </w:r>
      <w:r w:rsidRPr="00BB0331">
        <w:rPr>
          <w:rFonts w:cs="Arial"/>
        </w:rPr>
        <w:t>l 3</w:t>
      </w:r>
      <w:r>
        <w:rPr>
          <w:rFonts w:cs="Arial"/>
        </w:rPr>
        <w:t>1</w:t>
      </w:r>
      <w:r w:rsidRPr="00BB0331">
        <w:rPr>
          <w:rFonts w:cs="Arial"/>
        </w:rPr>
        <w:t>/12/2015</w:t>
      </w:r>
      <w:r>
        <w:rPr>
          <w:rFonts w:cs="Arial"/>
        </w:rPr>
        <w:t xml:space="preserve"> constituye el primer ejercicio donde se registra una contabilidad separada y por lo tanto los estados no muestran cifras comparativas con ejercicios anteriores.</w:t>
      </w:r>
    </w:p>
    <w:p w14:paraId="009F3FC9" w14:textId="77777777" w:rsidR="00FF5B92" w:rsidRPr="00357445" w:rsidRDefault="00FF5B92" w:rsidP="00357445">
      <w:pPr>
        <w:pStyle w:val="Textoindependiente"/>
        <w:spacing w:line="360" w:lineRule="auto"/>
        <w:jc w:val="both"/>
        <w:rPr>
          <w:rFonts w:ascii="Arial" w:hAnsi="Arial" w:cs="Arial"/>
          <w:sz w:val="24"/>
          <w:szCs w:val="24"/>
          <w:lang w:val="es-ES"/>
        </w:rPr>
      </w:pPr>
      <w:r w:rsidRPr="00357445">
        <w:rPr>
          <w:rFonts w:ascii="Arial" w:hAnsi="Arial" w:cs="Arial"/>
          <w:sz w:val="24"/>
          <w:szCs w:val="24"/>
          <w:lang w:val="es-ES"/>
        </w:rPr>
        <w:t xml:space="preserve">Con fecha 30/12/2015 se suscribió un Convenio entre CND y ANDE a efectos de dar cumplimiento a lo establecido en la Ley Nº 18.602, en cuanto a la transferencia definitiva de activos de una institución a otra. El saldo a transferir se estableció en $ 307.550.443, a los que de acuerdo a lo establecido en dicho convenio, se ajustaron por las previsiones que surgieron de la validación de saldos, resultando un monto final a recibir de $ 270.053.629 compuesto por </w:t>
      </w:r>
      <w:r>
        <w:rPr>
          <w:rFonts w:ascii="Arial" w:hAnsi="Arial" w:cs="Arial"/>
          <w:sz w:val="24"/>
          <w:szCs w:val="24"/>
          <w:lang w:val="es-ES"/>
        </w:rPr>
        <w:t xml:space="preserve">                </w:t>
      </w:r>
      <w:r w:rsidRPr="00357445">
        <w:rPr>
          <w:rFonts w:ascii="Arial" w:hAnsi="Arial" w:cs="Arial"/>
          <w:sz w:val="24"/>
          <w:szCs w:val="24"/>
          <w:lang w:val="es-ES"/>
        </w:rPr>
        <w:t>$ 112.441.670 de efectivo y $ 157.611.959 de créditos. Al 31/12/2015 quedan por transferir activos por un total de $ 70</w:t>
      </w:r>
      <w:r>
        <w:rPr>
          <w:rFonts w:ascii="Arial" w:hAnsi="Arial" w:cs="Arial"/>
          <w:sz w:val="24"/>
          <w:szCs w:val="24"/>
          <w:lang w:val="es-ES"/>
        </w:rPr>
        <w:t>:</w:t>
      </w:r>
      <w:r w:rsidRPr="00357445">
        <w:rPr>
          <w:rFonts w:ascii="Arial" w:hAnsi="Arial" w:cs="Arial"/>
          <w:sz w:val="24"/>
          <w:szCs w:val="24"/>
          <w:lang w:val="es-ES"/>
        </w:rPr>
        <w:t>553.301 que se exponen en el Capítulo Patrimonio como Compromisos a capitalizar. E</w:t>
      </w:r>
      <w:r>
        <w:rPr>
          <w:rFonts w:ascii="Arial" w:hAnsi="Arial" w:cs="Arial"/>
          <w:sz w:val="24"/>
          <w:szCs w:val="24"/>
          <w:lang w:val="es-ES"/>
        </w:rPr>
        <w:t>stos se componen por</w:t>
      </w:r>
      <w:r w:rsidRPr="00357445">
        <w:rPr>
          <w:rFonts w:ascii="Arial" w:hAnsi="Arial" w:cs="Arial"/>
          <w:sz w:val="24"/>
          <w:szCs w:val="24"/>
          <w:lang w:val="es-ES"/>
        </w:rPr>
        <w:t xml:space="preserve"> un saldo remanente de</w:t>
      </w:r>
      <w:r>
        <w:rPr>
          <w:rFonts w:ascii="Arial" w:hAnsi="Arial" w:cs="Arial"/>
          <w:sz w:val="24"/>
          <w:szCs w:val="24"/>
          <w:lang w:val="es-ES"/>
        </w:rPr>
        <w:t xml:space="preserve"> disponibilidades de $ 47:441.670,</w:t>
      </w:r>
      <w:r w:rsidRPr="00357445">
        <w:rPr>
          <w:rFonts w:ascii="Arial" w:hAnsi="Arial" w:cs="Arial"/>
          <w:sz w:val="24"/>
          <w:szCs w:val="24"/>
          <w:lang w:val="es-ES"/>
        </w:rPr>
        <w:t xml:space="preserve"> créditos de los Programas BI</w:t>
      </w:r>
      <w:r>
        <w:rPr>
          <w:rFonts w:ascii="Arial" w:hAnsi="Arial" w:cs="Arial"/>
          <w:sz w:val="24"/>
          <w:szCs w:val="24"/>
          <w:lang w:val="es-ES"/>
        </w:rPr>
        <w:t>D PES y Fondo de Garantía BROU por $ 18:557.716 y otros por     $ 4:553.915</w:t>
      </w:r>
      <w:r w:rsidRPr="00357445">
        <w:rPr>
          <w:rFonts w:ascii="Arial" w:hAnsi="Arial" w:cs="Arial"/>
          <w:sz w:val="24"/>
          <w:szCs w:val="24"/>
          <w:lang w:val="es-ES"/>
        </w:rPr>
        <w:t xml:space="preserve">, los que fueron transferidos en el </w:t>
      </w:r>
      <w:r>
        <w:rPr>
          <w:rFonts w:ascii="Arial" w:hAnsi="Arial" w:cs="Arial"/>
          <w:sz w:val="24"/>
          <w:szCs w:val="24"/>
          <w:lang w:val="es-ES"/>
        </w:rPr>
        <w:t>E</w:t>
      </w:r>
      <w:r w:rsidRPr="00357445">
        <w:rPr>
          <w:rFonts w:ascii="Arial" w:hAnsi="Arial" w:cs="Arial"/>
          <w:sz w:val="24"/>
          <w:szCs w:val="24"/>
          <w:lang w:val="es-ES"/>
        </w:rPr>
        <w:t>jercicio 2016.</w:t>
      </w:r>
    </w:p>
    <w:p w14:paraId="785EB93D" w14:textId="77777777" w:rsidR="00FF5B92" w:rsidRPr="000B19D3" w:rsidRDefault="00FF5B92" w:rsidP="00F05EE0">
      <w:pPr>
        <w:pStyle w:val="Textoindependiente"/>
        <w:spacing w:line="360" w:lineRule="auto"/>
        <w:jc w:val="both"/>
        <w:rPr>
          <w:rFonts w:ascii="Arial" w:hAnsi="Arial" w:cs="Arial"/>
          <w:spacing w:val="-3"/>
          <w:sz w:val="24"/>
          <w:szCs w:val="24"/>
          <w:lang w:val="es-ES"/>
        </w:rPr>
      </w:pPr>
    </w:p>
    <w:p w14:paraId="64F55457" w14:textId="77777777" w:rsidR="00FF5B92" w:rsidRDefault="00FF5B92" w:rsidP="00F05EE0">
      <w:pPr>
        <w:pStyle w:val="Textoindependiente"/>
        <w:spacing w:line="360" w:lineRule="auto"/>
        <w:jc w:val="both"/>
        <w:rPr>
          <w:rFonts w:ascii="Arial" w:hAnsi="Arial" w:cs="Arial"/>
          <w:spacing w:val="-3"/>
          <w:sz w:val="24"/>
          <w:szCs w:val="24"/>
          <w:lang w:val="es-MX"/>
        </w:rPr>
      </w:pPr>
      <w:r>
        <w:rPr>
          <w:rFonts w:ascii="Arial" w:hAnsi="Arial" w:cs="Arial"/>
          <w:spacing w:val="-3"/>
          <w:sz w:val="24"/>
          <w:szCs w:val="24"/>
          <w:lang w:val="es-MX"/>
        </w:rPr>
        <w:lastRenderedPageBreak/>
        <w:t>Con respecto a los distintos rubros de los estados presentados y sus notas, se realiza la siguiente consideración:</w:t>
      </w:r>
    </w:p>
    <w:p w14:paraId="32B18AA9" w14:textId="77777777" w:rsidR="00FF5B92" w:rsidRPr="007527F0" w:rsidRDefault="00FF5B92" w:rsidP="009B2596">
      <w:pPr>
        <w:pStyle w:val="Sangra2detindependiente"/>
        <w:widowControl w:val="0"/>
        <w:spacing w:line="360" w:lineRule="auto"/>
        <w:ind w:firstLine="0"/>
        <w:rPr>
          <w:rFonts w:cs="Arial"/>
          <w:szCs w:val="24"/>
        </w:rPr>
      </w:pPr>
      <w:r>
        <w:rPr>
          <w:rFonts w:cs="Arial"/>
          <w:szCs w:val="24"/>
        </w:rPr>
        <w:t>Respecto al Capítulo Patrimonio, e</w:t>
      </w:r>
      <w:r w:rsidRPr="007527F0">
        <w:rPr>
          <w:rFonts w:cs="Arial"/>
          <w:szCs w:val="24"/>
        </w:rPr>
        <w:t xml:space="preserve">n la Nota 13, apartado H) se establece </w:t>
      </w:r>
      <w:r>
        <w:rPr>
          <w:rFonts w:cs="Arial"/>
          <w:szCs w:val="24"/>
        </w:rPr>
        <w:t>como importe</w:t>
      </w:r>
      <w:r w:rsidRPr="007527F0">
        <w:rPr>
          <w:rFonts w:cs="Arial"/>
          <w:szCs w:val="24"/>
        </w:rPr>
        <w:t xml:space="preserve"> final a transferir  $ 267.104.600,</w:t>
      </w:r>
      <w:r>
        <w:rPr>
          <w:rFonts w:cs="Arial"/>
          <w:szCs w:val="24"/>
        </w:rPr>
        <w:t xml:space="preserve"> monto</w:t>
      </w:r>
      <w:r w:rsidRPr="007527F0">
        <w:rPr>
          <w:rFonts w:cs="Arial"/>
          <w:szCs w:val="24"/>
        </w:rPr>
        <w:t xml:space="preserve"> que no coincide con el detallado en el cuadro </w:t>
      </w:r>
      <w:r>
        <w:rPr>
          <w:rFonts w:cs="Arial"/>
          <w:szCs w:val="24"/>
        </w:rPr>
        <w:t>de la misma nota</w:t>
      </w:r>
      <w:r w:rsidRPr="007527F0">
        <w:rPr>
          <w:rFonts w:cs="Arial"/>
          <w:szCs w:val="24"/>
        </w:rPr>
        <w:t xml:space="preserve"> donde se e</w:t>
      </w:r>
      <w:r>
        <w:rPr>
          <w:rFonts w:cs="Arial"/>
          <w:szCs w:val="24"/>
        </w:rPr>
        <w:t>xpone</w:t>
      </w:r>
      <w:r w:rsidRPr="007527F0">
        <w:rPr>
          <w:rFonts w:cs="Arial"/>
          <w:szCs w:val="24"/>
        </w:rPr>
        <w:t xml:space="preserve"> el monto correcto por </w:t>
      </w:r>
      <w:r>
        <w:rPr>
          <w:rFonts w:cs="Arial"/>
          <w:szCs w:val="24"/>
        </w:rPr>
        <w:t xml:space="preserve">                          </w:t>
      </w:r>
      <w:r w:rsidRPr="007527F0">
        <w:rPr>
          <w:rFonts w:cs="Arial"/>
          <w:szCs w:val="24"/>
        </w:rPr>
        <w:t>$ 270.053.629. La diferencia se debe a que con posterioridad a</w:t>
      </w:r>
      <w:r>
        <w:rPr>
          <w:rFonts w:cs="Arial"/>
          <w:szCs w:val="24"/>
        </w:rPr>
        <w:t xml:space="preserve"> un</w:t>
      </w:r>
      <w:r w:rsidRPr="007527F0">
        <w:rPr>
          <w:rFonts w:cs="Arial"/>
          <w:szCs w:val="24"/>
        </w:rPr>
        <w:t xml:space="preserve"> primer acuerdo, </w:t>
      </w:r>
      <w:r>
        <w:rPr>
          <w:rFonts w:cs="Arial"/>
          <w:szCs w:val="24"/>
        </w:rPr>
        <w:t>se agregaron</w:t>
      </w:r>
      <w:r w:rsidRPr="007527F0">
        <w:rPr>
          <w:rFonts w:cs="Arial"/>
          <w:szCs w:val="24"/>
        </w:rPr>
        <w:t xml:space="preserve"> Crédito</w:t>
      </w:r>
      <w:r>
        <w:rPr>
          <w:rFonts w:cs="Arial"/>
          <w:szCs w:val="24"/>
        </w:rPr>
        <w:t>s</w:t>
      </w:r>
      <w:r w:rsidRPr="007527F0">
        <w:rPr>
          <w:rFonts w:cs="Arial"/>
          <w:szCs w:val="24"/>
        </w:rPr>
        <w:t xml:space="preserve"> no considerado</w:t>
      </w:r>
      <w:r>
        <w:rPr>
          <w:rFonts w:cs="Arial"/>
          <w:szCs w:val="24"/>
        </w:rPr>
        <w:t>s</w:t>
      </w:r>
      <w:r w:rsidRPr="007527F0">
        <w:rPr>
          <w:rFonts w:cs="Arial"/>
          <w:szCs w:val="24"/>
        </w:rPr>
        <w:t xml:space="preserve"> en </w:t>
      </w:r>
      <w:r>
        <w:rPr>
          <w:rFonts w:cs="Arial"/>
          <w:szCs w:val="24"/>
        </w:rPr>
        <w:t xml:space="preserve">esa </w:t>
      </w:r>
      <w:r w:rsidRPr="007527F0">
        <w:rPr>
          <w:rFonts w:cs="Arial"/>
          <w:szCs w:val="24"/>
        </w:rPr>
        <w:t>primera instancia en la transferencia</w:t>
      </w:r>
      <w:r>
        <w:rPr>
          <w:rFonts w:cs="Arial"/>
          <w:szCs w:val="24"/>
        </w:rPr>
        <w:t>.</w:t>
      </w:r>
    </w:p>
    <w:p w14:paraId="6021554D" w14:textId="77777777" w:rsidR="00FF5B92" w:rsidRPr="00EA1C9E" w:rsidRDefault="00FF5B92" w:rsidP="00F05EE0">
      <w:pPr>
        <w:pStyle w:val="Textoindependiente2"/>
        <w:spacing w:line="360" w:lineRule="auto"/>
        <w:rPr>
          <w:rFonts w:ascii="Arial" w:hAnsi="Arial" w:cs="Arial"/>
          <w:b/>
          <w:sz w:val="24"/>
          <w:szCs w:val="24"/>
          <w:lang w:val="es-ES"/>
        </w:rPr>
      </w:pPr>
    </w:p>
    <w:p w14:paraId="79D257FD" w14:textId="77777777" w:rsidR="00FF5B92" w:rsidRPr="007527F0" w:rsidRDefault="00FF5B92" w:rsidP="00F05EE0">
      <w:pPr>
        <w:pStyle w:val="Textoindependiente2"/>
        <w:spacing w:line="360" w:lineRule="auto"/>
        <w:rPr>
          <w:rFonts w:ascii="Arial" w:hAnsi="Arial" w:cs="Arial"/>
          <w:b/>
          <w:sz w:val="24"/>
          <w:szCs w:val="24"/>
        </w:rPr>
      </w:pPr>
      <w:r w:rsidRPr="007527F0">
        <w:rPr>
          <w:rFonts w:ascii="Arial" w:hAnsi="Arial" w:cs="Arial"/>
          <w:b/>
          <w:sz w:val="24"/>
          <w:szCs w:val="24"/>
        </w:rPr>
        <w:t>2) Evaluación del Sistema de Control Interno</w:t>
      </w:r>
    </w:p>
    <w:p w14:paraId="15869021" w14:textId="77777777" w:rsidR="00FF5B92" w:rsidRDefault="00FF5B92" w:rsidP="00A3415F">
      <w:pPr>
        <w:pStyle w:val="Sangra2detindependiente"/>
        <w:widowControl w:val="0"/>
        <w:spacing w:line="360" w:lineRule="auto"/>
        <w:ind w:firstLine="0"/>
        <w:rPr>
          <w:rFonts w:cs="Arial"/>
          <w:szCs w:val="24"/>
        </w:rPr>
      </w:pPr>
      <w:r w:rsidRPr="007527F0">
        <w:rPr>
          <w:rFonts w:cs="Arial"/>
          <w:szCs w:val="24"/>
        </w:rPr>
        <w:t>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practica</w:t>
      </w:r>
      <w:r w:rsidRPr="00F05EE0">
        <w:rPr>
          <w:rFonts w:cs="Arial"/>
          <w:szCs w:val="24"/>
        </w:rPr>
        <w:t>da.</w:t>
      </w:r>
    </w:p>
    <w:p w14:paraId="66540858" w14:textId="77777777" w:rsidR="00FF5B92" w:rsidRPr="003311CE" w:rsidRDefault="00FF5B92" w:rsidP="00A3415F">
      <w:pPr>
        <w:spacing w:line="360" w:lineRule="auto"/>
        <w:jc w:val="both"/>
        <w:rPr>
          <w:rFonts w:cs="Arial"/>
        </w:rPr>
      </w:pPr>
      <w:r>
        <w:rPr>
          <w:rFonts w:cs="Arial"/>
        </w:rPr>
        <w:t>En</w:t>
      </w:r>
      <w:r w:rsidRPr="003311CE">
        <w:rPr>
          <w:rFonts w:cs="Arial"/>
        </w:rPr>
        <w:t xml:space="preserve"> la Nota </w:t>
      </w:r>
      <w:r>
        <w:rPr>
          <w:rFonts w:cs="Arial"/>
        </w:rPr>
        <w:t>12</w:t>
      </w:r>
      <w:r w:rsidRPr="003311CE">
        <w:rPr>
          <w:rFonts w:cs="Arial"/>
        </w:rPr>
        <w:t xml:space="preserve"> a los estados financieros se </w:t>
      </w:r>
      <w:r>
        <w:rPr>
          <w:rFonts w:cs="Arial"/>
        </w:rPr>
        <w:t>establece el monto de</w:t>
      </w:r>
      <w:r w:rsidRPr="003311CE">
        <w:rPr>
          <w:rFonts w:cs="Arial"/>
        </w:rPr>
        <w:t xml:space="preserve"> las compensaciones que recibió </w:t>
      </w:r>
      <w:r>
        <w:rPr>
          <w:rFonts w:cs="Arial"/>
        </w:rPr>
        <w:t xml:space="preserve">el personal clave </w:t>
      </w:r>
      <w:r w:rsidRPr="003311CE">
        <w:rPr>
          <w:rFonts w:cs="Arial"/>
        </w:rPr>
        <w:t xml:space="preserve">durante </w:t>
      </w:r>
      <w:r>
        <w:rPr>
          <w:rFonts w:cs="Arial"/>
        </w:rPr>
        <w:t>e</w:t>
      </w:r>
      <w:r w:rsidRPr="003311CE">
        <w:rPr>
          <w:rFonts w:cs="Arial"/>
        </w:rPr>
        <w:t xml:space="preserve">l </w:t>
      </w:r>
      <w:r>
        <w:rPr>
          <w:rFonts w:cs="Arial"/>
        </w:rPr>
        <w:t>E</w:t>
      </w:r>
      <w:r w:rsidRPr="003311CE">
        <w:rPr>
          <w:rFonts w:cs="Arial"/>
        </w:rPr>
        <w:t>jercicio</w:t>
      </w:r>
      <w:r>
        <w:rPr>
          <w:rFonts w:cs="Arial"/>
        </w:rPr>
        <w:t xml:space="preserve"> </w:t>
      </w:r>
      <w:r w:rsidRPr="003311CE">
        <w:rPr>
          <w:rFonts w:cs="Arial"/>
        </w:rPr>
        <w:t>2015</w:t>
      </w:r>
      <w:r>
        <w:rPr>
          <w:rFonts w:cs="Arial"/>
        </w:rPr>
        <w:t>. No obstante no se cumple a cabalidad lo establecido en la NIC 24, párrafos 16 a 18 en relación a la información a revelar.</w:t>
      </w:r>
    </w:p>
    <w:p w14:paraId="40D10750" w14:textId="77777777" w:rsidR="00FF5B92" w:rsidRPr="00E667F9" w:rsidRDefault="00FF5B92" w:rsidP="00F05EE0">
      <w:pPr>
        <w:pStyle w:val="Textoindependiente"/>
        <w:spacing w:line="360" w:lineRule="auto"/>
        <w:jc w:val="both"/>
        <w:rPr>
          <w:rFonts w:ascii="Arial" w:hAnsi="Arial" w:cs="Arial"/>
          <w:b/>
          <w:sz w:val="24"/>
          <w:szCs w:val="24"/>
          <w:lang w:val="es-ES"/>
        </w:rPr>
      </w:pPr>
    </w:p>
    <w:p w14:paraId="2E125EC2" w14:textId="77777777" w:rsidR="00FF5B92" w:rsidRPr="00F05EE0" w:rsidRDefault="00FF5B92" w:rsidP="00F05EE0">
      <w:pPr>
        <w:pStyle w:val="Sangradetextonormal"/>
        <w:tabs>
          <w:tab w:val="clear" w:pos="2552"/>
          <w:tab w:val="left" w:pos="0"/>
        </w:tabs>
        <w:spacing w:line="360" w:lineRule="auto"/>
        <w:ind w:firstLine="0"/>
        <w:rPr>
          <w:rFonts w:ascii="Arial" w:hAnsi="Arial" w:cs="Arial"/>
          <w:b/>
          <w:szCs w:val="24"/>
        </w:rPr>
      </w:pPr>
      <w:r>
        <w:rPr>
          <w:rFonts w:ascii="Arial" w:hAnsi="Arial" w:cs="Arial"/>
          <w:b/>
          <w:szCs w:val="24"/>
        </w:rPr>
        <w:t>3)  Recomendaciones</w:t>
      </w:r>
    </w:p>
    <w:p w14:paraId="11C9F206" w14:textId="77777777" w:rsidR="00FF5B92" w:rsidRDefault="00FF5B92" w:rsidP="002401CE">
      <w:pPr>
        <w:pStyle w:val="Textoindependiente"/>
        <w:spacing w:line="360" w:lineRule="auto"/>
        <w:jc w:val="both"/>
        <w:rPr>
          <w:rFonts w:ascii="Arial" w:hAnsi="Arial" w:cs="Arial"/>
          <w:spacing w:val="-3"/>
          <w:sz w:val="24"/>
          <w:szCs w:val="24"/>
          <w:lang w:val="es-MX"/>
        </w:rPr>
      </w:pPr>
      <w:r>
        <w:rPr>
          <w:rFonts w:ascii="Arial" w:hAnsi="Arial" w:cs="Arial"/>
          <w:spacing w:val="-3"/>
          <w:sz w:val="24"/>
          <w:szCs w:val="24"/>
          <w:lang w:val="es-MX"/>
        </w:rPr>
        <w:t>Revelar en las Notas a los estados financieros la información requerida en relación al personal clave de la Institución (Numeral 2).</w:t>
      </w:r>
    </w:p>
    <w:p w14:paraId="13E57499" w14:textId="77777777" w:rsidR="00FF5B92" w:rsidRDefault="00FF5B92" w:rsidP="002C4C99">
      <w:pPr>
        <w:pStyle w:val="Textoindependiente"/>
        <w:autoSpaceDE w:val="0"/>
        <w:autoSpaceDN w:val="0"/>
        <w:adjustRightInd w:val="0"/>
        <w:spacing w:line="360" w:lineRule="auto"/>
        <w:jc w:val="right"/>
        <w:rPr>
          <w:rFonts w:ascii="Arial" w:hAnsi="Arial" w:cs="Arial"/>
          <w:spacing w:val="-3"/>
          <w:sz w:val="24"/>
          <w:szCs w:val="24"/>
          <w:lang w:val="es-MX"/>
        </w:rPr>
      </w:pPr>
      <w:r w:rsidRPr="00F05EE0">
        <w:rPr>
          <w:rFonts w:ascii="Arial" w:hAnsi="Arial" w:cs="Arial"/>
          <w:spacing w:val="-3"/>
          <w:sz w:val="24"/>
          <w:szCs w:val="24"/>
          <w:lang w:val="es-MX"/>
        </w:rPr>
        <w:t>Montevideo,</w:t>
      </w:r>
      <w:r>
        <w:rPr>
          <w:rFonts w:ascii="Arial" w:hAnsi="Arial" w:cs="Arial"/>
          <w:spacing w:val="-3"/>
          <w:sz w:val="24"/>
          <w:szCs w:val="24"/>
          <w:lang w:val="es-MX"/>
        </w:rPr>
        <w:t xml:space="preserve"> 19 de octubre de 2016</w:t>
      </w:r>
    </w:p>
    <w:p w14:paraId="596A534D" w14:textId="558141CA" w:rsidR="006163BC" w:rsidRPr="00FF5B92" w:rsidRDefault="00FF5B92" w:rsidP="00FF5B92">
      <w:pPr>
        <w:pStyle w:val="Textoindependiente"/>
        <w:autoSpaceDE w:val="0"/>
        <w:autoSpaceDN w:val="0"/>
        <w:adjustRightInd w:val="0"/>
        <w:spacing w:line="360" w:lineRule="auto"/>
        <w:rPr>
          <w:rFonts w:cs="Arial"/>
        </w:rPr>
      </w:pPr>
      <w:proofErr w:type="spellStart"/>
      <w:proofErr w:type="gramStart"/>
      <w:r>
        <w:rPr>
          <w:rFonts w:ascii="Arial" w:hAnsi="Arial" w:cs="Arial"/>
          <w:spacing w:val="-3"/>
          <w:sz w:val="24"/>
          <w:szCs w:val="24"/>
          <w:lang w:val="es-MX"/>
        </w:rPr>
        <w:t>ag</w:t>
      </w:r>
      <w:proofErr w:type="spellEnd"/>
      <w:proofErr w:type="gramEnd"/>
    </w:p>
    <w:sectPr w:rsidR="006163BC" w:rsidRPr="00FF5B92" w:rsidSect="00E73A71">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BB942" w14:textId="77777777" w:rsidR="00DB197C" w:rsidRDefault="00DB197C">
      <w:r>
        <w:separator/>
      </w:r>
    </w:p>
  </w:endnote>
  <w:endnote w:type="continuationSeparator" w:id="0">
    <w:p w14:paraId="13A565B6" w14:textId="77777777" w:rsidR="00DB197C" w:rsidRDefault="00DB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AE49B" w14:textId="77777777" w:rsidR="00DB197C" w:rsidRDefault="00DB197C">
    <w:pPr>
      <w:pStyle w:val="Piedepgina"/>
      <w:jc w:val="center"/>
    </w:pPr>
    <w:r>
      <w:fldChar w:fldCharType="begin"/>
    </w:r>
    <w:r>
      <w:instrText>PAGE   \* MERGEFORMAT</w:instrText>
    </w:r>
    <w:r>
      <w:fldChar w:fldCharType="separate"/>
    </w:r>
    <w:r w:rsidR="00BC0F9E">
      <w:rPr>
        <w:noProof/>
      </w:rPr>
      <w:t>1</w:t>
    </w:r>
    <w:r>
      <w:fldChar w:fldCharType="end"/>
    </w:r>
  </w:p>
  <w:p w14:paraId="5F00EBAB" w14:textId="77777777" w:rsidR="00DB197C" w:rsidRDefault="00DB19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24B72" w14:textId="77777777" w:rsidR="00DB197C" w:rsidRDefault="00DB197C">
      <w:r>
        <w:separator/>
      </w:r>
    </w:p>
  </w:footnote>
  <w:footnote w:type="continuationSeparator" w:id="0">
    <w:p w14:paraId="6EA1AE14" w14:textId="77777777" w:rsidR="00DB197C" w:rsidRDefault="00DB1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559B"/>
    <w:multiLevelType w:val="hybridMultilevel"/>
    <w:tmpl w:val="63820ECA"/>
    <w:lvl w:ilvl="0" w:tplc="207464A4">
      <w:start w:val="2"/>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10692F04"/>
    <w:multiLevelType w:val="hybridMultilevel"/>
    <w:tmpl w:val="A4C490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39B58CA"/>
    <w:multiLevelType w:val="hybridMultilevel"/>
    <w:tmpl w:val="7D1C1BA6"/>
    <w:lvl w:ilvl="0" w:tplc="E21E369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7A25D27"/>
    <w:multiLevelType w:val="hybridMultilevel"/>
    <w:tmpl w:val="546E7164"/>
    <w:lvl w:ilvl="0" w:tplc="6EE6D126">
      <w:start w:val="1"/>
      <w:numFmt w:val="bullet"/>
      <w:lvlText w:val="-"/>
      <w:lvlJc w:val="left"/>
      <w:pPr>
        <w:ind w:left="1080" w:hanging="360"/>
      </w:pPr>
      <w:rPr>
        <w:rFonts w:ascii="Calibri" w:eastAsiaTheme="minorEastAsia"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50C83F78"/>
    <w:multiLevelType w:val="hybridMultilevel"/>
    <w:tmpl w:val="0A386770"/>
    <w:lvl w:ilvl="0" w:tplc="C20CB83A">
      <w:start w:val="2"/>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61E858F0"/>
    <w:multiLevelType w:val="hybridMultilevel"/>
    <w:tmpl w:val="8388686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3A033E3"/>
    <w:multiLevelType w:val="hybridMultilevel"/>
    <w:tmpl w:val="74765434"/>
    <w:lvl w:ilvl="0" w:tplc="E48A4858">
      <w:start w:val="1"/>
      <w:numFmt w:val="decimal"/>
      <w:lvlText w:val="%1)"/>
      <w:lvlJc w:val="left"/>
      <w:pPr>
        <w:tabs>
          <w:tab w:val="num" w:pos="360"/>
        </w:tabs>
        <w:ind w:left="340" w:hanging="340"/>
      </w:pPr>
      <w:rPr>
        <w:rFonts w:ascii="Arial" w:eastAsia="Calibri" w:hAnsi="Arial" w:cs="Times New Roman"/>
        <w:b/>
        <w:sz w:val="24"/>
      </w:rPr>
    </w:lvl>
    <w:lvl w:ilvl="1" w:tplc="2F3A4A26">
      <w:start w:val="4"/>
      <w:numFmt w:val="decimal"/>
      <w:lvlText w:val="%2."/>
      <w:lvlJc w:val="left"/>
      <w:pPr>
        <w:tabs>
          <w:tab w:val="num" w:pos="1515"/>
        </w:tabs>
        <w:ind w:left="1515" w:hanging="43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5576337"/>
    <w:multiLevelType w:val="hybridMultilevel"/>
    <w:tmpl w:val="9AB8333E"/>
    <w:lvl w:ilvl="0" w:tplc="CBC4D09C">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8E5"/>
    <w:rsid w:val="00011064"/>
    <w:rsid w:val="00021500"/>
    <w:rsid w:val="000336D7"/>
    <w:rsid w:val="00037161"/>
    <w:rsid w:val="000417B1"/>
    <w:rsid w:val="0004390D"/>
    <w:rsid w:val="000462D7"/>
    <w:rsid w:val="000509F6"/>
    <w:rsid w:val="00054E71"/>
    <w:rsid w:val="0006756F"/>
    <w:rsid w:val="000A589A"/>
    <w:rsid w:val="000B1809"/>
    <w:rsid w:val="000B19D3"/>
    <w:rsid w:val="000F7C08"/>
    <w:rsid w:val="001B2F20"/>
    <w:rsid w:val="001B5744"/>
    <w:rsid w:val="001C69B9"/>
    <w:rsid w:val="00230346"/>
    <w:rsid w:val="002401CE"/>
    <w:rsid w:val="00250135"/>
    <w:rsid w:val="00250BF7"/>
    <w:rsid w:val="002614CF"/>
    <w:rsid w:val="00280C9C"/>
    <w:rsid w:val="002A4538"/>
    <w:rsid w:val="002C4C99"/>
    <w:rsid w:val="002F139B"/>
    <w:rsid w:val="00311791"/>
    <w:rsid w:val="00330727"/>
    <w:rsid w:val="003521C8"/>
    <w:rsid w:val="00357445"/>
    <w:rsid w:val="003666E9"/>
    <w:rsid w:val="00386BA1"/>
    <w:rsid w:val="00386FE9"/>
    <w:rsid w:val="003A240C"/>
    <w:rsid w:val="003A4A01"/>
    <w:rsid w:val="00406834"/>
    <w:rsid w:val="00406E9C"/>
    <w:rsid w:val="004302AD"/>
    <w:rsid w:val="00436C84"/>
    <w:rsid w:val="00446E71"/>
    <w:rsid w:val="00465C91"/>
    <w:rsid w:val="004B6CED"/>
    <w:rsid w:val="004C1EA5"/>
    <w:rsid w:val="004C32DA"/>
    <w:rsid w:val="004F3C22"/>
    <w:rsid w:val="00552256"/>
    <w:rsid w:val="005D34E2"/>
    <w:rsid w:val="005E7EDF"/>
    <w:rsid w:val="005F632B"/>
    <w:rsid w:val="00615CDD"/>
    <w:rsid w:val="006163BC"/>
    <w:rsid w:val="00657101"/>
    <w:rsid w:val="00694B26"/>
    <w:rsid w:val="006A54C9"/>
    <w:rsid w:val="006C0572"/>
    <w:rsid w:val="006F0116"/>
    <w:rsid w:val="00700D10"/>
    <w:rsid w:val="007527F0"/>
    <w:rsid w:val="007534F1"/>
    <w:rsid w:val="0076241F"/>
    <w:rsid w:val="00764720"/>
    <w:rsid w:val="00773273"/>
    <w:rsid w:val="00774355"/>
    <w:rsid w:val="007767FA"/>
    <w:rsid w:val="007C4273"/>
    <w:rsid w:val="008049EE"/>
    <w:rsid w:val="00813F72"/>
    <w:rsid w:val="008351BB"/>
    <w:rsid w:val="00840756"/>
    <w:rsid w:val="00851C9F"/>
    <w:rsid w:val="00867CC3"/>
    <w:rsid w:val="008949EA"/>
    <w:rsid w:val="008B3458"/>
    <w:rsid w:val="008F18FE"/>
    <w:rsid w:val="0090236C"/>
    <w:rsid w:val="00934F47"/>
    <w:rsid w:val="00973BC9"/>
    <w:rsid w:val="009A1708"/>
    <w:rsid w:val="009B2596"/>
    <w:rsid w:val="009B6F0B"/>
    <w:rsid w:val="009D365A"/>
    <w:rsid w:val="00A00FC4"/>
    <w:rsid w:val="00A22661"/>
    <w:rsid w:val="00A3415F"/>
    <w:rsid w:val="00A34708"/>
    <w:rsid w:val="00A47C62"/>
    <w:rsid w:val="00A5741E"/>
    <w:rsid w:val="00A818E5"/>
    <w:rsid w:val="00A95274"/>
    <w:rsid w:val="00AE1398"/>
    <w:rsid w:val="00B32262"/>
    <w:rsid w:val="00B43B57"/>
    <w:rsid w:val="00B449F0"/>
    <w:rsid w:val="00B60BDE"/>
    <w:rsid w:val="00B745BD"/>
    <w:rsid w:val="00B91D0A"/>
    <w:rsid w:val="00BA6F7F"/>
    <w:rsid w:val="00BB7B59"/>
    <w:rsid w:val="00BC0F9E"/>
    <w:rsid w:val="00BD2394"/>
    <w:rsid w:val="00BF2950"/>
    <w:rsid w:val="00BF3CD0"/>
    <w:rsid w:val="00BF5205"/>
    <w:rsid w:val="00BF6803"/>
    <w:rsid w:val="00BF77CF"/>
    <w:rsid w:val="00C377CD"/>
    <w:rsid w:val="00CB5C92"/>
    <w:rsid w:val="00CC326D"/>
    <w:rsid w:val="00CD77A4"/>
    <w:rsid w:val="00D26E01"/>
    <w:rsid w:val="00D44F86"/>
    <w:rsid w:val="00D64E7D"/>
    <w:rsid w:val="00DB197C"/>
    <w:rsid w:val="00DB30F2"/>
    <w:rsid w:val="00DF3591"/>
    <w:rsid w:val="00E03B6E"/>
    <w:rsid w:val="00E15DD2"/>
    <w:rsid w:val="00E32AF4"/>
    <w:rsid w:val="00E371EE"/>
    <w:rsid w:val="00E667F9"/>
    <w:rsid w:val="00E73A71"/>
    <w:rsid w:val="00EA1C9E"/>
    <w:rsid w:val="00EE2C74"/>
    <w:rsid w:val="00F05EE0"/>
    <w:rsid w:val="00F10CCE"/>
    <w:rsid w:val="00F229FE"/>
    <w:rsid w:val="00F238C5"/>
    <w:rsid w:val="00FA764A"/>
    <w:rsid w:val="00FB2000"/>
    <w:rsid w:val="00FE22FD"/>
    <w:rsid w:val="00FF5B9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C0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rsid w:val="00A818E5"/>
    <w:pPr>
      <w:keepNext/>
      <w:outlineLvl w:val="0"/>
    </w:pPr>
    <w:rPr>
      <w:rFonts w:ascii="Times New Roman" w:hAnsi="Times New Roman"/>
      <w:sz w:val="28"/>
      <w:lang w:val="es-UY"/>
    </w:rPr>
  </w:style>
  <w:style w:type="paragraph" w:styleId="Ttulo3">
    <w:name w:val="heading 3"/>
    <w:basedOn w:val="Normal"/>
    <w:next w:val="Normal"/>
    <w:link w:val="Ttulo3Car"/>
    <w:qFormat/>
    <w:rsid w:val="00F05EE0"/>
    <w:pPr>
      <w:keepNext/>
      <w:jc w:val="center"/>
      <w:outlineLvl w:val="2"/>
    </w:pPr>
    <w:rPr>
      <w:rFonts w:ascii="Bookman Old Style" w:hAnsi="Bookman Old Style"/>
      <w:b/>
      <w:szCs w:val="20"/>
    </w:rPr>
  </w:style>
  <w:style w:type="paragraph" w:styleId="Ttulo4">
    <w:name w:val="heading 4"/>
    <w:basedOn w:val="Normal"/>
    <w:next w:val="Normal"/>
    <w:link w:val="Ttulo4Car"/>
    <w:uiPriority w:val="9"/>
    <w:semiHidden/>
    <w:unhideWhenUsed/>
    <w:qFormat/>
    <w:rsid w:val="006163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818E5"/>
    <w:pPr>
      <w:tabs>
        <w:tab w:val="center" w:pos="4419"/>
        <w:tab w:val="right" w:pos="8838"/>
      </w:tabs>
    </w:pPr>
  </w:style>
  <w:style w:type="character" w:customStyle="1" w:styleId="PiedepginaCar">
    <w:name w:val="Pie de página Car"/>
    <w:basedOn w:val="Fuentedeprrafopredeter"/>
    <w:link w:val="Piedepgina"/>
    <w:uiPriority w:val="99"/>
    <w:rsid w:val="00A818E5"/>
    <w:rPr>
      <w:rFonts w:ascii="Arial" w:hAnsi="Arial"/>
      <w:sz w:val="24"/>
      <w:szCs w:val="24"/>
      <w:lang w:val="es-ES" w:eastAsia="es-ES"/>
    </w:rPr>
  </w:style>
  <w:style w:type="paragraph" w:styleId="Prrafodelista">
    <w:name w:val="List Paragraph"/>
    <w:basedOn w:val="Normal"/>
    <w:uiPriority w:val="34"/>
    <w:qFormat/>
    <w:rsid w:val="00A818E5"/>
    <w:pPr>
      <w:ind w:left="720"/>
      <w:contextualSpacing/>
    </w:pPr>
  </w:style>
  <w:style w:type="character" w:customStyle="1" w:styleId="Ttulo1Car">
    <w:name w:val="Título 1 Car"/>
    <w:basedOn w:val="Fuentedeprrafopredeter"/>
    <w:link w:val="Ttulo1"/>
    <w:rsid w:val="00A818E5"/>
    <w:rPr>
      <w:sz w:val="28"/>
      <w:szCs w:val="24"/>
      <w:lang w:val="es-UY" w:eastAsia="es-ES"/>
    </w:rPr>
  </w:style>
  <w:style w:type="character" w:customStyle="1" w:styleId="Ttulo3Car">
    <w:name w:val="Título 3 Car"/>
    <w:basedOn w:val="Fuentedeprrafopredeter"/>
    <w:link w:val="Ttulo3"/>
    <w:rsid w:val="00F05EE0"/>
    <w:rPr>
      <w:rFonts w:ascii="Bookman Old Style" w:hAnsi="Bookman Old Style"/>
      <w:b/>
      <w:sz w:val="24"/>
      <w:lang w:val="es-ES" w:eastAsia="es-ES"/>
    </w:rPr>
  </w:style>
  <w:style w:type="paragraph" w:styleId="Textoindependiente">
    <w:name w:val="Body Text"/>
    <w:basedOn w:val="Normal"/>
    <w:link w:val="TextoindependienteCar"/>
    <w:semiHidden/>
    <w:rsid w:val="00F05EE0"/>
    <w:pPr>
      <w:spacing w:line="480" w:lineRule="auto"/>
    </w:pPr>
    <w:rPr>
      <w:rFonts w:ascii="Times New Roman" w:hAnsi="Times New Roman"/>
      <w:sz w:val="23"/>
      <w:szCs w:val="23"/>
      <w:lang w:val="es-UY"/>
    </w:rPr>
  </w:style>
  <w:style w:type="character" w:customStyle="1" w:styleId="TextoindependienteCar">
    <w:name w:val="Texto independiente Car"/>
    <w:basedOn w:val="Fuentedeprrafopredeter"/>
    <w:link w:val="Textoindependiente"/>
    <w:semiHidden/>
    <w:rsid w:val="00F05EE0"/>
    <w:rPr>
      <w:sz w:val="23"/>
      <w:szCs w:val="23"/>
      <w:lang w:val="es-UY" w:eastAsia="es-ES"/>
    </w:rPr>
  </w:style>
  <w:style w:type="paragraph" w:styleId="Textoindependiente2">
    <w:name w:val="Body Text 2"/>
    <w:basedOn w:val="Normal"/>
    <w:link w:val="Textoindependiente2Car"/>
    <w:semiHidden/>
    <w:rsid w:val="00F05EE0"/>
    <w:pPr>
      <w:spacing w:line="480" w:lineRule="auto"/>
      <w:jc w:val="both"/>
    </w:pPr>
    <w:rPr>
      <w:rFonts w:ascii="Times New Roman" w:hAnsi="Times New Roman"/>
      <w:sz w:val="23"/>
      <w:szCs w:val="23"/>
      <w:lang w:val="es-UY"/>
    </w:rPr>
  </w:style>
  <w:style w:type="character" w:customStyle="1" w:styleId="Textoindependiente2Car">
    <w:name w:val="Texto independiente 2 Car"/>
    <w:basedOn w:val="Fuentedeprrafopredeter"/>
    <w:link w:val="Textoindependiente2"/>
    <w:semiHidden/>
    <w:rsid w:val="00F05EE0"/>
    <w:rPr>
      <w:sz w:val="23"/>
      <w:szCs w:val="23"/>
      <w:lang w:val="es-UY" w:eastAsia="es-ES"/>
    </w:rPr>
  </w:style>
  <w:style w:type="paragraph" w:styleId="Sangradetextonormal">
    <w:name w:val="Body Text Indent"/>
    <w:basedOn w:val="Normal"/>
    <w:link w:val="SangradetextonormalCar"/>
    <w:semiHidden/>
    <w:rsid w:val="00F05EE0"/>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F05EE0"/>
    <w:rPr>
      <w:rFonts w:ascii="Bookman Old Style" w:hAnsi="Bookman Old Style"/>
      <w:sz w:val="24"/>
      <w:lang w:val="es-ES" w:eastAsia="es-ES"/>
    </w:rPr>
  </w:style>
  <w:style w:type="paragraph" w:styleId="Sangra2detindependiente">
    <w:name w:val="Body Text Indent 2"/>
    <w:basedOn w:val="Normal"/>
    <w:link w:val="Sangra2detindependienteCar"/>
    <w:semiHidden/>
    <w:rsid w:val="00F05EE0"/>
    <w:pPr>
      <w:ind w:firstLine="1276"/>
      <w:jc w:val="both"/>
    </w:pPr>
    <w:rPr>
      <w:szCs w:val="20"/>
    </w:rPr>
  </w:style>
  <w:style w:type="character" w:customStyle="1" w:styleId="Sangra2detindependienteCar">
    <w:name w:val="Sangría 2 de t. independiente Car"/>
    <w:basedOn w:val="Fuentedeprrafopredeter"/>
    <w:link w:val="Sangra2detindependiente"/>
    <w:semiHidden/>
    <w:rsid w:val="00F05EE0"/>
    <w:rPr>
      <w:rFonts w:ascii="Arial" w:hAnsi="Arial"/>
      <w:sz w:val="24"/>
      <w:lang w:val="es-ES" w:eastAsia="es-ES"/>
    </w:rPr>
  </w:style>
  <w:style w:type="paragraph" w:customStyle="1" w:styleId="Sangradetindependiente">
    <w:name w:val="SangrÌa de t. independiente"/>
    <w:basedOn w:val="Normal"/>
    <w:rsid w:val="007534F1"/>
    <w:pPr>
      <w:tabs>
        <w:tab w:val="left" w:pos="860"/>
      </w:tabs>
      <w:spacing w:after="260"/>
      <w:jc w:val="both"/>
    </w:pPr>
    <w:rPr>
      <w:rFonts w:ascii="Times" w:hAnsi="Times"/>
      <w:sz w:val="22"/>
      <w:szCs w:val="20"/>
    </w:rPr>
  </w:style>
  <w:style w:type="paragraph" w:styleId="Textodeglobo">
    <w:name w:val="Balloon Text"/>
    <w:basedOn w:val="Normal"/>
    <w:link w:val="TextodegloboCar"/>
    <w:uiPriority w:val="99"/>
    <w:semiHidden/>
    <w:unhideWhenUsed/>
    <w:rsid w:val="00280C9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C9C"/>
    <w:rPr>
      <w:rFonts w:ascii="Tahoma" w:hAnsi="Tahoma" w:cs="Tahoma"/>
      <w:sz w:val="16"/>
      <w:szCs w:val="16"/>
      <w:lang w:val="es-ES" w:eastAsia="es-ES"/>
    </w:rPr>
  </w:style>
  <w:style w:type="character" w:customStyle="1" w:styleId="Ttulo4Car">
    <w:name w:val="Título 4 Car"/>
    <w:basedOn w:val="Fuentedeprrafopredeter"/>
    <w:link w:val="Ttulo4"/>
    <w:uiPriority w:val="9"/>
    <w:semiHidden/>
    <w:rsid w:val="006163BC"/>
    <w:rPr>
      <w:rFonts w:asciiTheme="majorHAnsi" w:eastAsiaTheme="majorEastAsia" w:hAnsiTheme="majorHAnsi" w:cstheme="majorBidi"/>
      <w:b/>
      <w:bCs/>
      <w:i/>
      <w:iCs/>
      <w:color w:val="4F81BD" w:themeColor="accent1"/>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rsid w:val="00A818E5"/>
    <w:pPr>
      <w:keepNext/>
      <w:outlineLvl w:val="0"/>
    </w:pPr>
    <w:rPr>
      <w:rFonts w:ascii="Times New Roman" w:hAnsi="Times New Roman"/>
      <w:sz w:val="28"/>
      <w:lang w:val="es-UY"/>
    </w:rPr>
  </w:style>
  <w:style w:type="paragraph" w:styleId="Ttulo3">
    <w:name w:val="heading 3"/>
    <w:basedOn w:val="Normal"/>
    <w:next w:val="Normal"/>
    <w:link w:val="Ttulo3Car"/>
    <w:qFormat/>
    <w:rsid w:val="00F05EE0"/>
    <w:pPr>
      <w:keepNext/>
      <w:jc w:val="center"/>
      <w:outlineLvl w:val="2"/>
    </w:pPr>
    <w:rPr>
      <w:rFonts w:ascii="Bookman Old Style" w:hAnsi="Bookman Old Style"/>
      <w:b/>
      <w:szCs w:val="20"/>
    </w:rPr>
  </w:style>
  <w:style w:type="paragraph" w:styleId="Ttulo4">
    <w:name w:val="heading 4"/>
    <w:basedOn w:val="Normal"/>
    <w:next w:val="Normal"/>
    <w:link w:val="Ttulo4Car"/>
    <w:uiPriority w:val="9"/>
    <w:semiHidden/>
    <w:unhideWhenUsed/>
    <w:qFormat/>
    <w:rsid w:val="006163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818E5"/>
    <w:pPr>
      <w:tabs>
        <w:tab w:val="center" w:pos="4419"/>
        <w:tab w:val="right" w:pos="8838"/>
      </w:tabs>
    </w:pPr>
  </w:style>
  <w:style w:type="character" w:customStyle="1" w:styleId="PiedepginaCar">
    <w:name w:val="Pie de página Car"/>
    <w:basedOn w:val="Fuentedeprrafopredeter"/>
    <w:link w:val="Piedepgina"/>
    <w:uiPriority w:val="99"/>
    <w:rsid w:val="00A818E5"/>
    <w:rPr>
      <w:rFonts w:ascii="Arial" w:hAnsi="Arial"/>
      <w:sz w:val="24"/>
      <w:szCs w:val="24"/>
      <w:lang w:val="es-ES" w:eastAsia="es-ES"/>
    </w:rPr>
  </w:style>
  <w:style w:type="paragraph" w:styleId="Prrafodelista">
    <w:name w:val="List Paragraph"/>
    <w:basedOn w:val="Normal"/>
    <w:uiPriority w:val="34"/>
    <w:qFormat/>
    <w:rsid w:val="00A818E5"/>
    <w:pPr>
      <w:ind w:left="720"/>
      <w:contextualSpacing/>
    </w:pPr>
  </w:style>
  <w:style w:type="character" w:customStyle="1" w:styleId="Ttulo1Car">
    <w:name w:val="Título 1 Car"/>
    <w:basedOn w:val="Fuentedeprrafopredeter"/>
    <w:link w:val="Ttulo1"/>
    <w:rsid w:val="00A818E5"/>
    <w:rPr>
      <w:sz w:val="28"/>
      <w:szCs w:val="24"/>
      <w:lang w:val="es-UY" w:eastAsia="es-ES"/>
    </w:rPr>
  </w:style>
  <w:style w:type="character" w:customStyle="1" w:styleId="Ttulo3Car">
    <w:name w:val="Título 3 Car"/>
    <w:basedOn w:val="Fuentedeprrafopredeter"/>
    <w:link w:val="Ttulo3"/>
    <w:rsid w:val="00F05EE0"/>
    <w:rPr>
      <w:rFonts w:ascii="Bookman Old Style" w:hAnsi="Bookman Old Style"/>
      <w:b/>
      <w:sz w:val="24"/>
      <w:lang w:val="es-ES" w:eastAsia="es-ES"/>
    </w:rPr>
  </w:style>
  <w:style w:type="paragraph" w:styleId="Textoindependiente">
    <w:name w:val="Body Text"/>
    <w:basedOn w:val="Normal"/>
    <w:link w:val="TextoindependienteCar"/>
    <w:semiHidden/>
    <w:rsid w:val="00F05EE0"/>
    <w:pPr>
      <w:spacing w:line="480" w:lineRule="auto"/>
    </w:pPr>
    <w:rPr>
      <w:rFonts w:ascii="Times New Roman" w:hAnsi="Times New Roman"/>
      <w:sz w:val="23"/>
      <w:szCs w:val="23"/>
      <w:lang w:val="es-UY"/>
    </w:rPr>
  </w:style>
  <w:style w:type="character" w:customStyle="1" w:styleId="TextoindependienteCar">
    <w:name w:val="Texto independiente Car"/>
    <w:basedOn w:val="Fuentedeprrafopredeter"/>
    <w:link w:val="Textoindependiente"/>
    <w:semiHidden/>
    <w:rsid w:val="00F05EE0"/>
    <w:rPr>
      <w:sz w:val="23"/>
      <w:szCs w:val="23"/>
      <w:lang w:val="es-UY" w:eastAsia="es-ES"/>
    </w:rPr>
  </w:style>
  <w:style w:type="paragraph" w:styleId="Textoindependiente2">
    <w:name w:val="Body Text 2"/>
    <w:basedOn w:val="Normal"/>
    <w:link w:val="Textoindependiente2Car"/>
    <w:semiHidden/>
    <w:rsid w:val="00F05EE0"/>
    <w:pPr>
      <w:spacing w:line="480" w:lineRule="auto"/>
      <w:jc w:val="both"/>
    </w:pPr>
    <w:rPr>
      <w:rFonts w:ascii="Times New Roman" w:hAnsi="Times New Roman"/>
      <w:sz w:val="23"/>
      <w:szCs w:val="23"/>
      <w:lang w:val="es-UY"/>
    </w:rPr>
  </w:style>
  <w:style w:type="character" w:customStyle="1" w:styleId="Textoindependiente2Car">
    <w:name w:val="Texto independiente 2 Car"/>
    <w:basedOn w:val="Fuentedeprrafopredeter"/>
    <w:link w:val="Textoindependiente2"/>
    <w:semiHidden/>
    <w:rsid w:val="00F05EE0"/>
    <w:rPr>
      <w:sz w:val="23"/>
      <w:szCs w:val="23"/>
      <w:lang w:val="es-UY" w:eastAsia="es-ES"/>
    </w:rPr>
  </w:style>
  <w:style w:type="paragraph" w:styleId="Sangradetextonormal">
    <w:name w:val="Body Text Indent"/>
    <w:basedOn w:val="Normal"/>
    <w:link w:val="SangradetextonormalCar"/>
    <w:semiHidden/>
    <w:rsid w:val="00F05EE0"/>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F05EE0"/>
    <w:rPr>
      <w:rFonts w:ascii="Bookman Old Style" w:hAnsi="Bookman Old Style"/>
      <w:sz w:val="24"/>
      <w:lang w:val="es-ES" w:eastAsia="es-ES"/>
    </w:rPr>
  </w:style>
  <w:style w:type="paragraph" w:styleId="Sangra2detindependiente">
    <w:name w:val="Body Text Indent 2"/>
    <w:basedOn w:val="Normal"/>
    <w:link w:val="Sangra2detindependienteCar"/>
    <w:semiHidden/>
    <w:rsid w:val="00F05EE0"/>
    <w:pPr>
      <w:ind w:firstLine="1276"/>
      <w:jc w:val="both"/>
    </w:pPr>
    <w:rPr>
      <w:szCs w:val="20"/>
    </w:rPr>
  </w:style>
  <w:style w:type="character" w:customStyle="1" w:styleId="Sangra2detindependienteCar">
    <w:name w:val="Sangría 2 de t. independiente Car"/>
    <w:basedOn w:val="Fuentedeprrafopredeter"/>
    <w:link w:val="Sangra2detindependiente"/>
    <w:semiHidden/>
    <w:rsid w:val="00F05EE0"/>
    <w:rPr>
      <w:rFonts w:ascii="Arial" w:hAnsi="Arial"/>
      <w:sz w:val="24"/>
      <w:lang w:val="es-ES" w:eastAsia="es-ES"/>
    </w:rPr>
  </w:style>
  <w:style w:type="paragraph" w:customStyle="1" w:styleId="Sangradetindependiente">
    <w:name w:val="SangrÌa de t. independiente"/>
    <w:basedOn w:val="Normal"/>
    <w:rsid w:val="007534F1"/>
    <w:pPr>
      <w:tabs>
        <w:tab w:val="left" w:pos="860"/>
      </w:tabs>
      <w:spacing w:after="260"/>
      <w:jc w:val="both"/>
    </w:pPr>
    <w:rPr>
      <w:rFonts w:ascii="Times" w:hAnsi="Times"/>
      <w:sz w:val="22"/>
      <w:szCs w:val="20"/>
    </w:rPr>
  </w:style>
  <w:style w:type="paragraph" w:styleId="Textodeglobo">
    <w:name w:val="Balloon Text"/>
    <w:basedOn w:val="Normal"/>
    <w:link w:val="TextodegloboCar"/>
    <w:uiPriority w:val="99"/>
    <w:semiHidden/>
    <w:unhideWhenUsed/>
    <w:rsid w:val="00280C9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C9C"/>
    <w:rPr>
      <w:rFonts w:ascii="Tahoma" w:hAnsi="Tahoma" w:cs="Tahoma"/>
      <w:sz w:val="16"/>
      <w:szCs w:val="16"/>
      <w:lang w:val="es-ES" w:eastAsia="es-ES"/>
    </w:rPr>
  </w:style>
  <w:style w:type="character" w:customStyle="1" w:styleId="Ttulo4Car">
    <w:name w:val="Título 4 Car"/>
    <w:basedOn w:val="Fuentedeprrafopredeter"/>
    <w:link w:val="Ttulo4"/>
    <w:uiPriority w:val="9"/>
    <w:semiHidden/>
    <w:rsid w:val="006163BC"/>
    <w:rPr>
      <w:rFonts w:asciiTheme="majorHAnsi" w:eastAsiaTheme="majorEastAsia" w:hAnsiTheme="majorHAnsi" w:cstheme="majorBidi"/>
      <w:b/>
      <w:bCs/>
      <w:i/>
      <w:iCs/>
      <w:color w:val="4F81BD" w:themeColor="accent1"/>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2E9CA-BFE3-4DE7-BE12-901D9297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1533</Words>
  <Characters>8532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12</cp:revision>
  <cp:lastPrinted>2016-11-11T20:18:00Z</cp:lastPrinted>
  <dcterms:created xsi:type="dcterms:W3CDTF">2016-11-11T16:35:00Z</dcterms:created>
  <dcterms:modified xsi:type="dcterms:W3CDTF">2017-06-16T15:30:00Z</dcterms:modified>
</cp:coreProperties>
</file>