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04" w:rsidRPr="00CA1C04" w:rsidRDefault="00CA1C04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CA1C04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1583</w:t>
      </w:r>
      <w:r w:rsidRPr="00CA1C04">
        <w:rPr>
          <w:rFonts w:ascii="Arial" w:hAnsi="Arial" w:cs="Arial"/>
          <w:sz w:val="28"/>
          <w:szCs w:val="28"/>
          <w:lang w:val="es-ES_tradnl"/>
        </w:rPr>
        <w:t>/17</w:t>
      </w:r>
    </w:p>
    <w:p w:rsidR="00CA1C04" w:rsidRPr="00CA1C04" w:rsidRDefault="00CA1C04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CA1C04" w:rsidRPr="00CA1C04" w:rsidRDefault="00CA1C0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A1C04">
        <w:rPr>
          <w:rFonts w:ascii="Arial" w:hAnsi="Arial" w:cs="Arial"/>
          <w:lang w:val="es-ES_tradnl"/>
        </w:rPr>
        <w:t>RESOLUCION ADOPTADA POR EL</w:t>
      </w:r>
    </w:p>
    <w:p w:rsidR="00CA1C04" w:rsidRPr="00CA1C04" w:rsidRDefault="00CA1C0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A1C04" w:rsidRPr="00CA1C04" w:rsidRDefault="00CA1C0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A1C04">
        <w:rPr>
          <w:rFonts w:ascii="Arial" w:hAnsi="Arial" w:cs="Arial"/>
          <w:lang w:val="es-ES_tradnl"/>
        </w:rPr>
        <w:t>TRIBUNAL DE CUENTAS</w:t>
      </w:r>
    </w:p>
    <w:p w:rsidR="00CA1C04" w:rsidRPr="00CA1C04" w:rsidRDefault="00CA1C0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A1C04" w:rsidRPr="00CA1C04" w:rsidRDefault="00CA1C0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A1C04">
        <w:rPr>
          <w:rFonts w:ascii="Arial" w:hAnsi="Arial" w:cs="Arial"/>
          <w:lang w:val="es-ES_tradnl"/>
        </w:rPr>
        <w:t xml:space="preserve">EN SESION DE FECHA 25 DE MAYO </w:t>
      </w:r>
      <w:r w:rsidRPr="00CA1C04">
        <w:rPr>
          <w:rFonts w:ascii="Helvetica" w:hAnsi="Helvetica"/>
          <w:lang w:val="es-ES_tradnl"/>
        </w:rPr>
        <w:t>DE 2017</w:t>
      </w:r>
    </w:p>
    <w:p w:rsidR="00CA1C04" w:rsidRPr="00CA1C04" w:rsidRDefault="00CA1C0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A1C04" w:rsidRPr="00CA1C04" w:rsidRDefault="00CA1C04">
      <w:pPr>
        <w:tabs>
          <w:tab w:val="center" w:pos="4253"/>
        </w:tabs>
        <w:suppressAutoHyphens/>
        <w:jc w:val="center"/>
        <w:rPr>
          <w:rFonts w:ascii="Arial" w:hAnsi="Arial" w:cs="Arial"/>
          <w:lang w:val="es-AR"/>
        </w:rPr>
      </w:pPr>
      <w:r w:rsidRPr="00CA1C04">
        <w:rPr>
          <w:rFonts w:ascii="Arial" w:hAnsi="Arial" w:cs="Arial"/>
          <w:lang w:val="es-AR"/>
        </w:rPr>
        <w:t xml:space="preserve">(E. E. Nº 2017-17-1-0002147, </w:t>
      </w:r>
      <w:proofErr w:type="spellStart"/>
      <w:r w:rsidRPr="00CA1C04">
        <w:rPr>
          <w:rFonts w:ascii="Arial" w:hAnsi="Arial" w:cs="Arial"/>
          <w:lang w:val="es-AR"/>
        </w:rPr>
        <w:t>Ent</w:t>
      </w:r>
      <w:proofErr w:type="spellEnd"/>
      <w:r w:rsidRPr="00CA1C04">
        <w:rPr>
          <w:rFonts w:ascii="Arial" w:hAnsi="Arial" w:cs="Arial"/>
          <w:lang w:val="es-AR"/>
        </w:rPr>
        <w:t>. N° 1692/17)</w:t>
      </w:r>
    </w:p>
    <w:p w:rsidR="00CA1C04" w:rsidRPr="00CA1C04" w:rsidRDefault="00CA1C04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AR"/>
        </w:rPr>
      </w:pPr>
    </w:p>
    <w:p w:rsidR="00CA1C04" w:rsidRPr="00CA1C04" w:rsidRDefault="00CA1C04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AR"/>
        </w:rPr>
      </w:pPr>
    </w:p>
    <w:p w:rsidR="00CA1C04" w:rsidRDefault="00BC2DDE" w:rsidP="00CA1C04">
      <w:pPr>
        <w:pStyle w:val="Ttulo"/>
        <w:ind w:firstLine="851"/>
        <w:jc w:val="both"/>
        <w:rPr>
          <w:rFonts w:cs="Arial"/>
          <w:b w:val="0"/>
          <w:bCs/>
          <w:color w:val="000000" w:themeColor="text1"/>
          <w:u w:val="none"/>
        </w:rPr>
      </w:pPr>
      <w:r w:rsidRPr="002338E2">
        <w:rPr>
          <w:rFonts w:cs="Arial"/>
          <w:bCs/>
          <w:color w:val="000000" w:themeColor="text1"/>
          <w:u w:val="none"/>
          <w:lang w:val="es-ES_tradnl"/>
        </w:rPr>
        <w:t xml:space="preserve">VISTO: </w:t>
      </w:r>
      <w:r w:rsidRPr="002338E2">
        <w:rPr>
          <w:rFonts w:cs="Arial"/>
          <w:b w:val="0"/>
          <w:bCs/>
          <w:color w:val="000000" w:themeColor="text1"/>
          <w:u w:val="none"/>
          <w:lang w:val="es-ES_tradnl"/>
        </w:rPr>
        <w:t xml:space="preserve">las actuaciones remitidas por </w:t>
      </w:r>
      <w:r w:rsidR="002338E2">
        <w:rPr>
          <w:rFonts w:cs="Arial"/>
          <w:b w:val="0"/>
          <w:bCs/>
          <w:color w:val="000000" w:themeColor="text1"/>
          <w:u w:val="none"/>
          <w:lang w:val="es-ES_tradnl"/>
        </w:rPr>
        <w:t>el Ministerio de Economía y Finanzas</w:t>
      </w:r>
      <w:r w:rsidR="008A2E1F">
        <w:rPr>
          <w:rFonts w:cs="Arial"/>
          <w:b w:val="0"/>
          <w:bCs/>
          <w:color w:val="000000" w:themeColor="text1"/>
          <w:u w:val="none"/>
          <w:lang w:val="es-ES_tradnl"/>
        </w:rPr>
        <w:t>,</w:t>
      </w:r>
      <w:r w:rsidR="002338E2">
        <w:rPr>
          <w:rFonts w:cs="Arial"/>
          <w:b w:val="0"/>
          <w:bCs/>
          <w:color w:val="000000" w:themeColor="text1"/>
          <w:u w:val="none"/>
          <w:lang w:val="es-ES_tradnl"/>
        </w:rPr>
        <w:t xml:space="preserve"> </w:t>
      </w:r>
      <w:r w:rsidRPr="002338E2">
        <w:rPr>
          <w:rFonts w:cs="Arial"/>
          <w:b w:val="0"/>
          <w:bCs/>
          <w:color w:val="000000" w:themeColor="text1"/>
          <w:u w:val="none"/>
        </w:rPr>
        <w:t>relacionadas con el Convenio Marco Nº 1/201</w:t>
      </w:r>
      <w:r w:rsidR="002338E2">
        <w:rPr>
          <w:rFonts w:cs="Arial"/>
          <w:b w:val="0"/>
          <w:bCs/>
          <w:color w:val="000000" w:themeColor="text1"/>
          <w:u w:val="none"/>
        </w:rPr>
        <w:t>6</w:t>
      </w:r>
      <w:r w:rsidRPr="002338E2">
        <w:rPr>
          <w:rFonts w:cs="Arial"/>
          <w:b w:val="0"/>
          <w:bCs/>
          <w:color w:val="000000" w:themeColor="text1"/>
          <w:u w:val="none"/>
        </w:rPr>
        <w:t xml:space="preserve">, cuyo objeto es la </w:t>
      </w:r>
      <w:r w:rsidR="00F71D2F" w:rsidRPr="002338E2">
        <w:rPr>
          <w:rFonts w:cs="Arial"/>
          <w:b w:val="0"/>
          <w:bCs/>
          <w:color w:val="000000" w:themeColor="text1"/>
          <w:u w:val="none"/>
        </w:rPr>
        <w:t xml:space="preserve"> </w:t>
      </w:r>
      <w:r w:rsidR="00CA1C04">
        <w:rPr>
          <w:rFonts w:cs="Arial"/>
          <w:b w:val="0"/>
          <w:bCs/>
          <w:color w:val="000000" w:themeColor="text1"/>
          <w:u w:val="none"/>
        </w:rPr>
        <w:t>“Prestación del Servicio de Transporte I</w:t>
      </w:r>
      <w:r w:rsidR="002338E2">
        <w:rPr>
          <w:rFonts w:cs="Arial"/>
          <w:b w:val="0"/>
          <w:bCs/>
          <w:color w:val="000000" w:themeColor="text1"/>
          <w:u w:val="none"/>
        </w:rPr>
        <w:t>nternacional de Pasajeros”</w:t>
      </w:r>
      <w:r w:rsidR="008A2E1F">
        <w:rPr>
          <w:rFonts w:cs="Arial"/>
          <w:b w:val="0"/>
          <w:bCs/>
          <w:color w:val="000000" w:themeColor="text1"/>
          <w:u w:val="none"/>
        </w:rPr>
        <w:t>;</w:t>
      </w:r>
    </w:p>
    <w:p w:rsidR="00CA1C04" w:rsidRDefault="00196863" w:rsidP="00CA1C04">
      <w:pPr>
        <w:pStyle w:val="Ttulo"/>
        <w:ind w:firstLine="851"/>
        <w:jc w:val="both"/>
        <w:rPr>
          <w:rFonts w:cs="Arial"/>
          <w:b w:val="0"/>
          <w:color w:val="000000" w:themeColor="text1"/>
          <w:u w:val="none"/>
          <w:lang w:val="es-ES_tradnl"/>
        </w:rPr>
      </w:pPr>
      <w:r w:rsidRPr="00CA1C04">
        <w:rPr>
          <w:rFonts w:cs="Arial"/>
          <w:bCs/>
          <w:color w:val="000000" w:themeColor="text1"/>
          <w:u w:val="none"/>
        </w:rPr>
        <w:t>RESULTANDO: 1)</w:t>
      </w:r>
      <w:r w:rsidR="00FD40B2" w:rsidRPr="00CA1C04">
        <w:rPr>
          <w:rFonts w:cs="Arial"/>
          <w:b w:val="0"/>
          <w:bCs/>
          <w:color w:val="000000" w:themeColor="text1"/>
          <w:u w:val="none"/>
        </w:rPr>
        <w:t xml:space="preserve"> que </w:t>
      </w:r>
      <w:r w:rsidR="00934D18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por nota 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>d</w:t>
      </w:r>
      <w:r w:rsidR="00934D18" w:rsidRPr="00CA1C04">
        <w:rPr>
          <w:rFonts w:cs="Arial"/>
          <w:b w:val="0"/>
          <w:color w:val="000000" w:themeColor="text1"/>
          <w:u w:val="none"/>
          <w:lang w:val="es-ES_tradnl"/>
        </w:rPr>
        <w:t>el Ministerio de Economía y Finanzas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934D18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de 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>fecha 11.7.2016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 xml:space="preserve"> y de acuerdo con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8E470E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a normativa vigente, se </w:t>
      </w:r>
      <w:r w:rsidR="008E470E" w:rsidRPr="00CA1C04">
        <w:rPr>
          <w:rFonts w:cs="Arial"/>
          <w:b w:val="0"/>
          <w:color w:val="000000" w:themeColor="text1"/>
          <w:u w:val="none"/>
          <w:lang w:val="es-ES_tradnl"/>
        </w:rPr>
        <w:t>elev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>ó</w:t>
      </w:r>
      <w:r w:rsidR="008E470E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934D18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propuesta </w:t>
      </w:r>
      <w:r w:rsidR="008E470E" w:rsidRPr="00CA1C04">
        <w:rPr>
          <w:rFonts w:cs="Arial"/>
          <w:b w:val="0"/>
          <w:color w:val="000000" w:themeColor="text1"/>
          <w:u w:val="none"/>
          <w:lang w:val="es-ES_tradnl"/>
        </w:rPr>
        <w:t>a la Agencia de Compras y Contrataciones del Estado para el desarrollo de un Convenio Marco, postulándose como Unidad Administradora del mismo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la Secretaría de Estado actuante;</w:t>
      </w:r>
    </w:p>
    <w:p w:rsidR="00CA1C04" w:rsidRDefault="00FD40B2" w:rsidP="00CA1C04">
      <w:pPr>
        <w:pStyle w:val="Ttulo"/>
        <w:ind w:firstLine="2694"/>
        <w:jc w:val="both"/>
        <w:rPr>
          <w:rFonts w:cs="Arial"/>
          <w:b w:val="0"/>
          <w:color w:val="000000" w:themeColor="text1"/>
          <w:u w:val="none"/>
          <w:lang w:val="es-ES_tradnl"/>
        </w:rPr>
      </w:pPr>
      <w:r w:rsidRPr="00CA1C04">
        <w:rPr>
          <w:rFonts w:cs="Arial"/>
          <w:color w:val="000000" w:themeColor="text1"/>
          <w:u w:val="none"/>
          <w:lang w:val="es-ES_tradnl"/>
        </w:rPr>
        <w:t>2)</w:t>
      </w:r>
      <w:r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FF576A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que 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>mediante Resolución Nº 8/2016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, Acta Nº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>008/2016, de</w:t>
      </w:r>
      <w:r w:rsidR="008779A0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 13.7.2016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>,</w:t>
      </w:r>
      <w:r w:rsidR="00160AE0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el Consejo Directivo Honorario de ACCE</w:t>
      </w:r>
      <w:r w:rsidR="00FA437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autoriz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>ó la postulación del MEF como Unidad Administradora del pretendido convenio, y por Resolución 020/16 de fecha 5.10.2016</w:t>
      </w:r>
      <w:r w:rsidR="00FA437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recomendó la continuidad del Convenio prestando conformidad al Pliego de Condiciones Particulares y </w:t>
      </w:r>
      <w:r w:rsidR="00FA437F" w:rsidRPr="00CA1C04">
        <w:rPr>
          <w:rFonts w:cs="Arial"/>
          <w:b w:val="0"/>
          <w:color w:val="000000" w:themeColor="text1"/>
          <w:u w:val="none"/>
          <w:lang w:val="es-ES_tradnl"/>
        </w:rPr>
        <w:t>el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Estudio de Mercado presentados (los que lucen agregados en los antecedentes remitidos);</w:t>
      </w:r>
    </w:p>
    <w:p w:rsidR="00CA1C04" w:rsidRDefault="00786674" w:rsidP="00CA1C04">
      <w:pPr>
        <w:pStyle w:val="Ttulo"/>
        <w:ind w:firstLine="2694"/>
        <w:jc w:val="both"/>
        <w:rPr>
          <w:rFonts w:cs="Arial"/>
          <w:b w:val="0"/>
          <w:color w:val="000000" w:themeColor="text1"/>
          <w:u w:val="none"/>
          <w:lang w:val="es-ES_tradnl"/>
        </w:rPr>
      </w:pPr>
      <w:r w:rsidRPr="00CA1C04">
        <w:rPr>
          <w:rFonts w:cs="Arial"/>
          <w:color w:val="000000" w:themeColor="text1"/>
          <w:u w:val="none"/>
          <w:lang w:val="es-ES_tradnl"/>
        </w:rPr>
        <w:t>3)</w:t>
      </w:r>
      <w:r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6146D7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que </w:t>
      </w:r>
      <w:r w:rsidR="00CA1C04" w:rsidRPr="00CA1C04">
        <w:rPr>
          <w:rFonts w:cs="Arial"/>
          <w:b w:val="0"/>
          <w:color w:val="000000" w:themeColor="text1"/>
          <w:u w:val="none"/>
          <w:lang w:val="es-ES_tradnl"/>
        </w:rPr>
        <w:t>de acuerdo con el</w:t>
      </w:r>
      <w:r w:rsidR="007200A7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Acta de Apertura de fecha 27.1.2017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>,</w:t>
      </w:r>
      <w:r w:rsidR="007200A7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 surge que se presentaron las siguientes firmas:</w:t>
      </w:r>
      <w:r w:rsidR="008612FB" w:rsidRPr="00CA1C04">
        <w:rPr>
          <w:u w:val="none"/>
        </w:rPr>
        <w:t xml:space="preserve"> 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ACTIVE TRAVEL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ALTOS DE LOS SAUCES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ASTURIAS LA CORUÑA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AZUL VIAJES Y TURISMO LIMITADA, BRUSCHI BURIANO MARIA EUGENIA, COBERIL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DELARC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ELBYSUL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FRAGETUR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GALLICCHIO QUEIROLO ANTONIO WALTER, HIPERVIAJES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JETMAR VIAJES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, 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lastRenderedPageBreak/>
        <w:t>MERCURIO VIAJES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, 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SIUR LTDA., 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RONAY S.A, TURISA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UNIQUE TRAVEL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>,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VIACONT SOCIEDAD ANONIMA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>,</w:t>
      </w:r>
      <w:r w:rsidR="000B3F93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AMESTOY HNOS TURISMO Y TRANSPORTE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0B3F93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0B3F93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0B3F93" w:rsidRPr="00CA1C04">
        <w:rPr>
          <w:rFonts w:cs="Arial"/>
          <w:b w:val="0"/>
          <w:color w:val="000000" w:themeColor="text1"/>
          <w:u w:val="none"/>
          <w:lang w:val="es-ES_tradnl"/>
        </w:rPr>
        <w:t>, GONDRAND HNOS S.A, INTERWORLDS S.A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0B3F93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y VIAJES BUEMES S.A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A2E1F" w:rsidRPr="00CA1C04">
        <w:rPr>
          <w:rFonts w:cs="Arial"/>
          <w:b w:val="0"/>
          <w:color w:val="000000" w:themeColor="text1"/>
          <w:u w:val="none"/>
          <w:lang w:val="es-ES_tradnl"/>
        </w:rPr>
        <w:t>;</w:t>
      </w:r>
    </w:p>
    <w:p w:rsidR="00CA1C04" w:rsidRDefault="008A2E1F" w:rsidP="00CA1C04">
      <w:pPr>
        <w:pStyle w:val="Ttulo"/>
        <w:ind w:firstLine="2694"/>
        <w:jc w:val="both"/>
        <w:rPr>
          <w:rFonts w:cs="Arial"/>
          <w:b w:val="0"/>
          <w:color w:val="000000" w:themeColor="text1"/>
          <w:u w:val="none"/>
          <w:lang w:val="es-ES_tradnl"/>
        </w:rPr>
      </w:pPr>
      <w:r w:rsidRPr="00CA1C04">
        <w:rPr>
          <w:rFonts w:cs="Arial"/>
          <w:color w:val="000000" w:themeColor="text1"/>
          <w:u w:val="none"/>
          <w:lang w:val="es-ES_tradnl"/>
        </w:rPr>
        <w:t>4</w:t>
      </w:r>
      <w:r w:rsidR="00D935AE" w:rsidRPr="00CA1C04">
        <w:rPr>
          <w:rFonts w:cs="Arial"/>
          <w:color w:val="000000" w:themeColor="text1"/>
          <w:u w:val="none"/>
          <w:lang w:val="es-ES_tradnl"/>
        </w:rPr>
        <w:t>)</w:t>
      </w:r>
      <w:r w:rsidR="00D935AE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</w:t>
      </w:r>
      <w:r w:rsidR="00664C6F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que </w:t>
      </w:r>
      <w:r w:rsidR="001A040B" w:rsidRPr="00CA1C04">
        <w:rPr>
          <w:rFonts w:cs="Arial"/>
          <w:b w:val="0"/>
          <w:color w:val="000000" w:themeColor="text1"/>
          <w:u w:val="none"/>
          <w:lang w:val="es-ES_tradnl"/>
        </w:rPr>
        <w:t>según el Acta de la Comisión Asesora de fecha 13.2.2016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, se deja constancia </w:t>
      </w:r>
      <w:r w:rsidR="001A040B" w:rsidRPr="00CA1C04">
        <w:rPr>
          <w:rFonts w:cs="Arial"/>
          <w:b w:val="0"/>
          <w:color w:val="000000" w:themeColor="text1"/>
          <w:u w:val="none"/>
          <w:lang w:val="es-ES_tradnl"/>
        </w:rPr>
        <w:t>que se realizaron las publicaciones d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el llamado en la página Web de C</w:t>
      </w:r>
      <w:r w:rsidR="001A040B" w:rsidRPr="00CA1C04">
        <w:rPr>
          <w:rFonts w:cs="Arial"/>
          <w:b w:val="0"/>
          <w:color w:val="000000" w:themeColor="text1"/>
          <w:u w:val="none"/>
          <w:lang w:val="es-ES_tradnl"/>
        </w:rPr>
        <w:t>ompras Estatales y en la página Web del MEF, así como en las revistas Contacto y Guía Total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>;</w:t>
      </w:r>
    </w:p>
    <w:p w:rsidR="00CA1C04" w:rsidRDefault="00D12C53" w:rsidP="00CA1C04">
      <w:pPr>
        <w:pStyle w:val="Ttulo"/>
        <w:ind w:firstLine="2694"/>
        <w:jc w:val="both"/>
        <w:rPr>
          <w:rFonts w:cs="Arial"/>
          <w:b w:val="0"/>
          <w:color w:val="000000" w:themeColor="text1"/>
          <w:u w:val="none"/>
          <w:lang w:val="es-ES_tradnl"/>
        </w:rPr>
      </w:pPr>
      <w:r w:rsidRPr="00CA1C04">
        <w:rPr>
          <w:rFonts w:cs="Arial"/>
          <w:color w:val="000000" w:themeColor="text1"/>
          <w:u w:val="none"/>
          <w:lang w:val="es-ES_tradnl"/>
        </w:rPr>
        <w:t xml:space="preserve">5) </w:t>
      </w:r>
      <w:r w:rsidR="00CA1C04" w:rsidRPr="00CA1C04">
        <w:rPr>
          <w:rFonts w:cs="Arial"/>
          <w:b w:val="0"/>
          <w:color w:val="000000" w:themeColor="text1"/>
          <w:u w:val="none"/>
          <w:lang w:val="es-ES_tradnl"/>
        </w:rPr>
        <w:t>que en dicha A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>cta, se establece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que las firmas que cumple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n con todos los requisitos del P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liego son: ACTIVE TRAVEL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ALTOS DE LOS SAUCES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ASTURIAS LA CORUÑA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AZUL VIAJES Y TURISMO LIMITADA, BRUSCHI BURIANO MARIA EUGENIA, COBERIL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DELARC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ELBYSUL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FRAGETUR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GALLICCHIO QUEIROLO ANTONIO WALTER, HIPERVIAJES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JETMAR VIAJES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MERCURIO VIAJES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RONAY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TURISA S.A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, UNIQUE TRAVEL S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R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>L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.</w:t>
      </w:r>
      <w:r w:rsidR="008612FB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y VIACONT SOCIEDAD ANONIMA</w:t>
      </w:r>
      <w:r w:rsidR="00204E73" w:rsidRPr="00CA1C04">
        <w:rPr>
          <w:rFonts w:cs="Arial"/>
          <w:b w:val="0"/>
          <w:color w:val="000000" w:themeColor="text1"/>
          <w:u w:val="none"/>
          <w:lang w:val="es-ES_tradnl"/>
        </w:rPr>
        <w:t>;</w:t>
      </w:r>
    </w:p>
    <w:p w:rsidR="00F71D2F" w:rsidRPr="00CA1C04" w:rsidRDefault="00204E73" w:rsidP="00CA1C04">
      <w:pPr>
        <w:pStyle w:val="Ttulo"/>
        <w:ind w:firstLine="2694"/>
        <w:jc w:val="both"/>
        <w:rPr>
          <w:rFonts w:cs="Arial"/>
          <w:color w:val="000000" w:themeColor="text1"/>
          <w:u w:val="none"/>
        </w:rPr>
      </w:pPr>
      <w:r w:rsidRPr="00CA1C04">
        <w:rPr>
          <w:rFonts w:cs="Arial"/>
          <w:color w:val="000000" w:themeColor="text1"/>
          <w:u w:val="none"/>
          <w:lang w:val="es-ES_tradnl"/>
        </w:rPr>
        <w:t>6</w:t>
      </w:r>
      <w:r w:rsidR="00D12C53" w:rsidRPr="00CA1C04">
        <w:rPr>
          <w:rFonts w:cs="Arial"/>
          <w:color w:val="000000" w:themeColor="text1"/>
          <w:u w:val="none"/>
          <w:lang w:val="es-ES_tradnl"/>
        </w:rPr>
        <w:t xml:space="preserve">) 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que se adjunta p</w:t>
      </w:r>
      <w:r w:rsidR="00954AA0" w:rsidRPr="00CA1C04">
        <w:rPr>
          <w:rFonts w:cs="Arial"/>
          <w:b w:val="0"/>
          <w:color w:val="000000" w:themeColor="text1"/>
          <w:u w:val="none"/>
          <w:lang w:val="es-ES_tradnl"/>
        </w:rPr>
        <w:t>royecto de Resolución del Ministe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softHyphen/>
      </w:r>
      <w:r w:rsidR="00954AA0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rio de Economía y Finanzas por el cual  adjudica el Convenio Marco  Nº 1/2016 </w:t>
      </w:r>
      <w:r w:rsidR="00437D69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a las firmas que cumplieron con todos los recaudos </w:t>
      </w:r>
      <w:r w:rsidR="00CA1C04">
        <w:rPr>
          <w:rFonts w:cs="Arial"/>
          <w:b w:val="0"/>
          <w:color w:val="000000" w:themeColor="text1"/>
          <w:u w:val="none"/>
          <w:lang w:val="es-ES_tradnl"/>
        </w:rPr>
        <w:t>conforme con</w:t>
      </w:r>
      <w:r w:rsidR="00954AA0" w:rsidRPr="00CA1C04">
        <w:rPr>
          <w:rFonts w:cs="Arial"/>
          <w:b w:val="0"/>
          <w:color w:val="000000" w:themeColor="text1"/>
          <w:u w:val="none"/>
          <w:lang w:val="es-ES_tradnl"/>
        </w:rPr>
        <w:t xml:space="preserve"> lo recomendado por la Comisión Asesora</w:t>
      </w:r>
      <w:r w:rsidRPr="00CA1C04">
        <w:rPr>
          <w:rFonts w:cs="Arial"/>
          <w:b w:val="0"/>
          <w:color w:val="000000" w:themeColor="text1"/>
          <w:u w:val="none"/>
          <w:lang w:val="es-ES_tradnl"/>
        </w:rPr>
        <w:t>;</w:t>
      </w:r>
      <w:r w:rsidR="001F4D96" w:rsidRPr="00CA1C04">
        <w:rPr>
          <w:rFonts w:cs="Arial"/>
          <w:b w:val="0"/>
          <w:color w:val="000000" w:themeColor="text1"/>
          <w:u w:val="none"/>
        </w:rPr>
        <w:t xml:space="preserve">                        </w:t>
      </w:r>
    </w:p>
    <w:p w:rsidR="00CA1C04" w:rsidRDefault="00DB1252" w:rsidP="00CA1C04">
      <w:pPr>
        <w:pStyle w:val="Sangra2detindependiente"/>
        <w:ind w:left="0" w:firstLine="851"/>
        <w:jc w:val="both"/>
        <w:rPr>
          <w:rFonts w:cs="Arial"/>
          <w:b w:val="0"/>
          <w:color w:val="000000" w:themeColor="text1"/>
        </w:rPr>
      </w:pPr>
      <w:r w:rsidRPr="002338E2">
        <w:rPr>
          <w:rFonts w:cs="Arial"/>
          <w:color w:val="000000" w:themeColor="text1"/>
        </w:rPr>
        <w:t xml:space="preserve">CONSIDERANDO: </w:t>
      </w:r>
      <w:r w:rsidR="00F71D2F" w:rsidRPr="002338E2">
        <w:rPr>
          <w:rFonts w:cs="Arial"/>
          <w:color w:val="000000" w:themeColor="text1"/>
        </w:rPr>
        <w:t>1)</w:t>
      </w:r>
      <w:r w:rsidRPr="002338E2">
        <w:rPr>
          <w:rFonts w:cs="Arial"/>
          <w:b w:val="0"/>
          <w:color w:val="000000" w:themeColor="text1"/>
        </w:rPr>
        <w:t xml:space="preserve"> que</w:t>
      </w:r>
      <w:r w:rsidR="00F71D2F" w:rsidRPr="002338E2">
        <w:rPr>
          <w:rFonts w:cs="Arial"/>
          <w:b w:val="0"/>
          <w:color w:val="000000" w:themeColor="text1"/>
        </w:rPr>
        <w:t xml:space="preserve"> </w:t>
      </w:r>
      <w:r w:rsidR="00CA1C04">
        <w:rPr>
          <w:rFonts w:cs="Arial"/>
          <w:b w:val="0"/>
          <w:color w:val="000000" w:themeColor="text1"/>
        </w:rPr>
        <w:t>el procedimiento se adecua con</w:t>
      </w:r>
      <w:r w:rsidR="000977A5">
        <w:rPr>
          <w:rFonts w:cs="Arial"/>
          <w:b w:val="0"/>
          <w:color w:val="000000" w:themeColor="text1"/>
        </w:rPr>
        <w:t xml:space="preserve"> la previsión contenida en los </w:t>
      </w:r>
      <w:r w:rsidR="00F71D2F" w:rsidRPr="002338E2">
        <w:rPr>
          <w:rFonts w:cs="Arial"/>
          <w:b w:val="0"/>
          <w:color w:val="000000" w:themeColor="text1"/>
        </w:rPr>
        <w:t>Artículo</w:t>
      </w:r>
      <w:r w:rsidR="000977A5">
        <w:rPr>
          <w:rFonts w:cs="Arial"/>
          <w:b w:val="0"/>
          <w:color w:val="000000" w:themeColor="text1"/>
        </w:rPr>
        <w:t>s</w:t>
      </w:r>
      <w:r w:rsidR="00F71D2F" w:rsidRPr="002338E2">
        <w:rPr>
          <w:rFonts w:cs="Arial"/>
          <w:b w:val="0"/>
          <w:color w:val="000000" w:themeColor="text1"/>
        </w:rPr>
        <w:t xml:space="preserve"> 36 del T</w:t>
      </w:r>
      <w:r w:rsidR="00D56342">
        <w:rPr>
          <w:rFonts w:cs="Arial"/>
          <w:b w:val="0"/>
          <w:color w:val="000000" w:themeColor="text1"/>
        </w:rPr>
        <w:t>OCAF</w:t>
      </w:r>
      <w:r w:rsidR="000977A5">
        <w:rPr>
          <w:rFonts w:cs="Arial"/>
          <w:b w:val="0"/>
          <w:color w:val="000000" w:themeColor="text1"/>
        </w:rPr>
        <w:t>, 22 de la Ley 18834 de 4/11/11, 27 de la Ley 19355 de 19/12/15 y en el Decreto</w:t>
      </w:r>
      <w:r w:rsidR="004C078C" w:rsidRPr="002338E2">
        <w:rPr>
          <w:rFonts w:cs="Arial"/>
          <w:b w:val="0"/>
          <w:color w:val="000000" w:themeColor="text1"/>
        </w:rPr>
        <w:t xml:space="preserve"> Nº 42/015</w:t>
      </w:r>
      <w:r w:rsidR="000977A5">
        <w:rPr>
          <w:rFonts w:cs="Arial"/>
          <w:b w:val="0"/>
          <w:color w:val="000000" w:themeColor="text1"/>
        </w:rPr>
        <w:t xml:space="preserve"> de 27/1/15</w:t>
      </w:r>
      <w:r w:rsidR="00CA1C04">
        <w:rPr>
          <w:rFonts w:cs="Arial"/>
          <w:b w:val="0"/>
          <w:color w:val="000000" w:themeColor="text1"/>
        </w:rPr>
        <w:t>;</w:t>
      </w:r>
    </w:p>
    <w:p w:rsidR="00817F67" w:rsidRDefault="00F71D2F" w:rsidP="00817F67">
      <w:pPr>
        <w:pStyle w:val="Sangra2detindependiente"/>
        <w:ind w:left="0" w:firstLine="3119"/>
        <w:jc w:val="both"/>
        <w:rPr>
          <w:rFonts w:eastAsiaTheme="minorHAnsi" w:cs="Arial"/>
          <w:b w:val="0"/>
          <w:color w:val="000000" w:themeColor="text1"/>
          <w:lang w:eastAsia="en-US"/>
        </w:rPr>
      </w:pPr>
      <w:r w:rsidRPr="002338E2">
        <w:rPr>
          <w:rFonts w:cs="Arial"/>
          <w:color w:val="000000" w:themeColor="text1"/>
        </w:rPr>
        <w:t xml:space="preserve">2)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 xml:space="preserve">que </w:t>
      </w:r>
      <w:r w:rsidR="000977A5">
        <w:rPr>
          <w:rFonts w:eastAsiaTheme="minorHAnsi" w:cs="Arial"/>
          <w:b w:val="0"/>
          <w:color w:val="000000" w:themeColor="text1"/>
          <w:lang w:eastAsia="en-US"/>
        </w:rPr>
        <w:t>conforme la normativa vigente, este Tribunal</w:t>
      </w:r>
      <w:r w:rsidR="0036659F" w:rsidRPr="002338E2">
        <w:rPr>
          <w:rFonts w:cs="Arial"/>
          <w:b w:val="0"/>
          <w:color w:val="000000" w:themeColor="text1"/>
        </w:rPr>
        <w:t xml:space="preserve"> en Resolución Nº 819/16, dictada en Sesión de fecha 9</w:t>
      </w:r>
      <w:r w:rsidR="000A6EC6">
        <w:rPr>
          <w:rFonts w:cs="Arial"/>
          <w:b w:val="0"/>
          <w:color w:val="000000" w:themeColor="text1"/>
        </w:rPr>
        <w:t>.</w:t>
      </w:r>
      <w:r w:rsidR="0036659F" w:rsidRPr="002338E2">
        <w:rPr>
          <w:rFonts w:cs="Arial"/>
          <w:b w:val="0"/>
          <w:color w:val="000000" w:themeColor="text1"/>
        </w:rPr>
        <w:t>3</w:t>
      </w:r>
      <w:r w:rsidR="000A6EC6">
        <w:rPr>
          <w:rFonts w:cs="Arial"/>
          <w:b w:val="0"/>
          <w:color w:val="000000" w:themeColor="text1"/>
        </w:rPr>
        <w:t>.</w:t>
      </w:r>
      <w:r w:rsidR="0036659F" w:rsidRPr="002338E2">
        <w:rPr>
          <w:rFonts w:cs="Arial"/>
          <w:b w:val="0"/>
          <w:color w:val="000000" w:themeColor="text1"/>
        </w:rPr>
        <w:t xml:space="preserve">16, </w:t>
      </w:r>
      <w:r w:rsidR="000977A5">
        <w:rPr>
          <w:rFonts w:cs="Arial"/>
          <w:b w:val="0"/>
          <w:color w:val="000000" w:themeColor="text1"/>
        </w:rPr>
        <w:t xml:space="preserve">estableció que </w:t>
      </w:r>
      <w:r w:rsidR="00F238CF">
        <w:rPr>
          <w:rFonts w:cs="Arial"/>
          <w:b w:val="0"/>
          <w:color w:val="000000" w:themeColor="text1"/>
        </w:rPr>
        <w:t>el régimen actual prevé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 xml:space="preserve"> un sistema descentralizado </w:t>
      </w:r>
      <w:r w:rsidR="000977A5">
        <w:rPr>
          <w:rFonts w:eastAsiaTheme="minorHAnsi" w:cs="Arial"/>
          <w:b w:val="0"/>
          <w:color w:val="000000" w:themeColor="text1"/>
          <w:lang w:eastAsia="en-US"/>
        </w:rPr>
        <w:t xml:space="preserve">mediante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>el cual cualquier</w:t>
      </w:r>
      <w:r w:rsidR="009B5F82" w:rsidRPr="002338E2">
        <w:rPr>
          <w:rFonts w:eastAsiaTheme="minorHAnsi" w:cs="Arial"/>
          <w:b w:val="0"/>
          <w:color w:val="000000" w:themeColor="text1"/>
          <w:lang w:eastAsia="en-US"/>
        </w:rPr>
        <w:t xml:space="preserve">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>Administración Pública Estatal puede desarr</w:t>
      </w:r>
      <w:r w:rsidR="009B5F82" w:rsidRPr="002338E2">
        <w:rPr>
          <w:rFonts w:eastAsiaTheme="minorHAnsi" w:cs="Arial"/>
          <w:b w:val="0"/>
          <w:color w:val="000000" w:themeColor="text1"/>
          <w:lang w:eastAsia="en-US"/>
        </w:rPr>
        <w:t xml:space="preserve">ollar y administrar un Convenio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 xml:space="preserve">Marco. De esta forma, la ACCE (en el ámbito de la desconcentración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lastRenderedPageBreak/>
        <w:t>privativa</w:t>
      </w:r>
      <w:r w:rsidR="0036659F" w:rsidRPr="002338E2">
        <w:rPr>
          <w:rFonts w:eastAsiaTheme="minorHAnsi" w:cs="Arial"/>
          <w:b w:val="0"/>
          <w:color w:val="000000" w:themeColor="text1"/>
          <w:lang w:eastAsia="en-US"/>
        </w:rPr>
        <w:t xml:space="preserve">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>que fue creada) es quien puede autorizar el</w:t>
      </w:r>
      <w:r w:rsidR="009B5F82" w:rsidRPr="002338E2">
        <w:rPr>
          <w:rFonts w:eastAsiaTheme="minorHAnsi" w:cs="Arial"/>
          <w:b w:val="0"/>
          <w:color w:val="000000" w:themeColor="text1"/>
          <w:lang w:eastAsia="en-US"/>
        </w:rPr>
        <w:t xml:space="preserve">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>desarrollo y administración de un Convenio Marco a cualquier Administración</w:t>
      </w:r>
      <w:r w:rsidR="0036659F" w:rsidRPr="002338E2">
        <w:rPr>
          <w:rFonts w:eastAsiaTheme="minorHAnsi" w:cs="Arial"/>
          <w:b w:val="0"/>
          <w:color w:val="000000" w:themeColor="text1"/>
          <w:lang w:eastAsia="en-US"/>
        </w:rPr>
        <w:t xml:space="preserve"> 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>Pública Estatal,</w:t>
      </w:r>
      <w:r w:rsidR="000977A5">
        <w:rPr>
          <w:rFonts w:eastAsiaTheme="minorHAnsi" w:cs="Arial"/>
          <w:b w:val="0"/>
          <w:color w:val="000000" w:themeColor="text1"/>
          <w:lang w:eastAsia="en-US"/>
        </w:rPr>
        <w:t xml:space="preserve"> tal como sucedió en el caso concreto</w:t>
      </w:r>
      <w:r w:rsidR="004C078C" w:rsidRPr="002338E2">
        <w:rPr>
          <w:rFonts w:eastAsiaTheme="minorHAnsi" w:cs="Arial"/>
          <w:b w:val="0"/>
          <w:color w:val="000000" w:themeColor="text1"/>
          <w:lang w:eastAsia="en-US"/>
        </w:rPr>
        <w:t>;</w:t>
      </w:r>
    </w:p>
    <w:p w:rsidR="004C078C" w:rsidRPr="002338E2" w:rsidRDefault="000977A5" w:rsidP="00817F67">
      <w:pPr>
        <w:pStyle w:val="Sangra2detindependiente"/>
        <w:ind w:left="0" w:firstLine="3119"/>
        <w:jc w:val="both"/>
        <w:rPr>
          <w:rFonts w:cs="Arial"/>
          <w:b w:val="0"/>
          <w:color w:val="000000" w:themeColor="text1"/>
        </w:rPr>
      </w:pPr>
      <w:r>
        <w:rPr>
          <w:rFonts w:eastAsiaTheme="minorHAnsi" w:cs="Arial"/>
          <w:color w:val="000000" w:themeColor="text1"/>
          <w:lang w:eastAsia="en-US"/>
        </w:rPr>
        <w:t>3</w:t>
      </w:r>
      <w:r w:rsidR="004C078C" w:rsidRPr="002338E2">
        <w:rPr>
          <w:rFonts w:eastAsiaTheme="minorHAnsi" w:cs="Arial"/>
          <w:color w:val="000000" w:themeColor="text1"/>
          <w:lang w:eastAsia="en-US"/>
        </w:rPr>
        <w:t xml:space="preserve">) </w:t>
      </w:r>
      <w:r w:rsidR="00207106" w:rsidRPr="002338E2">
        <w:rPr>
          <w:rFonts w:cs="Arial"/>
          <w:b w:val="0"/>
          <w:color w:val="000000" w:themeColor="text1"/>
        </w:rPr>
        <w:t>que por o</w:t>
      </w:r>
      <w:r w:rsidR="00817F67">
        <w:rPr>
          <w:rFonts w:cs="Arial"/>
          <w:b w:val="0"/>
          <w:color w:val="000000" w:themeColor="text1"/>
        </w:rPr>
        <w:t>tra parte, se dio cumplimiento con</w:t>
      </w:r>
      <w:r w:rsidR="00207106" w:rsidRPr="002338E2">
        <w:rPr>
          <w:rFonts w:cs="Arial"/>
          <w:b w:val="0"/>
          <w:color w:val="000000" w:themeColor="text1"/>
        </w:rPr>
        <w:t xml:space="preserve"> los restantes aspectos de procedimiento</w:t>
      </w:r>
      <w:r w:rsidR="00F238CF">
        <w:rPr>
          <w:rFonts w:cs="Arial"/>
          <w:b w:val="0"/>
          <w:color w:val="000000" w:themeColor="text1"/>
        </w:rPr>
        <w:t xml:space="preserve"> dispuestos por las normas citadas</w:t>
      </w:r>
      <w:r>
        <w:rPr>
          <w:rFonts w:cs="Arial"/>
          <w:b w:val="0"/>
          <w:color w:val="000000" w:themeColor="text1"/>
        </w:rPr>
        <w:t xml:space="preserve">, por lo que no existen </w:t>
      </w:r>
      <w:r w:rsidR="00207106" w:rsidRPr="002338E2">
        <w:rPr>
          <w:rFonts w:cs="Arial"/>
          <w:b w:val="0"/>
          <w:color w:val="000000" w:themeColor="text1"/>
        </w:rPr>
        <w:t xml:space="preserve">observaciones </w:t>
      </w:r>
      <w:r w:rsidR="00F238CF">
        <w:rPr>
          <w:rFonts w:cs="Arial"/>
          <w:b w:val="0"/>
          <w:color w:val="000000" w:themeColor="text1"/>
        </w:rPr>
        <w:t xml:space="preserve">legales </w:t>
      </w:r>
      <w:r w:rsidR="00207106" w:rsidRPr="002338E2">
        <w:rPr>
          <w:rFonts w:cs="Arial"/>
          <w:b w:val="0"/>
          <w:color w:val="000000" w:themeColor="text1"/>
        </w:rPr>
        <w:t>que formular al respecto;</w:t>
      </w:r>
    </w:p>
    <w:p w:rsidR="000F1545" w:rsidRPr="002338E2" w:rsidRDefault="000F1545" w:rsidP="00817F67">
      <w:pPr>
        <w:pStyle w:val="Ttulo2"/>
        <w:spacing w:line="360" w:lineRule="auto"/>
        <w:ind w:firstLine="851"/>
        <w:jc w:val="both"/>
        <w:rPr>
          <w:b w:val="0"/>
          <w:color w:val="000000" w:themeColor="text1"/>
        </w:rPr>
      </w:pPr>
      <w:r w:rsidRPr="002338E2">
        <w:rPr>
          <w:color w:val="000000" w:themeColor="text1"/>
          <w:lang w:val="es-UY"/>
        </w:rPr>
        <w:t xml:space="preserve">ATENTO: </w:t>
      </w:r>
      <w:r w:rsidRPr="002338E2">
        <w:rPr>
          <w:b w:val="0"/>
          <w:bCs/>
          <w:color w:val="000000" w:themeColor="text1"/>
          <w:lang w:val="es-UY"/>
        </w:rPr>
        <w:t>a lo precedentemente expuesto;</w:t>
      </w:r>
    </w:p>
    <w:p w:rsidR="000977A5" w:rsidRDefault="00584138" w:rsidP="00817F67">
      <w:pPr>
        <w:pStyle w:val="Sangra2detindependiente"/>
        <w:ind w:left="0"/>
        <w:jc w:val="center"/>
        <w:rPr>
          <w:color w:val="000000" w:themeColor="text1"/>
          <w:lang w:val="es-UY"/>
        </w:rPr>
      </w:pPr>
      <w:r w:rsidRPr="002338E2">
        <w:rPr>
          <w:color w:val="000000" w:themeColor="text1"/>
          <w:lang w:val="es-UY"/>
        </w:rPr>
        <w:t>EL TRIBUNAL ACUERDA</w:t>
      </w:r>
    </w:p>
    <w:p w:rsidR="000977A5" w:rsidRDefault="00817F67" w:rsidP="000977A5">
      <w:pPr>
        <w:pStyle w:val="Ttulo2"/>
        <w:spacing w:line="360" w:lineRule="auto"/>
        <w:jc w:val="left"/>
        <w:rPr>
          <w:b w:val="0"/>
          <w:lang w:val="es-UY"/>
        </w:rPr>
      </w:pPr>
      <w:r w:rsidRPr="00817F67">
        <w:rPr>
          <w:lang w:val="es-UY"/>
        </w:rPr>
        <w:t>1</w:t>
      </w:r>
      <w:r w:rsidR="000977A5" w:rsidRPr="00817F67">
        <w:rPr>
          <w:lang w:val="es-UY"/>
        </w:rPr>
        <w:t>)</w:t>
      </w:r>
      <w:r w:rsidR="000977A5">
        <w:rPr>
          <w:b w:val="0"/>
          <w:lang w:val="es-UY"/>
        </w:rPr>
        <w:t xml:space="preserve"> </w:t>
      </w:r>
      <w:r w:rsidR="00CB6A9D" w:rsidRPr="00CB6A9D">
        <w:rPr>
          <w:b w:val="0"/>
          <w:lang w:val="es-UY"/>
        </w:rPr>
        <w:t>No formular observaciones al procedimiento</w:t>
      </w:r>
      <w:r w:rsidR="000977A5">
        <w:rPr>
          <w:b w:val="0"/>
          <w:lang w:val="es-UY"/>
        </w:rPr>
        <w:t>;</w:t>
      </w:r>
    </w:p>
    <w:p w:rsidR="000977A5" w:rsidRDefault="00817F67" w:rsidP="00817F67">
      <w:pPr>
        <w:pStyle w:val="Ttulo2"/>
        <w:spacing w:line="360" w:lineRule="auto"/>
        <w:ind w:left="284" w:hanging="284"/>
        <w:jc w:val="both"/>
        <w:rPr>
          <w:b w:val="0"/>
          <w:lang w:val="es-UY"/>
        </w:rPr>
      </w:pPr>
      <w:r w:rsidRPr="00817F67">
        <w:rPr>
          <w:lang w:val="es-UY"/>
        </w:rPr>
        <w:t>2</w:t>
      </w:r>
      <w:r w:rsidR="000977A5" w:rsidRPr="00817F67">
        <w:rPr>
          <w:lang w:val="es-UY"/>
        </w:rPr>
        <w:t>)</w:t>
      </w:r>
      <w:r w:rsidR="000977A5">
        <w:rPr>
          <w:b w:val="0"/>
          <w:lang w:val="es-UY"/>
        </w:rPr>
        <w:t xml:space="preserve"> Cometer </w:t>
      </w:r>
      <w:r>
        <w:rPr>
          <w:b w:val="0"/>
          <w:lang w:val="es-UY"/>
        </w:rPr>
        <w:t>al Contador Auditor destacado ante el MEF, el control de que la R</w:t>
      </w:r>
      <w:r w:rsidR="000977A5">
        <w:rPr>
          <w:b w:val="0"/>
          <w:lang w:val="es-UY"/>
        </w:rPr>
        <w:t>esolución definitiva a dictarse por el Ordenador, coincida con los antecedentes remitidos a este Tribunal;</w:t>
      </w:r>
    </w:p>
    <w:p w:rsidR="00BE3231" w:rsidRDefault="00817F67" w:rsidP="00817F67">
      <w:pPr>
        <w:pStyle w:val="Ttulo2"/>
        <w:spacing w:line="360" w:lineRule="auto"/>
        <w:jc w:val="both"/>
        <w:rPr>
          <w:b w:val="0"/>
          <w:lang w:val="es-UY"/>
        </w:rPr>
      </w:pPr>
      <w:r w:rsidRPr="00817F67">
        <w:rPr>
          <w:lang w:val="es-UY"/>
        </w:rPr>
        <w:t>3</w:t>
      </w:r>
      <w:r w:rsidR="000977A5" w:rsidRPr="00817F67">
        <w:rPr>
          <w:lang w:val="es-UY"/>
        </w:rPr>
        <w:t>)</w:t>
      </w:r>
      <w:r w:rsidR="000977A5">
        <w:rPr>
          <w:b w:val="0"/>
          <w:lang w:val="es-UY"/>
        </w:rPr>
        <w:t xml:space="preserve"> </w:t>
      </w:r>
      <w:r w:rsidR="00CB6A9D" w:rsidRPr="000977A5">
        <w:rPr>
          <w:b w:val="0"/>
          <w:lang w:val="es-UY"/>
        </w:rPr>
        <w:t xml:space="preserve">Devolver las actuaciones. </w:t>
      </w:r>
    </w:p>
    <w:p w:rsidR="00817F67" w:rsidRDefault="00817F67" w:rsidP="00817F67">
      <w:pPr>
        <w:rPr>
          <w:lang w:val="es-UY"/>
        </w:rPr>
      </w:pPr>
    </w:p>
    <w:p w:rsidR="00817F67" w:rsidRDefault="00817F67" w:rsidP="00817F67">
      <w:pPr>
        <w:rPr>
          <w:lang w:val="es-UY"/>
        </w:rPr>
      </w:pPr>
    </w:p>
    <w:p w:rsidR="00817F67" w:rsidRDefault="00817F67" w:rsidP="00817F67">
      <w:pPr>
        <w:rPr>
          <w:lang w:val="es-UY"/>
        </w:rPr>
      </w:pPr>
    </w:p>
    <w:p w:rsidR="00817F67" w:rsidRDefault="00817F67" w:rsidP="00817F67">
      <w:pPr>
        <w:rPr>
          <w:lang w:val="es-UY"/>
        </w:rPr>
      </w:pPr>
    </w:p>
    <w:p w:rsidR="00817F67" w:rsidRDefault="00817F67" w:rsidP="00817F67">
      <w:pPr>
        <w:rPr>
          <w:lang w:val="es-UY"/>
        </w:rPr>
      </w:pPr>
    </w:p>
    <w:p w:rsidR="00817F67" w:rsidRPr="00817F67" w:rsidRDefault="00817F67" w:rsidP="00817F67">
      <w:pPr>
        <w:ind w:hanging="567"/>
        <w:rPr>
          <w:rFonts w:ascii="Arial" w:hAnsi="Arial" w:cs="Arial"/>
          <w:b w:val="0"/>
          <w:lang w:val="es-UY"/>
        </w:rPr>
      </w:pPr>
      <w:proofErr w:type="gramStart"/>
      <w:r w:rsidRPr="00817F67">
        <w:rPr>
          <w:rFonts w:ascii="Arial" w:hAnsi="Arial" w:cs="Arial"/>
          <w:b w:val="0"/>
          <w:lang w:val="es-UY"/>
        </w:rPr>
        <w:t>dc</w:t>
      </w:r>
      <w:proofErr w:type="gramEnd"/>
    </w:p>
    <w:p w:rsidR="00BE3231" w:rsidRPr="002338E2" w:rsidRDefault="00BE3231" w:rsidP="00BE3231">
      <w:pPr>
        <w:spacing w:line="360" w:lineRule="auto"/>
        <w:jc w:val="both"/>
        <w:rPr>
          <w:rFonts w:ascii="Arial" w:hAnsi="Arial" w:cs="Arial"/>
          <w:b w:val="0"/>
          <w:color w:val="000000" w:themeColor="text1"/>
          <w:lang w:val="es-ES_tradnl"/>
        </w:rPr>
      </w:pPr>
      <w:bookmarkStart w:id="0" w:name="_GoBack"/>
      <w:bookmarkEnd w:id="0"/>
    </w:p>
    <w:sectPr w:rsidR="00BE3231" w:rsidRPr="002338E2" w:rsidSect="00817F67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F3" w:rsidRDefault="00FF72F3" w:rsidP="00924890">
      <w:r>
        <w:separator/>
      </w:r>
    </w:p>
  </w:endnote>
  <w:endnote w:type="continuationSeparator" w:id="0">
    <w:p w:rsidR="00FF72F3" w:rsidRDefault="00FF72F3" w:rsidP="009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397"/>
      <w:docPartObj>
        <w:docPartGallery w:val="Page Numbers (Bottom of Page)"/>
        <w:docPartUnique/>
      </w:docPartObj>
    </w:sdtPr>
    <w:sdtEndPr/>
    <w:sdtContent>
      <w:p w:rsidR="00B303A0" w:rsidRDefault="00B303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F67">
          <w:rPr>
            <w:noProof/>
          </w:rPr>
          <w:t>3</w:t>
        </w:r>
        <w:r>
          <w:fldChar w:fldCharType="end"/>
        </w:r>
      </w:p>
    </w:sdtContent>
  </w:sdt>
  <w:p w:rsidR="00B303A0" w:rsidRDefault="00B303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F3" w:rsidRDefault="00FF72F3" w:rsidP="00924890">
      <w:r>
        <w:separator/>
      </w:r>
    </w:p>
  </w:footnote>
  <w:footnote w:type="continuationSeparator" w:id="0">
    <w:p w:rsidR="00FF72F3" w:rsidRDefault="00FF72F3" w:rsidP="009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2081C6D"/>
    <w:multiLevelType w:val="hybridMultilevel"/>
    <w:tmpl w:val="F3E091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67032B71"/>
    <w:multiLevelType w:val="hybridMultilevel"/>
    <w:tmpl w:val="993AC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12"/>
  </w:num>
  <w:num w:numId="7">
    <w:abstractNumId w:val="17"/>
  </w:num>
  <w:num w:numId="8">
    <w:abstractNumId w:val="15"/>
  </w:num>
  <w:num w:numId="9">
    <w:abstractNumId w:val="13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0"/>
  </w:num>
  <w:num w:numId="15">
    <w:abstractNumId w:val="11"/>
  </w:num>
  <w:num w:numId="16">
    <w:abstractNumId w:val="16"/>
  </w:num>
  <w:num w:numId="17">
    <w:abstractNumId w:val="18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92"/>
    <w:rsid w:val="00003990"/>
    <w:rsid w:val="0000611E"/>
    <w:rsid w:val="00007977"/>
    <w:rsid w:val="000122FB"/>
    <w:rsid w:val="0002235B"/>
    <w:rsid w:val="00023571"/>
    <w:rsid w:val="00023D51"/>
    <w:rsid w:val="00030F2C"/>
    <w:rsid w:val="00033E59"/>
    <w:rsid w:val="000354B4"/>
    <w:rsid w:val="000435E0"/>
    <w:rsid w:val="00044A80"/>
    <w:rsid w:val="000468A3"/>
    <w:rsid w:val="00054848"/>
    <w:rsid w:val="00061F12"/>
    <w:rsid w:val="00080C55"/>
    <w:rsid w:val="000874B3"/>
    <w:rsid w:val="000977A5"/>
    <w:rsid w:val="000A6EC6"/>
    <w:rsid w:val="000B39D2"/>
    <w:rsid w:val="000B3F93"/>
    <w:rsid w:val="000B790C"/>
    <w:rsid w:val="000D2D79"/>
    <w:rsid w:val="000E07BE"/>
    <w:rsid w:val="000F1545"/>
    <w:rsid w:val="0011485D"/>
    <w:rsid w:val="00125839"/>
    <w:rsid w:val="001408CD"/>
    <w:rsid w:val="00142088"/>
    <w:rsid w:val="00147E22"/>
    <w:rsid w:val="001529AA"/>
    <w:rsid w:val="00160AE0"/>
    <w:rsid w:val="00166F50"/>
    <w:rsid w:val="00170214"/>
    <w:rsid w:val="00183361"/>
    <w:rsid w:val="00193E20"/>
    <w:rsid w:val="00196863"/>
    <w:rsid w:val="001A040B"/>
    <w:rsid w:val="001A0B1D"/>
    <w:rsid w:val="001A0DEC"/>
    <w:rsid w:val="001A5364"/>
    <w:rsid w:val="001A7143"/>
    <w:rsid w:val="001C722E"/>
    <w:rsid w:val="001D682F"/>
    <w:rsid w:val="001D798A"/>
    <w:rsid w:val="001E720D"/>
    <w:rsid w:val="001F4D96"/>
    <w:rsid w:val="00204E73"/>
    <w:rsid w:val="00207106"/>
    <w:rsid w:val="00222083"/>
    <w:rsid w:val="00227998"/>
    <w:rsid w:val="002338E2"/>
    <w:rsid w:val="002346A3"/>
    <w:rsid w:val="00236466"/>
    <w:rsid w:val="002364D8"/>
    <w:rsid w:val="0024748D"/>
    <w:rsid w:val="002564D7"/>
    <w:rsid w:val="00256865"/>
    <w:rsid w:val="00266456"/>
    <w:rsid w:val="00272D07"/>
    <w:rsid w:val="002731E1"/>
    <w:rsid w:val="0027493D"/>
    <w:rsid w:val="002A093B"/>
    <w:rsid w:val="002A14A4"/>
    <w:rsid w:val="002A37C8"/>
    <w:rsid w:val="002C219A"/>
    <w:rsid w:val="002C3CA7"/>
    <w:rsid w:val="002E0D92"/>
    <w:rsid w:val="002E23EC"/>
    <w:rsid w:val="002F2C5A"/>
    <w:rsid w:val="002F32B7"/>
    <w:rsid w:val="002F4FCE"/>
    <w:rsid w:val="002F5905"/>
    <w:rsid w:val="00323440"/>
    <w:rsid w:val="00330F84"/>
    <w:rsid w:val="003378D1"/>
    <w:rsid w:val="00361C93"/>
    <w:rsid w:val="0036659F"/>
    <w:rsid w:val="00367EC4"/>
    <w:rsid w:val="00375C9F"/>
    <w:rsid w:val="003B2BDE"/>
    <w:rsid w:val="003C1715"/>
    <w:rsid w:val="003C4C22"/>
    <w:rsid w:val="003C5FC1"/>
    <w:rsid w:val="003E4E04"/>
    <w:rsid w:val="003F0887"/>
    <w:rsid w:val="00404C96"/>
    <w:rsid w:val="00407F16"/>
    <w:rsid w:val="00414542"/>
    <w:rsid w:val="004276B6"/>
    <w:rsid w:val="00437D69"/>
    <w:rsid w:val="00451570"/>
    <w:rsid w:val="00455826"/>
    <w:rsid w:val="00457272"/>
    <w:rsid w:val="0047031B"/>
    <w:rsid w:val="004A1F03"/>
    <w:rsid w:val="004A4319"/>
    <w:rsid w:val="004A619C"/>
    <w:rsid w:val="004B1732"/>
    <w:rsid w:val="004B342D"/>
    <w:rsid w:val="004B7459"/>
    <w:rsid w:val="004B747E"/>
    <w:rsid w:val="004B7746"/>
    <w:rsid w:val="004C078C"/>
    <w:rsid w:val="004E02FC"/>
    <w:rsid w:val="00505340"/>
    <w:rsid w:val="00512048"/>
    <w:rsid w:val="00524193"/>
    <w:rsid w:val="005254A2"/>
    <w:rsid w:val="00533A4D"/>
    <w:rsid w:val="00543A49"/>
    <w:rsid w:val="005457CC"/>
    <w:rsid w:val="00545F97"/>
    <w:rsid w:val="00546A2F"/>
    <w:rsid w:val="00554B3F"/>
    <w:rsid w:val="00563571"/>
    <w:rsid w:val="00565D89"/>
    <w:rsid w:val="00570833"/>
    <w:rsid w:val="005761E5"/>
    <w:rsid w:val="00584138"/>
    <w:rsid w:val="005942B4"/>
    <w:rsid w:val="005A6992"/>
    <w:rsid w:val="005A723F"/>
    <w:rsid w:val="005A7583"/>
    <w:rsid w:val="005C19FE"/>
    <w:rsid w:val="005D7212"/>
    <w:rsid w:val="005F4B20"/>
    <w:rsid w:val="005F5429"/>
    <w:rsid w:val="00601DFD"/>
    <w:rsid w:val="006146D7"/>
    <w:rsid w:val="00614F24"/>
    <w:rsid w:val="00626AA6"/>
    <w:rsid w:val="00627BD2"/>
    <w:rsid w:val="00632AA7"/>
    <w:rsid w:val="00650FA5"/>
    <w:rsid w:val="006544F0"/>
    <w:rsid w:val="00662BFC"/>
    <w:rsid w:val="00663724"/>
    <w:rsid w:val="00664C6F"/>
    <w:rsid w:val="00666341"/>
    <w:rsid w:val="00683D83"/>
    <w:rsid w:val="00692799"/>
    <w:rsid w:val="006947DD"/>
    <w:rsid w:val="00694947"/>
    <w:rsid w:val="006A031D"/>
    <w:rsid w:val="006C73F3"/>
    <w:rsid w:val="006E2FFD"/>
    <w:rsid w:val="006E66C2"/>
    <w:rsid w:val="006F0593"/>
    <w:rsid w:val="006F088F"/>
    <w:rsid w:val="007112F6"/>
    <w:rsid w:val="00714EED"/>
    <w:rsid w:val="007200A7"/>
    <w:rsid w:val="00723686"/>
    <w:rsid w:val="00731620"/>
    <w:rsid w:val="00734E90"/>
    <w:rsid w:val="00786674"/>
    <w:rsid w:val="007902B8"/>
    <w:rsid w:val="00792F5C"/>
    <w:rsid w:val="00793491"/>
    <w:rsid w:val="007959B1"/>
    <w:rsid w:val="007A2BD4"/>
    <w:rsid w:val="007B13D6"/>
    <w:rsid w:val="007B190B"/>
    <w:rsid w:val="007B20F3"/>
    <w:rsid w:val="007B24A7"/>
    <w:rsid w:val="007B58A1"/>
    <w:rsid w:val="007C6483"/>
    <w:rsid w:val="007D0680"/>
    <w:rsid w:val="007D0C6D"/>
    <w:rsid w:val="007D24B2"/>
    <w:rsid w:val="007E1D6E"/>
    <w:rsid w:val="007E5B85"/>
    <w:rsid w:val="008056CD"/>
    <w:rsid w:val="00817F67"/>
    <w:rsid w:val="00841AD4"/>
    <w:rsid w:val="00845D83"/>
    <w:rsid w:val="0084712A"/>
    <w:rsid w:val="008612FB"/>
    <w:rsid w:val="00861511"/>
    <w:rsid w:val="00864C0E"/>
    <w:rsid w:val="00873FA3"/>
    <w:rsid w:val="008761A7"/>
    <w:rsid w:val="008779A0"/>
    <w:rsid w:val="0088606C"/>
    <w:rsid w:val="00887D2C"/>
    <w:rsid w:val="008A07DE"/>
    <w:rsid w:val="008A2E1F"/>
    <w:rsid w:val="008A5D24"/>
    <w:rsid w:val="008C0B1A"/>
    <w:rsid w:val="008C0DEE"/>
    <w:rsid w:val="008C33FB"/>
    <w:rsid w:val="008D0685"/>
    <w:rsid w:val="008D0E88"/>
    <w:rsid w:val="008D1D77"/>
    <w:rsid w:val="008D20DB"/>
    <w:rsid w:val="008D3667"/>
    <w:rsid w:val="008D6CC6"/>
    <w:rsid w:val="008E1E9B"/>
    <w:rsid w:val="008E470E"/>
    <w:rsid w:val="008F1D54"/>
    <w:rsid w:val="00915556"/>
    <w:rsid w:val="009223BB"/>
    <w:rsid w:val="00924890"/>
    <w:rsid w:val="00931A4C"/>
    <w:rsid w:val="00932078"/>
    <w:rsid w:val="00934D18"/>
    <w:rsid w:val="00934DFF"/>
    <w:rsid w:val="00943832"/>
    <w:rsid w:val="00944C5C"/>
    <w:rsid w:val="00945C05"/>
    <w:rsid w:val="00954AA0"/>
    <w:rsid w:val="0096281A"/>
    <w:rsid w:val="00964E0A"/>
    <w:rsid w:val="0096629E"/>
    <w:rsid w:val="009704CA"/>
    <w:rsid w:val="0097162E"/>
    <w:rsid w:val="00980366"/>
    <w:rsid w:val="00981D8A"/>
    <w:rsid w:val="009848D6"/>
    <w:rsid w:val="009B23A2"/>
    <w:rsid w:val="009B5F82"/>
    <w:rsid w:val="009B698D"/>
    <w:rsid w:val="009D1592"/>
    <w:rsid w:val="009D31CC"/>
    <w:rsid w:val="00A01D54"/>
    <w:rsid w:val="00A25FAB"/>
    <w:rsid w:val="00A31C75"/>
    <w:rsid w:val="00A42865"/>
    <w:rsid w:val="00A433B7"/>
    <w:rsid w:val="00A435B0"/>
    <w:rsid w:val="00A712D1"/>
    <w:rsid w:val="00A83FF8"/>
    <w:rsid w:val="00A95856"/>
    <w:rsid w:val="00A96E62"/>
    <w:rsid w:val="00AB1AF4"/>
    <w:rsid w:val="00AB3E0E"/>
    <w:rsid w:val="00AC6B3B"/>
    <w:rsid w:val="00B01A71"/>
    <w:rsid w:val="00B04025"/>
    <w:rsid w:val="00B06F58"/>
    <w:rsid w:val="00B303A0"/>
    <w:rsid w:val="00B413C7"/>
    <w:rsid w:val="00B533B1"/>
    <w:rsid w:val="00B6062E"/>
    <w:rsid w:val="00B714F4"/>
    <w:rsid w:val="00B84217"/>
    <w:rsid w:val="00B96332"/>
    <w:rsid w:val="00BA6CDB"/>
    <w:rsid w:val="00BC2DDE"/>
    <w:rsid w:val="00BE1AFA"/>
    <w:rsid w:val="00BE3231"/>
    <w:rsid w:val="00BF5CD0"/>
    <w:rsid w:val="00BF74C4"/>
    <w:rsid w:val="00C1553D"/>
    <w:rsid w:val="00C167AA"/>
    <w:rsid w:val="00C20A49"/>
    <w:rsid w:val="00C25554"/>
    <w:rsid w:val="00C36759"/>
    <w:rsid w:val="00C40CE1"/>
    <w:rsid w:val="00C42157"/>
    <w:rsid w:val="00C52F6A"/>
    <w:rsid w:val="00C567C7"/>
    <w:rsid w:val="00C667D9"/>
    <w:rsid w:val="00C801FA"/>
    <w:rsid w:val="00C90FDC"/>
    <w:rsid w:val="00C95621"/>
    <w:rsid w:val="00C95C34"/>
    <w:rsid w:val="00CA1C04"/>
    <w:rsid w:val="00CA47D0"/>
    <w:rsid w:val="00CB6A9D"/>
    <w:rsid w:val="00CC34DE"/>
    <w:rsid w:val="00CE1CAD"/>
    <w:rsid w:val="00CE56CB"/>
    <w:rsid w:val="00CF1DC1"/>
    <w:rsid w:val="00D01037"/>
    <w:rsid w:val="00D12C53"/>
    <w:rsid w:val="00D134EC"/>
    <w:rsid w:val="00D2158C"/>
    <w:rsid w:val="00D23685"/>
    <w:rsid w:val="00D253D2"/>
    <w:rsid w:val="00D3293F"/>
    <w:rsid w:val="00D3537D"/>
    <w:rsid w:val="00D42A74"/>
    <w:rsid w:val="00D4546E"/>
    <w:rsid w:val="00D46057"/>
    <w:rsid w:val="00D53C10"/>
    <w:rsid w:val="00D56342"/>
    <w:rsid w:val="00D56DB9"/>
    <w:rsid w:val="00D61204"/>
    <w:rsid w:val="00D711D1"/>
    <w:rsid w:val="00D71913"/>
    <w:rsid w:val="00D73628"/>
    <w:rsid w:val="00D80A83"/>
    <w:rsid w:val="00D824A0"/>
    <w:rsid w:val="00D8512E"/>
    <w:rsid w:val="00D8650E"/>
    <w:rsid w:val="00D92710"/>
    <w:rsid w:val="00D92937"/>
    <w:rsid w:val="00D935AE"/>
    <w:rsid w:val="00DA6A79"/>
    <w:rsid w:val="00DB1252"/>
    <w:rsid w:val="00DB40E4"/>
    <w:rsid w:val="00DB4F52"/>
    <w:rsid w:val="00DC152D"/>
    <w:rsid w:val="00DC21F4"/>
    <w:rsid w:val="00DC5303"/>
    <w:rsid w:val="00DC5F99"/>
    <w:rsid w:val="00DD05DE"/>
    <w:rsid w:val="00DD5937"/>
    <w:rsid w:val="00DD7CFB"/>
    <w:rsid w:val="00DE54B7"/>
    <w:rsid w:val="00DF3623"/>
    <w:rsid w:val="00E024BE"/>
    <w:rsid w:val="00E21B2D"/>
    <w:rsid w:val="00E2615F"/>
    <w:rsid w:val="00E271EE"/>
    <w:rsid w:val="00E30BF8"/>
    <w:rsid w:val="00E40274"/>
    <w:rsid w:val="00E42F14"/>
    <w:rsid w:val="00E51AE6"/>
    <w:rsid w:val="00E64CE1"/>
    <w:rsid w:val="00E93AAD"/>
    <w:rsid w:val="00E97DFB"/>
    <w:rsid w:val="00EC1BB7"/>
    <w:rsid w:val="00ED32D9"/>
    <w:rsid w:val="00EE2FE5"/>
    <w:rsid w:val="00EF53C3"/>
    <w:rsid w:val="00EF593A"/>
    <w:rsid w:val="00F17ADB"/>
    <w:rsid w:val="00F238CF"/>
    <w:rsid w:val="00F25639"/>
    <w:rsid w:val="00F26D03"/>
    <w:rsid w:val="00F26E58"/>
    <w:rsid w:val="00F41BC0"/>
    <w:rsid w:val="00F529F1"/>
    <w:rsid w:val="00F5616C"/>
    <w:rsid w:val="00F57148"/>
    <w:rsid w:val="00F57238"/>
    <w:rsid w:val="00F71D2F"/>
    <w:rsid w:val="00F8114C"/>
    <w:rsid w:val="00F85196"/>
    <w:rsid w:val="00F91AAA"/>
    <w:rsid w:val="00F91B3C"/>
    <w:rsid w:val="00F97A96"/>
    <w:rsid w:val="00FA437F"/>
    <w:rsid w:val="00FA529E"/>
    <w:rsid w:val="00FD09EE"/>
    <w:rsid w:val="00FD40B2"/>
    <w:rsid w:val="00FE01CC"/>
    <w:rsid w:val="00FE122C"/>
    <w:rsid w:val="00FF576A"/>
    <w:rsid w:val="00FF6103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0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0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91F1-837B-42BC-A515-83EF3356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3321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2017-05-26T18:05:00Z</cp:lastPrinted>
  <dcterms:created xsi:type="dcterms:W3CDTF">2017-05-26T18:05:00Z</dcterms:created>
  <dcterms:modified xsi:type="dcterms:W3CDTF">2017-05-26T18:05:00Z</dcterms:modified>
</cp:coreProperties>
</file>