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16" w:rsidRPr="00786EEB" w:rsidRDefault="000208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1486/17</w:t>
      </w:r>
    </w:p>
    <w:p w:rsidR="00020816" w:rsidRDefault="000208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20816" w:rsidRPr="00762B34" w:rsidRDefault="00020816" w:rsidP="000208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20816" w:rsidRPr="00762B34" w:rsidRDefault="00020816" w:rsidP="0002081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20816" w:rsidRPr="00762B34" w:rsidRDefault="00020816" w:rsidP="000208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20816" w:rsidRPr="00762B34" w:rsidRDefault="00020816" w:rsidP="0002081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20816" w:rsidRPr="00762B34" w:rsidRDefault="00020816" w:rsidP="000208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MAYO </w:t>
      </w:r>
      <w:r>
        <w:rPr>
          <w:rFonts w:ascii="Helvetica" w:hAnsi="Helvetica"/>
          <w:b/>
          <w:lang w:val="es-ES_tradnl"/>
        </w:rPr>
        <w:t>DE 2017</w:t>
      </w:r>
    </w:p>
    <w:p w:rsidR="00020816" w:rsidRPr="00762B34" w:rsidRDefault="00020816" w:rsidP="000208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20816" w:rsidRPr="00762B34" w:rsidRDefault="00020816" w:rsidP="000208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2017-17-1-0002203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1759/17</w:t>
      </w:r>
      <w:r w:rsidRPr="00762B34">
        <w:rPr>
          <w:rFonts w:ascii="Arial" w:hAnsi="Arial" w:cs="Arial"/>
          <w:b/>
          <w:lang w:val="en-US"/>
        </w:rPr>
        <w:t>)</w:t>
      </w:r>
    </w:p>
    <w:p w:rsidR="00020816" w:rsidRDefault="00020816">
      <w:pPr>
        <w:rPr>
          <w:lang w:val="en-US"/>
        </w:rPr>
      </w:pPr>
    </w:p>
    <w:p w:rsidR="00020816" w:rsidRDefault="000609EC" w:rsidP="00020816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67D01">
        <w:rPr>
          <w:rFonts w:ascii="Arial" w:hAnsi="Arial"/>
        </w:rPr>
        <w:t>27</w:t>
      </w:r>
      <w:r>
        <w:rPr>
          <w:rFonts w:ascii="Arial" w:hAnsi="Arial"/>
        </w:rPr>
        <w:t xml:space="preserve"> de </w:t>
      </w:r>
      <w:r w:rsidR="00767D01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67D0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00FDB">
        <w:rPr>
          <w:rFonts w:ascii="Arial" w:hAnsi="Arial"/>
        </w:rPr>
        <w:t xml:space="preserve">Tomás </w:t>
      </w:r>
      <w:proofErr w:type="spellStart"/>
      <w:r w:rsidR="00400FDB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767D01">
        <w:rPr>
          <w:rFonts w:ascii="Arial" w:hAnsi="Arial"/>
        </w:rPr>
        <w:t>enero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767D01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767D01" w:rsidRDefault="000609EC" w:rsidP="00020816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Tomás </w:t>
      </w:r>
      <w:proofErr w:type="spellStart"/>
      <w:r w:rsidR="00855913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F22FD0">
        <w:rPr>
          <w:rFonts w:ascii="Arial" w:hAnsi="Arial"/>
          <w:lang w:val="es-MX"/>
        </w:rPr>
        <w:t xml:space="preserve">4 gastos por $ 278.147, en </w:t>
      </w:r>
      <w:r w:rsidR="00275DCA">
        <w:rPr>
          <w:rFonts w:ascii="Arial" w:hAnsi="Arial"/>
          <w:lang w:val="es-MX"/>
        </w:rPr>
        <w:t>los</w:t>
      </w:r>
      <w:r w:rsidR="00F22FD0">
        <w:rPr>
          <w:rFonts w:ascii="Arial" w:hAnsi="Arial"/>
          <w:lang w:val="es-MX"/>
        </w:rPr>
        <w:t xml:space="preserve"> mes</w:t>
      </w:r>
      <w:r w:rsidR="00275DCA">
        <w:rPr>
          <w:rFonts w:ascii="Arial" w:hAnsi="Arial"/>
          <w:lang w:val="es-MX"/>
        </w:rPr>
        <w:t xml:space="preserve">es de diciembre de 2016 y </w:t>
      </w:r>
      <w:r w:rsidR="00F22FD0">
        <w:rPr>
          <w:rFonts w:ascii="Arial" w:hAnsi="Arial"/>
          <w:lang w:val="es-MX"/>
        </w:rPr>
        <w:t xml:space="preserve"> enero </w:t>
      </w:r>
      <w:r w:rsidR="00275DCA">
        <w:rPr>
          <w:rFonts w:ascii="Arial" w:hAnsi="Arial"/>
          <w:lang w:val="es-MX"/>
        </w:rPr>
        <w:t xml:space="preserve">de </w:t>
      </w:r>
      <w:r w:rsidR="00F22FD0">
        <w:rPr>
          <w:rFonts w:ascii="Arial" w:hAnsi="Arial"/>
          <w:lang w:val="es-MX"/>
        </w:rPr>
        <w:t xml:space="preserve">2017, </w:t>
      </w:r>
      <w:r w:rsidR="00767D01">
        <w:rPr>
          <w:rFonts w:ascii="Arial" w:hAnsi="Arial"/>
          <w:lang w:val="es-MX"/>
        </w:rPr>
        <w:t xml:space="preserve"> según el siguiente detalle: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870"/>
        <w:gridCol w:w="4624"/>
        <w:gridCol w:w="1177"/>
        <w:gridCol w:w="1084"/>
      </w:tblGrid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Ejercicio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2016</w:t>
            </w:r>
          </w:p>
        </w:tc>
        <w:tc>
          <w:tcPr>
            <w:tcW w:w="0" w:type="auto"/>
          </w:tcPr>
          <w:p w:rsidR="00946CC6" w:rsidRDefault="0002081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46CC6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10.975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proofErr w:type="spellStart"/>
            <w:r>
              <w:rPr>
                <w:rFonts w:ascii="Arial" w:hAnsi="Arial"/>
                <w:lang w:val="es-MX"/>
              </w:rPr>
              <w:t>SubTotal</w:t>
            </w:r>
            <w:proofErr w:type="spellEnd"/>
            <w:r>
              <w:rPr>
                <w:rFonts w:ascii="Arial" w:hAnsi="Arial"/>
                <w:lang w:val="es-MX"/>
              </w:rPr>
              <w:t xml:space="preserve"> 2016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10.975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2017</w:t>
            </w:r>
          </w:p>
        </w:tc>
        <w:tc>
          <w:tcPr>
            <w:tcW w:w="0" w:type="auto"/>
          </w:tcPr>
          <w:p w:rsidR="00946CC6" w:rsidRDefault="0002081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46CC6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17.172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2017</w:t>
            </w:r>
          </w:p>
        </w:tc>
        <w:tc>
          <w:tcPr>
            <w:tcW w:w="0" w:type="auto"/>
          </w:tcPr>
          <w:p w:rsidR="00946CC6" w:rsidRDefault="0002081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46CC6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250.000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Sub Total 2017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267.172</w:t>
            </w:r>
          </w:p>
        </w:tc>
      </w:tr>
      <w:tr w:rsidR="00946CC6" w:rsidTr="00020816">
        <w:tc>
          <w:tcPr>
            <w:tcW w:w="1870" w:type="dxa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0" w:type="auto"/>
          </w:tcPr>
          <w:p w:rsidR="00946CC6" w:rsidRDefault="00946CC6" w:rsidP="00767D0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278.147</w:t>
            </w:r>
          </w:p>
        </w:tc>
      </w:tr>
    </w:tbl>
    <w:p w:rsidR="00767D01" w:rsidRDefault="000609EC" w:rsidP="00767D0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767D01" w:rsidP="0002081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020816">
        <w:rPr>
          <w:rFonts w:ascii="Arial" w:hAnsi="Arial"/>
          <w:spacing w:val="-3"/>
          <w:lang w:val="es-ES_tradnl"/>
        </w:rPr>
        <w:t xml:space="preserve"> R</w:t>
      </w:r>
      <w:r w:rsidR="00F02EA7">
        <w:rPr>
          <w:rFonts w:ascii="Arial" w:hAnsi="Arial"/>
          <w:spacing w:val="-3"/>
          <w:lang w:val="es-ES_tradnl"/>
        </w:rPr>
        <w:t>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20816" w:rsidRDefault="000609EC" w:rsidP="0002081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020816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02081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020816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020816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02081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20816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2081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020816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020816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02081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020816" w:rsidRDefault="000609EC" w:rsidP="0002081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020816">
        <w:rPr>
          <w:rFonts w:ascii="Arial" w:hAnsi="Arial"/>
          <w:lang w:val="es-MX"/>
        </w:rPr>
        <w:t>Ratificar la</w:t>
      </w:r>
      <w:r w:rsidR="00855913" w:rsidRPr="00020816">
        <w:rPr>
          <w:rFonts w:ascii="Arial" w:hAnsi="Arial"/>
          <w:lang w:val="es-MX"/>
        </w:rPr>
        <w:t>s</w:t>
      </w:r>
      <w:r w:rsidRPr="00020816">
        <w:rPr>
          <w:rFonts w:ascii="Arial" w:hAnsi="Arial"/>
          <w:lang w:val="es-MX"/>
        </w:rPr>
        <w:t xml:space="preserve"> observaci</w:t>
      </w:r>
      <w:r w:rsidR="00855913" w:rsidRPr="00020816">
        <w:rPr>
          <w:rFonts w:ascii="Arial" w:hAnsi="Arial"/>
          <w:lang w:val="es-MX"/>
        </w:rPr>
        <w:t>ones</w:t>
      </w:r>
      <w:r w:rsidRPr="00020816">
        <w:rPr>
          <w:rFonts w:ascii="Arial" w:hAnsi="Arial"/>
          <w:lang w:val="es-MX"/>
        </w:rPr>
        <w:t xml:space="preserve"> formulada</w:t>
      </w:r>
      <w:r w:rsidR="00855913" w:rsidRPr="00020816">
        <w:rPr>
          <w:rFonts w:ascii="Arial" w:hAnsi="Arial"/>
          <w:lang w:val="es-MX"/>
        </w:rPr>
        <w:t>s</w:t>
      </w:r>
      <w:r w:rsidRPr="00020816">
        <w:rPr>
          <w:rFonts w:ascii="Arial" w:hAnsi="Arial"/>
          <w:lang w:val="es-MX"/>
        </w:rPr>
        <w:t xml:space="preserve"> por el Contador Delegado en </w:t>
      </w:r>
      <w:r w:rsidR="00F22FD0" w:rsidRPr="00020816">
        <w:rPr>
          <w:rFonts w:ascii="Arial" w:hAnsi="Arial"/>
          <w:lang w:val="es-MX"/>
        </w:rPr>
        <w:t>e</w:t>
      </w:r>
      <w:r w:rsidRPr="00020816">
        <w:rPr>
          <w:rFonts w:ascii="Arial" w:hAnsi="Arial"/>
          <w:lang w:val="es-MX"/>
        </w:rPr>
        <w:t xml:space="preserve">l </w:t>
      </w:r>
      <w:r w:rsidR="007C78DC" w:rsidRPr="00020816">
        <w:rPr>
          <w:rFonts w:ascii="Arial" w:hAnsi="Arial"/>
          <w:lang w:val="es-MX"/>
        </w:rPr>
        <w:t xml:space="preserve">Municipio de </w:t>
      </w:r>
      <w:r w:rsidR="00400FDB" w:rsidRPr="00020816">
        <w:rPr>
          <w:rFonts w:ascii="Arial" w:hAnsi="Arial"/>
          <w:lang w:val="es-MX"/>
        </w:rPr>
        <w:t xml:space="preserve">Tomás </w:t>
      </w:r>
      <w:proofErr w:type="spellStart"/>
      <w:r w:rsidR="00400FDB" w:rsidRPr="00020816">
        <w:rPr>
          <w:rFonts w:ascii="Arial" w:hAnsi="Arial"/>
          <w:lang w:val="es-MX"/>
        </w:rPr>
        <w:t>Gomensoro</w:t>
      </w:r>
      <w:proofErr w:type="spellEnd"/>
      <w:r w:rsidR="007C78DC" w:rsidRPr="00020816">
        <w:rPr>
          <w:rFonts w:ascii="Arial" w:hAnsi="Arial"/>
          <w:lang w:val="es-MX"/>
        </w:rPr>
        <w:t xml:space="preserve"> de la Intendencia</w:t>
      </w:r>
      <w:r w:rsidRPr="00020816">
        <w:rPr>
          <w:rFonts w:ascii="Arial" w:hAnsi="Arial"/>
          <w:lang w:val="es-MX"/>
        </w:rPr>
        <w:t xml:space="preserve"> de Artigas</w:t>
      </w:r>
      <w:r w:rsidRPr="00020816">
        <w:rPr>
          <w:rFonts w:ascii="Arial" w:hAnsi="Arial"/>
        </w:rPr>
        <w:t>;</w:t>
      </w:r>
    </w:p>
    <w:p w:rsidR="007C78DC" w:rsidRPr="00020816" w:rsidRDefault="007C78DC" w:rsidP="0002081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020816">
        <w:rPr>
          <w:rFonts w:ascii="Arial" w:hAnsi="Arial"/>
        </w:rPr>
        <w:t>Dar cuenta a la Junta Departamental de Artigas;</w:t>
      </w:r>
    </w:p>
    <w:p w:rsidR="00562B66" w:rsidRPr="00020816" w:rsidRDefault="000609EC" w:rsidP="00020816">
      <w:pPr>
        <w:pStyle w:val="Prrafodelista"/>
        <w:numPr>
          <w:ilvl w:val="0"/>
          <w:numId w:val="1"/>
        </w:numPr>
        <w:rPr>
          <w:sz w:val="20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20816">
        <w:rPr>
          <w:rFonts w:ascii="Arial" w:hAnsi="Arial"/>
          <w:lang w:val="es-MX"/>
        </w:rPr>
        <w:t xml:space="preserve">Tomás </w:t>
      </w:r>
      <w:proofErr w:type="spellStart"/>
      <w:r w:rsidR="00020816">
        <w:rPr>
          <w:rFonts w:ascii="Arial" w:hAnsi="Arial"/>
          <w:lang w:val="es-MX"/>
        </w:rPr>
        <w:t>Gomensoro</w:t>
      </w:r>
      <w:proofErr w:type="spellEnd"/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20816" w:rsidRDefault="00020816" w:rsidP="00020816">
      <w:pPr>
        <w:rPr>
          <w:sz w:val="20"/>
        </w:rPr>
      </w:pPr>
    </w:p>
    <w:p w:rsidR="00020816" w:rsidRDefault="00020816" w:rsidP="00020816">
      <w:pPr>
        <w:rPr>
          <w:sz w:val="20"/>
        </w:rPr>
      </w:pPr>
    </w:p>
    <w:p w:rsidR="00020816" w:rsidRDefault="00020816" w:rsidP="00020816">
      <w:pPr>
        <w:rPr>
          <w:sz w:val="20"/>
        </w:rPr>
      </w:pPr>
    </w:p>
    <w:p w:rsidR="00020816" w:rsidRPr="00020816" w:rsidRDefault="00020816" w:rsidP="00020816">
      <w:pPr>
        <w:rPr>
          <w:rFonts w:ascii="Arial" w:hAnsi="Arial" w:cs="Arial"/>
          <w:szCs w:val="24"/>
        </w:rPr>
      </w:pPr>
    </w:p>
    <w:p w:rsidR="00020816" w:rsidRDefault="00020816" w:rsidP="00020816">
      <w:pPr>
        <w:rPr>
          <w:sz w:val="20"/>
        </w:rPr>
      </w:pPr>
    </w:p>
    <w:p w:rsidR="00020816" w:rsidRPr="00020816" w:rsidRDefault="00020816" w:rsidP="00020816">
      <w:pPr>
        <w:ind w:hanging="426"/>
        <w:rPr>
          <w:rFonts w:ascii="Arial" w:hAnsi="Arial" w:cs="Arial"/>
          <w:szCs w:val="24"/>
        </w:rPr>
      </w:pPr>
      <w:proofErr w:type="gramStart"/>
      <w:r w:rsidRPr="00020816">
        <w:rPr>
          <w:rFonts w:ascii="Arial" w:hAnsi="Arial" w:cs="Arial"/>
          <w:szCs w:val="24"/>
        </w:rPr>
        <w:t>dc</w:t>
      </w:r>
      <w:bookmarkStart w:id="0" w:name="_GoBack"/>
      <w:bookmarkEnd w:id="0"/>
      <w:proofErr w:type="gramEnd"/>
    </w:p>
    <w:sectPr w:rsidR="00020816" w:rsidRPr="00020816" w:rsidSect="00020816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C6" w:rsidRDefault="00946CC6">
      <w:r>
        <w:separator/>
      </w:r>
    </w:p>
  </w:endnote>
  <w:endnote w:type="continuationSeparator" w:id="0">
    <w:p w:rsidR="00946CC6" w:rsidRDefault="0094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C6" w:rsidRDefault="00946CC6">
      <w:r>
        <w:separator/>
      </w:r>
    </w:p>
  </w:footnote>
  <w:footnote w:type="continuationSeparator" w:id="0">
    <w:p w:rsidR="00946CC6" w:rsidRDefault="0094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BDE12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0816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75DCA"/>
    <w:rsid w:val="002D2A83"/>
    <w:rsid w:val="002D6D90"/>
    <w:rsid w:val="002E5685"/>
    <w:rsid w:val="00380253"/>
    <w:rsid w:val="003A17D5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67D01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46CC6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22FD0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EC0F-FDAC-4D67-AD59-5BECE117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2017-05-17T19:33:00Z</cp:lastPrinted>
  <dcterms:created xsi:type="dcterms:W3CDTF">2017-05-17T19:33:00Z</dcterms:created>
  <dcterms:modified xsi:type="dcterms:W3CDTF">2017-05-17T19:33:00Z</dcterms:modified>
</cp:coreProperties>
</file>