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BE" w:rsidRPr="00786EEB" w:rsidRDefault="008047BE"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1483/17</w:t>
      </w:r>
    </w:p>
    <w:p w:rsidR="008047BE" w:rsidRDefault="008047BE" w:rsidP="00786EEB">
      <w:pPr>
        <w:tabs>
          <w:tab w:val="center" w:pos="4253"/>
        </w:tabs>
        <w:suppressAutoHyphens/>
        <w:jc w:val="right"/>
        <w:rPr>
          <w:rFonts w:ascii="Arial" w:hAnsi="Arial" w:cs="Arial"/>
          <w:b/>
          <w:lang w:val="es-ES_tradnl"/>
        </w:rPr>
      </w:pPr>
    </w:p>
    <w:p w:rsidR="008047BE" w:rsidRPr="00762B34" w:rsidRDefault="008047BE">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8047BE" w:rsidRPr="00762B34" w:rsidRDefault="008047BE">
      <w:pPr>
        <w:tabs>
          <w:tab w:val="left" w:pos="-720"/>
        </w:tabs>
        <w:suppressAutoHyphens/>
        <w:jc w:val="center"/>
        <w:rPr>
          <w:rFonts w:ascii="Arial" w:hAnsi="Arial" w:cs="Arial"/>
          <w:b/>
          <w:lang w:val="es-ES_tradnl"/>
        </w:rPr>
      </w:pPr>
    </w:p>
    <w:p w:rsidR="008047BE" w:rsidRPr="00762B34" w:rsidRDefault="008047BE">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8047BE" w:rsidRPr="00762B34" w:rsidRDefault="008047BE">
      <w:pPr>
        <w:tabs>
          <w:tab w:val="left" w:pos="-720"/>
        </w:tabs>
        <w:suppressAutoHyphens/>
        <w:jc w:val="center"/>
        <w:rPr>
          <w:rFonts w:ascii="Arial" w:hAnsi="Arial" w:cs="Arial"/>
          <w:b/>
          <w:lang w:val="es-ES_tradnl"/>
        </w:rPr>
      </w:pPr>
    </w:p>
    <w:p w:rsidR="008047BE" w:rsidRPr="00762B34" w:rsidRDefault="008047BE">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17 DE MAYO </w:t>
      </w:r>
      <w:r>
        <w:rPr>
          <w:rFonts w:ascii="Helvetica" w:hAnsi="Helvetica"/>
          <w:b/>
          <w:lang w:val="es-ES_tradnl"/>
        </w:rPr>
        <w:t>DE 2017</w:t>
      </w:r>
    </w:p>
    <w:p w:rsidR="008047BE" w:rsidRPr="00762B34" w:rsidRDefault="008047BE">
      <w:pPr>
        <w:tabs>
          <w:tab w:val="center" w:pos="4253"/>
        </w:tabs>
        <w:suppressAutoHyphens/>
        <w:jc w:val="center"/>
        <w:rPr>
          <w:rFonts w:ascii="Arial" w:hAnsi="Arial" w:cs="Arial"/>
          <w:b/>
          <w:lang w:val="es-ES_tradnl"/>
        </w:rPr>
      </w:pPr>
    </w:p>
    <w:p w:rsidR="008047BE" w:rsidRPr="00762B34" w:rsidRDefault="008047BE">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2014-17-1-0003583</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1966/17</w:t>
      </w:r>
      <w:r w:rsidRPr="00762B34">
        <w:rPr>
          <w:rFonts w:ascii="Arial" w:hAnsi="Arial" w:cs="Arial"/>
          <w:b/>
          <w:lang w:val="en-US"/>
        </w:rPr>
        <w:t>)</w:t>
      </w:r>
    </w:p>
    <w:p w:rsidR="00B33BE0" w:rsidRDefault="00B33BE0">
      <w:pPr>
        <w:pStyle w:val="Textoindependiente"/>
        <w:jc w:val="center"/>
      </w:pPr>
    </w:p>
    <w:p w:rsidR="008047BE" w:rsidRDefault="00B33BE0" w:rsidP="008047BE">
      <w:pPr>
        <w:pStyle w:val="Textoindependiente"/>
        <w:ind w:firstLine="851"/>
      </w:pPr>
      <w:r>
        <w:rPr>
          <w:b/>
          <w:bCs/>
        </w:rPr>
        <w:t xml:space="preserve">VISTO: </w:t>
      </w:r>
      <w:r>
        <w:t>las nuevas actuaciones remitidas por la Administración Nacional de Puertos, relacionadas con la cesión de uso del local contiguo a las oficinas de la Unidad Salto (Ex. Balanza);</w:t>
      </w:r>
    </w:p>
    <w:p w:rsidR="008047BE" w:rsidRDefault="00B33BE0" w:rsidP="008047BE">
      <w:pPr>
        <w:pStyle w:val="Textoindependiente"/>
        <w:ind w:firstLine="851"/>
      </w:pPr>
      <w:r>
        <w:rPr>
          <w:b/>
          <w:bCs/>
        </w:rPr>
        <w:t xml:space="preserve">RESULTANDO: 1) </w:t>
      </w:r>
      <w:r>
        <w:t xml:space="preserve">que el </w:t>
      </w:r>
      <w:r w:rsidR="008047BE">
        <w:t>Directorio, por Resolución 869/</w:t>
      </w:r>
      <w:r>
        <w:t xml:space="preserve">3.855 del 27.12.16, dispuso rectificar la R. </w:t>
      </w:r>
      <w:proofErr w:type="spellStart"/>
      <w:r>
        <w:t>Dir</w:t>
      </w:r>
      <w:proofErr w:type="spellEnd"/>
      <w:r>
        <w:t xml:space="preserve"> 426/3.789 y revocar, dándole una nueva redacción, el numeral 1 de la R. </w:t>
      </w:r>
      <w:proofErr w:type="spellStart"/>
      <w:r>
        <w:t>Dir</w:t>
      </w:r>
      <w:proofErr w:type="spellEnd"/>
      <w:r>
        <w:t xml:space="preserve"> 67/3719, por lo cual otorgó en cesión de uso el referido local a la sociedad de hecho integrada por Adriana Zoraida Sánchez Martínez, María Torres y Carla de los Santos;</w:t>
      </w:r>
    </w:p>
    <w:p w:rsidR="008047BE" w:rsidRDefault="00B33BE0" w:rsidP="008047BE">
      <w:pPr>
        <w:pStyle w:val="Textoindependiente"/>
        <w:ind w:firstLine="2835"/>
      </w:pPr>
      <w:r>
        <w:rPr>
          <w:b/>
          <w:bCs/>
        </w:rPr>
        <w:t xml:space="preserve">2) </w:t>
      </w:r>
      <w:r>
        <w:t>que este Tribunal, por Resolución 786/17 adop</w:t>
      </w:r>
      <w:r w:rsidR="008047BE">
        <w:softHyphen/>
      </w:r>
      <w:r>
        <w:t>tada en Sesión de fecha 02.03.17, acordó observar el procedimiento por las siguientes causales:</w:t>
      </w:r>
    </w:p>
    <w:p w:rsidR="008047BE" w:rsidRDefault="00B33BE0" w:rsidP="008047BE">
      <w:pPr>
        <w:pStyle w:val="Textoindependiente"/>
        <w:ind w:firstLine="2835"/>
      </w:pPr>
      <w:r>
        <w:rPr>
          <w:b/>
          <w:bCs/>
        </w:rPr>
        <w:t>2.1)</w:t>
      </w:r>
      <w:r>
        <w:t xml:space="preserve"> </w:t>
      </w:r>
      <w:r w:rsidR="008047BE">
        <w:t xml:space="preserve">que </w:t>
      </w:r>
      <w:r>
        <w:t>en la medida que se dispuso la cesión del local el 27.12.16 y la cesionaria se encontraba en poder del mismo desde el 23.02.16, la Resolución que dispuso la cesión tiene carácter retroactivo, extremo que vulnera el principio de seguridad jurídica;</w:t>
      </w:r>
    </w:p>
    <w:p w:rsidR="008047BE" w:rsidRDefault="00B33BE0" w:rsidP="008047BE">
      <w:pPr>
        <w:pStyle w:val="Textoindependiente"/>
        <w:ind w:firstLine="2835"/>
      </w:pPr>
      <w:r>
        <w:rPr>
          <w:b/>
          <w:bCs/>
        </w:rPr>
        <w:t>2.2)</w:t>
      </w:r>
      <w:r>
        <w:t xml:space="preserve"> </w:t>
      </w:r>
      <w:r w:rsidR="008047BE">
        <w:t xml:space="preserve">que </w:t>
      </w:r>
      <w:r>
        <w:t xml:space="preserve">la referida Resolución se dictó en forma previa a la intervención de este Tribunal, con </w:t>
      </w:r>
      <w:r w:rsidR="008047BE">
        <w:t>lo cual no se dio cumplimiento con lo preceptuado por el A</w:t>
      </w:r>
      <w:r>
        <w:t xml:space="preserve">rtículo 1º de la  Resolución de fecha 11.05.05, con la redacción dada </w:t>
      </w:r>
      <w:r w:rsidR="008047BE">
        <w:t>por la Resolución del 28.03.07;</w:t>
      </w:r>
    </w:p>
    <w:p w:rsidR="000840E2" w:rsidRDefault="00B33BE0" w:rsidP="000840E2">
      <w:pPr>
        <w:pStyle w:val="Textoindependiente"/>
        <w:ind w:firstLine="2835"/>
      </w:pPr>
      <w:r>
        <w:rPr>
          <w:b/>
          <w:bCs/>
        </w:rPr>
        <w:t>2.3)</w:t>
      </w:r>
      <w:r>
        <w:t xml:space="preserve"> </w:t>
      </w:r>
      <w:r w:rsidR="000840E2">
        <w:t xml:space="preserve">que </w:t>
      </w:r>
      <w:r>
        <w:t xml:space="preserve">la Administración hizo entrega del local sin analizar previamente si la cesionaria se encontraba inscripta en el Registro </w:t>
      </w:r>
      <w:r>
        <w:lastRenderedPageBreak/>
        <w:t>Único de Proveedores del Estado y asimismo, consultado en forma electrónica el mencionado registro, se constató que la sociedad de hecho que resultó cesionaria no figura en ninguno de los estados permitidos por el sistema, contravin</w:t>
      </w:r>
      <w:r w:rsidR="000840E2">
        <w:t>iéndose lo preceptuado por los Artículos 46 Incisos 2 y 3 y 76 I</w:t>
      </w:r>
      <w:r>
        <w:t>nciso 2 del TOCAF al respecto;</w:t>
      </w:r>
    </w:p>
    <w:p w:rsidR="000840E2" w:rsidRDefault="00B33BE0" w:rsidP="000840E2">
      <w:pPr>
        <w:pStyle w:val="Textoindependiente"/>
        <w:ind w:firstLine="2835"/>
      </w:pPr>
      <w:r>
        <w:rPr>
          <w:b/>
          <w:bCs/>
        </w:rPr>
        <w:t xml:space="preserve">3) </w:t>
      </w:r>
      <w:r>
        <w:t>que el Directorio, por Resolución R.</w:t>
      </w:r>
      <w:r w:rsidR="000840E2">
        <w:t xml:space="preserve"> </w:t>
      </w:r>
      <w:r>
        <w:t>Dir</w:t>
      </w:r>
      <w:r w:rsidR="000840E2">
        <w:t>.</w:t>
      </w:r>
      <w:r>
        <w:t xml:space="preserve"> 213/3.869 del 18.04.17,</w:t>
      </w:r>
      <w:r w:rsidR="000840E2">
        <w:t xml:space="preserve"> </w:t>
      </w:r>
      <w:r>
        <w:t xml:space="preserve">dispuso </w:t>
      </w:r>
      <w:r w:rsidR="00BF3506">
        <w:t xml:space="preserve">“insistir” en el procedimiento </w:t>
      </w:r>
      <w:r>
        <w:t xml:space="preserve"> aduciendo que:</w:t>
      </w:r>
    </w:p>
    <w:p w:rsidR="000840E2" w:rsidRDefault="00B33BE0" w:rsidP="000840E2">
      <w:pPr>
        <w:pStyle w:val="Textoindependiente"/>
        <w:ind w:firstLine="2835"/>
      </w:pPr>
      <w:r>
        <w:rPr>
          <w:b/>
          <w:bCs/>
        </w:rPr>
        <w:t>3.1)</w:t>
      </w:r>
      <w:r>
        <w:t xml:space="preserve"> la cesionaria se encuentra en poder del local cedido en razón de haberse modificado su calidad al momento de contratar ya que en primer lugar se estableció que era una sociedad unipersonal cuando se trataba de una sociedad de hecho;</w:t>
      </w:r>
    </w:p>
    <w:p w:rsidR="000840E2" w:rsidRDefault="00B33BE0" w:rsidP="000840E2">
      <w:pPr>
        <w:pStyle w:val="Textoindependiente"/>
        <w:ind w:firstLine="2835"/>
      </w:pPr>
      <w:r>
        <w:rPr>
          <w:b/>
          <w:bCs/>
        </w:rPr>
        <w:t>3.2)</w:t>
      </w:r>
      <w:r>
        <w:t xml:space="preserve"> el cumplimiento de la garantía, como la inscripción en RUPE serán objeto de control al momento de suscribir el contrato respectivo;</w:t>
      </w:r>
    </w:p>
    <w:p w:rsidR="00B33BE0" w:rsidRDefault="00B33BE0" w:rsidP="000840E2">
      <w:pPr>
        <w:pStyle w:val="Textoindependiente"/>
        <w:ind w:firstLine="2835"/>
      </w:pPr>
      <w:r>
        <w:rPr>
          <w:b/>
          <w:bCs/>
        </w:rPr>
        <w:t>3.3)</w:t>
      </w:r>
      <w:r>
        <w:t xml:space="preserve"> es imprescindible continuar con las instancias que conlleven a la suscripción del contrato de cesión de uso del local contiguo a la Unidad Salto (ex - balanza);</w:t>
      </w:r>
    </w:p>
    <w:p w:rsidR="000840E2" w:rsidRDefault="00B33BE0" w:rsidP="000840E2">
      <w:pPr>
        <w:pStyle w:val="Textoindependiente"/>
        <w:ind w:firstLine="851"/>
      </w:pPr>
      <w:r>
        <w:rPr>
          <w:b/>
          <w:bCs/>
        </w:rPr>
        <w:t xml:space="preserve">CONSIDERANDO: 1) </w:t>
      </w:r>
      <w:r>
        <w:t>que sin perjuicio del momento en el que se suscribirá el documento, el contrato existe desde que se acordó la entrega del local a cambio de un precio, es decir, desde que se con</w:t>
      </w:r>
      <w:r w:rsidR="000840E2">
        <w:t>cretó el acuerdo de voluntades;</w:t>
      </w:r>
    </w:p>
    <w:p w:rsidR="000840E2" w:rsidRDefault="00B33BE0" w:rsidP="000840E2">
      <w:pPr>
        <w:pStyle w:val="Textoindependiente"/>
        <w:ind w:firstLine="3119"/>
      </w:pPr>
      <w:r>
        <w:rPr>
          <w:b/>
          <w:bCs/>
        </w:rPr>
        <w:t>2)</w:t>
      </w:r>
      <w:r>
        <w:t xml:space="preserve"> que en consecuencia, el Organismo debió enviar las actuaciones a este Tribunal para la realización del control preventivo que le compete y dictar la Resolución de adjudicación en forma previa a la entrega del local;</w:t>
      </w:r>
    </w:p>
    <w:p w:rsidR="00CD7559" w:rsidRDefault="00B33BE0" w:rsidP="00CD7559">
      <w:pPr>
        <w:pStyle w:val="Textoindependiente"/>
        <w:ind w:firstLine="3119"/>
      </w:pPr>
      <w:r>
        <w:rPr>
          <w:b/>
          <w:bCs/>
        </w:rPr>
        <w:t xml:space="preserve">3) </w:t>
      </w:r>
      <w:r w:rsidR="000840E2">
        <w:t>que asimismo, de acuerdo con lo previsto por el Artículo 76 I</w:t>
      </w:r>
      <w:r>
        <w:t xml:space="preserve">nciso 7 del TOCAF, la Administración actuante debió controlar que la cesionaria estuviera inscripta en RUPE antes de que ésta se encontrara en </w:t>
      </w:r>
      <w:r>
        <w:lastRenderedPageBreak/>
        <w:t>poder del local cedido, en tanto la inscripción en dicho registro constituye un requisito para contratar con el Estado;</w:t>
      </w:r>
    </w:p>
    <w:p w:rsidR="00B33BE0" w:rsidRDefault="00B33BE0" w:rsidP="00CD7559">
      <w:pPr>
        <w:pStyle w:val="Textoindependiente"/>
        <w:ind w:firstLine="3119"/>
      </w:pPr>
      <w:r>
        <w:rPr>
          <w:b/>
          <w:bCs/>
        </w:rPr>
        <w:t xml:space="preserve">4) </w:t>
      </w:r>
      <w:r>
        <w:t>que el argumento referido al carácter impres</w:t>
      </w:r>
      <w:r w:rsidR="00CD7559">
        <w:softHyphen/>
      </w:r>
      <w:r>
        <w:t>cindi</w:t>
      </w:r>
      <w:r w:rsidR="00CD7559">
        <w:softHyphen/>
      </w:r>
      <w:r>
        <w:t>ble del servicio no guarda relación con las causales de observación  oportunamente formuladas;</w:t>
      </w:r>
    </w:p>
    <w:p w:rsidR="00B33BE0" w:rsidRDefault="00B33BE0" w:rsidP="00CD7559">
      <w:pPr>
        <w:spacing w:line="360" w:lineRule="auto"/>
        <w:ind w:firstLine="851"/>
        <w:jc w:val="both"/>
        <w:rPr>
          <w:rFonts w:ascii="Arial" w:hAnsi="Arial" w:cs="Arial"/>
        </w:rPr>
      </w:pPr>
      <w:r>
        <w:rPr>
          <w:rFonts w:ascii="Arial" w:hAnsi="Arial" w:cs="Arial"/>
          <w:b/>
          <w:bCs/>
        </w:rPr>
        <w:t xml:space="preserve">ATENTO: </w:t>
      </w:r>
      <w:r>
        <w:rPr>
          <w:rFonts w:ascii="Arial" w:hAnsi="Arial" w:cs="Arial"/>
        </w:rPr>
        <w:t xml:space="preserve">a lo expuesto y a lo dispuesto por el </w:t>
      </w:r>
      <w:r w:rsidR="00CD7559">
        <w:rPr>
          <w:rFonts w:ascii="Arial" w:hAnsi="Arial" w:cs="Arial"/>
        </w:rPr>
        <w:t>A</w:t>
      </w:r>
      <w:r>
        <w:rPr>
          <w:rFonts w:ascii="Arial" w:hAnsi="Arial" w:cs="Arial"/>
        </w:rPr>
        <w:t>rt</w:t>
      </w:r>
      <w:r w:rsidR="00CD7559">
        <w:rPr>
          <w:rFonts w:ascii="Arial" w:hAnsi="Arial" w:cs="Arial"/>
        </w:rPr>
        <w:t>ículo 211 L</w:t>
      </w:r>
      <w:r>
        <w:rPr>
          <w:rFonts w:ascii="Arial" w:hAnsi="Arial" w:cs="Arial"/>
        </w:rPr>
        <w:t>iteral E) de la Constitución</w:t>
      </w:r>
      <w:r w:rsidR="00CD7559">
        <w:rPr>
          <w:rFonts w:ascii="Arial" w:hAnsi="Arial" w:cs="Arial"/>
        </w:rPr>
        <w:t xml:space="preserve"> de la República</w:t>
      </w:r>
      <w:r>
        <w:rPr>
          <w:rFonts w:ascii="Arial" w:hAnsi="Arial" w:cs="Arial"/>
        </w:rPr>
        <w:t>;</w:t>
      </w:r>
    </w:p>
    <w:p w:rsidR="00B33BE0" w:rsidRDefault="00B33BE0" w:rsidP="00CD7559">
      <w:pPr>
        <w:pStyle w:val="Ttulo1"/>
        <w:spacing w:line="360" w:lineRule="auto"/>
      </w:pPr>
      <w:r>
        <w:t>EL TRIBUNAL ACUERDA</w:t>
      </w:r>
    </w:p>
    <w:p w:rsidR="00B33BE0" w:rsidRDefault="00B33BE0" w:rsidP="00CD7559">
      <w:pPr>
        <w:spacing w:line="360" w:lineRule="auto"/>
        <w:ind w:left="284" w:hanging="284"/>
        <w:jc w:val="both"/>
        <w:rPr>
          <w:rFonts w:ascii="Arial" w:hAnsi="Arial" w:cs="Arial"/>
        </w:rPr>
      </w:pPr>
      <w:r>
        <w:rPr>
          <w:rFonts w:ascii="Arial" w:hAnsi="Arial" w:cs="Arial"/>
          <w:b/>
          <w:bCs/>
        </w:rPr>
        <w:t>1)</w:t>
      </w:r>
      <w:r>
        <w:rPr>
          <w:rFonts w:ascii="Arial" w:hAnsi="Arial" w:cs="Arial"/>
        </w:rPr>
        <w:t xml:space="preserve"> Mantener la observación formulada por Resolución 786/17, adopt</w:t>
      </w:r>
      <w:r w:rsidR="00CD7559">
        <w:rPr>
          <w:rFonts w:ascii="Arial" w:hAnsi="Arial" w:cs="Arial"/>
        </w:rPr>
        <w:t>ada en Sesión de fecha 02.03.17;</w:t>
      </w:r>
    </w:p>
    <w:p w:rsidR="00B33BE0" w:rsidRDefault="00CD7559" w:rsidP="00CD7559">
      <w:pPr>
        <w:spacing w:line="360" w:lineRule="auto"/>
        <w:rPr>
          <w:rFonts w:ascii="Arial" w:hAnsi="Arial" w:cs="Arial"/>
        </w:rPr>
      </w:pPr>
      <w:r>
        <w:rPr>
          <w:rFonts w:ascii="Arial" w:hAnsi="Arial" w:cs="Arial"/>
          <w:b/>
          <w:bCs/>
        </w:rPr>
        <w:t xml:space="preserve">2) </w:t>
      </w:r>
      <w:r w:rsidRPr="00BF3506">
        <w:rPr>
          <w:rFonts w:ascii="Arial" w:hAnsi="Arial" w:cs="Arial"/>
          <w:bCs/>
        </w:rPr>
        <w:t>Comunicar</w:t>
      </w:r>
      <w:r>
        <w:rPr>
          <w:rFonts w:ascii="Arial" w:hAnsi="Arial" w:cs="Arial"/>
          <w:b/>
          <w:bCs/>
        </w:rPr>
        <w:t xml:space="preserve"> </w:t>
      </w:r>
      <w:r>
        <w:rPr>
          <w:rFonts w:ascii="Arial" w:hAnsi="Arial" w:cs="Arial"/>
        </w:rPr>
        <w:t xml:space="preserve"> a la Administración actuante</w:t>
      </w:r>
      <w:r>
        <w:rPr>
          <w:rFonts w:ascii="Arial" w:hAnsi="Arial" w:cs="Arial"/>
        </w:rPr>
        <w:t>;</w:t>
      </w:r>
    </w:p>
    <w:p w:rsidR="00BF3506" w:rsidRDefault="00B33BE0" w:rsidP="00CD7559">
      <w:pPr>
        <w:spacing w:line="360" w:lineRule="auto"/>
        <w:ind w:left="360" w:hanging="360"/>
        <w:rPr>
          <w:rFonts w:ascii="Arial" w:hAnsi="Arial" w:cs="Arial"/>
        </w:rPr>
      </w:pPr>
      <w:r>
        <w:rPr>
          <w:rFonts w:ascii="Arial" w:hAnsi="Arial" w:cs="Arial"/>
          <w:b/>
          <w:bCs/>
        </w:rPr>
        <w:t>3)</w:t>
      </w:r>
      <w:r w:rsidR="00BF3506" w:rsidRPr="00BF3506">
        <w:rPr>
          <w:rFonts w:ascii="Arial" w:hAnsi="Arial" w:cs="Arial"/>
        </w:rPr>
        <w:t xml:space="preserve"> </w:t>
      </w:r>
      <w:r w:rsidR="00BF3506">
        <w:rPr>
          <w:rFonts w:ascii="Arial" w:hAnsi="Arial" w:cs="Arial"/>
        </w:rPr>
        <w:t>Comunicar al Poder Ejecutivo</w:t>
      </w:r>
      <w:r w:rsidR="00CD7559">
        <w:rPr>
          <w:rFonts w:ascii="Arial" w:hAnsi="Arial" w:cs="Arial"/>
        </w:rPr>
        <w:t>;</w:t>
      </w:r>
      <w:r w:rsidR="00BF3506">
        <w:rPr>
          <w:rFonts w:ascii="Arial" w:hAnsi="Arial" w:cs="Arial"/>
        </w:rPr>
        <w:t xml:space="preserve"> </w:t>
      </w:r>
    </w:p>
    <w:p w:rsidR="00CD7559" w:rsidRDefault="00BF3506" w:rsidP="00CD7559">
      <w:pPr>
        <w:spacing w:line="360" w:lineRule="auto"/>
        <w:rPr>
          <w:rFonts w:ascii="Arial" w:hAnsi="Arial" w:cs="Arial"/>
        </w:rPr>
      </w:pPr>
      <w:r w:rsidRPr="00CD7559">
        <w:rPr>
          <w:rFonts w:ascii="Arial" w:hAnsi="Arial" w:cs="Arial"/>
          <w:b/>
          <w:bCs/>
        </w:rPr>
        <w:t>4)</w:t>
      </w:r>
      <w:r w:rsidRPr="00BF3506">
        <w:rPr>
          <w:rFonts w:ascii="Arial" w:hAnsi="Arial" w:cs="Arial"/>
          <w:bCs/>
        </w:rPr>
        <w:t xml:space="preserve"> </w:t>
      </w:r>
      <w:r w:rsidR="00CD7559">
        <w:rPr>
          <w:rFonts w:ascii="Arial" w:hAnsi="Arial" w:cs="Arial"/>
        </w:rPr>
        <w:t>Dar cuenta a la Asamblea General.</w:t>
      </w:r>
    </w:p>
    <w:p w:rsidR="00CD7559" w:rsidRDefault="00CD7559" w:rsidP="00CD7559">
      <w:pPr>
        <w:spacing w:line="360" w:lineRule="auto"/>
        <w:rPr>
          <w:rFonts w:ascii="Arial" w:hAnsi="Arial" w:cs="Arial"/>
        </w:rPr>
      </w:pPr>
    </w:p>
    <w:p w:rsidR="00CD7559" w:rsidRDefault="00CD7559" w:rsidP="00CD7559">
      <w:pPr>
        <w:spacing w:line="360" w:lineRule="auto"/>
        <w:rPr>
          <w:rFonts w:ascii="Arial" w:hAnsi="Arial" w:cs="Arial"/>
        </w:rPr>
      </w:pPr>
    </w:p>
    <w:p w:rsidR="00CD7559" w:rsidRDefault="00CD7559" w:rsidP="00CD7559">
      <w:pPr>
        <w:spacing w:line="360" w:lineRule="auto"/>
        <w:rPr>
          <w:rFonts w:ascii="Arial" w:hAnsi="Arial" w:cs="Arial"/>
        </w:rPr>
      </w:pPr>
    </w:p>
    <w:p w:rsidR="00CD7559" w:rsidRDefault="00CD7559" w:rsidP="00CD7559">
      <w:pPr>
        <w:spacing w:line="360" w:lineRule="auto"/>
        <w:rPr>
          <w:rFonts w:ascii="Arial" w:hAnsi="Arial" w:cs="Arial"/>
        </w:rPr>
      </w:pPr>
    </w:p>
    <w:p w:rsidR="00B33BE0" w:rsidRDefault="00CD7559" w:rsidP="00CD7559">
      <w:pPr>
        <w:spacing w:line="360" w:lineRule="auto"/>
        <w:ind w:hanging="426"/>
      </w:pPr>
      <w:proofErr w:type="gramStart"/>
      <w:r>
        <w:rPr>
          <w:rFonts w:ascii="Arial" w:hAnsi="Arial" w:cs="Arial"/>
        </w:rPr>
        <w:t>dc</w:t>
      </w:r>
      <w:bookmarkStart w:id="0" w:name="_GoBack"/>
      <w:bookmarkEnd w:id="0"/>
      <w:proofErr w:type="gramEnd"/>
      <w:r w:rsidR="00B33BE0">
        <w:t xml:space="preserve"> </w:t>
      </w:r>
    </w:p>
    <w:p w:rsidR="00B33BE0" w:rsidRDefault="00B33BE0">
      <w:pPr>
        <w:pStyle w:val="Textoindependiente"/>
      </w:pPr>
    </w:p>
    <w:sectPr w:rsidR="00B33BE0" w:rsidSect="00702B78">
      <w:footerReference w:type="default" r:id="rId8"/>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559" w:rsidRDefault="00CD7559" w:rsidP="00CD7559">
      <w:r>
        <w:separator/>
      </w:r>
    </w:p>
  </w:endnote>
  <w:endnote w:type="continuationSeparator" w:id="0">
    <w:p w:rsidR="00CD7559" w:rsidRDefault="00CD7559" w:rsidP="00C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883453"/>
      <w:docPartObj>
        <w:docPartGallery w:val="Page Numbers (Bottom of Page)"/>
        <w:docPartUnique/>
      </w:docPartObj>
    </w:sdtPr>
    <w:sdtContent>
      <w:p w:rsidR="00CD7559" w:rsidRDefault="00CD7559">
        <w:pPr>
          <w:pStyle w:val="Piedepgina"/>
          <w:jc w:val="center"/>
        </w:pPr>
        <w:r>
          <w:fldChar w:fldCharType="begin"/>
        </w:r>
        <w:r>
          <w:instrText>PAGE   \* MERGEFORMAT</w:instrText>
        </w:r>
        <w:r>
          <w:fldChar w:fldCharType="separate"/>
        </w:r>
        <w:r w:rsidR="00702B78" w:rsidRPr="00702B78">
          <w:rPr>
            <w:noProof/>
            <w:lang w:val="es-ES"/>
          </w:rPr>
          <w:t>3</w:t>
        </w:r>
        <w:r>
          <w:fldChar w:fldCharType="end"/>
        </w:r>
      </w:p>
    </w:sdtContent>
  </w:sdt>
  <w:p w:rsidR="00CD7559" w:rsidRDefault="00CD75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559" w:rsidRDefault="00CD7559" w:rsidP="00CD7559">
      <w:r>
        <w:separator/>
      </w:r>
    </w:p>
  </w:footnote>
  <w:footnote w:type="continuationSeparator" w:id="0">
    <w:p w:rsidR="00CD7559" w:rsidRDefault="00CD7559" w:rsidP="00CD7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5B4C"/>
    <w:multiLevelType w:val="hybridMultilevel"/>
    <w:tmpl w:val="693C9D42"/>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7865E36"/>
    <w:multiLevelType w:val="hybridMultilevel"/>
    <w:tmpl w:val="7E900250"/>
    <w:lvl w:ilvl="0" w:tplc="7206D114">
      <w:start w:val="1"/>
      <w:numFmt w:val="decimal"/>
      <w:lvlText w:val="%1)"/>
      <w:lvlJc w:val="left"/>
      <w:pPr>
        <w:tabs>
          <w:tab w:val="num" w:pos="1698"/>
        </w:tabs>
        <w:ind w:left="1698" w:hanging="990"/>
      </w:pPr>
      <w:rPr>
        <w:rFonts w:ascii="Times New Roman" w:hAnsi="Times New Roman" w:cs="Times New Roman" w:hint="default"/>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2">
    <w:nsid w:val="101C3BFA"/>
    <w:multiLevelType w:val="hybridMultilevel"/>
    <w:tmpl w:val="D65ADF20"/>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3">
    <w:nsid w:val="14D86603"/>
    <w:multiLevelType w:val="hybridMultilevel"/>
    <w:tmpl w:val="84702AF6"/>
    <w:lvl w:ilvl="0" w:tplc="6A3E2ACA">
      <w:start w:val="1"/>
      <w:numFmt w:val="decimal"/>
      <w:lvlText w:val="%1)"/>
      <w:lvlJc w:val="left"/>
      <w:pPr>
        <w:ind w:left="1065" w:hanging="705"/>
      </w:pPr>
      <w:rPr>
        <w:rFonts w:ascii="Times New Roman" w:hAnsi="Times New Roman" w:cs="Times New Roman" w:hint="default"/>
        <w:b/>
        <w:bCs/>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
    <w:nsid w:val="3EBD0B81"/>
    <w:multiLevelType w:val="hybridMultilevel"/>
    <w:tmpl w:val="19367A5E"/>
    <w:lvl w:ilvl="0" w:tplc="0C0A0011">
      <w:start w:val="2"/>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4948109A"/>
    <w:multiLevelType w:val="hybridMultilevel"/>
    <w:tmpl w:val="09C88B20"/>
    <w:lvl w:ilvl="0" w:tplc="5546B512">
      <w:start w:val="1"/>
      <w:numFmt w:val="decimal"/>
      <w:lvlText w:val="%1)"/>
      <w:lvlJc w:val="left"/>
      <w:pPr>
        <w:tabs>
          <w:tab w:val="num" w:pos="1068"/>
        </w:tabs>
        <w:ind w:left="1068" w:hanging="360"/>
      </w:pPr>
      <w:rPr>
        <w:rFonts w:ascii="Times New Roman" w:hAnsi="Times New Roman" w:cs="Times New Roman" w:hint="default"/>
        <w:b/>
        <w:bCs/>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6">
    <w:nsid w:val="59D766C6"/>
    <w:multiLevelType w:val="hybridMultilevel"/>
    <w:tmpl w:val="12BC077E"/>
    <w:lvl w:ilvl="0" w:tplc="6A3E2ACA">
      <w:start w:val="1"/>
      <w:numFmt w:val="decimal"/>
      <w:lvlText w:val="%1)"/>
      <w:lvlJc w:val="left"/>
      <w:pPr>
        <w:ind w:left="1065" w:hanging="705"/>
      </w:pPr>
      <w:rPr>
        <w:rFonts w:ascii="Times New Roman" w:hAnsi="Times New Roman" w:cs="Times New Roman" w:hint="default"/>
        <w:b/>
        <w:bCs/>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7">
    <w:nsid w:val="5CF85BD6"/>
    <w:multiLevelType w:val="hybridMultilevel"/>
    <w:tmpl w:val="F06E2E22"/>
    <w:lvl w:ilvl="0" w:tplc="6A3E2ACA">
      <w:start w:val="1"/>
      <w:numFmt w:val="decimal"/>
      <w:lvlText w:val="%1)"/>
      <w:lvlJc w:val="left"/>
      <w:pPr>
        <w:ind w:left="1065" w:hanging="705"/>
      </w:pPr>
      <w:rPr>
        <w:rFonts w:ascii="Times New Roman" w:hAnsi="Times New Roman" w:cs="Times New Roman" w:hint="default"/>
        <w:b/>
        <w:bCs/>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8">
    <w:nsid w:val="667B4540"/>
    <w:multiLevelType w:val="hybridMultilevel"/>
    <w:tmpl w:val="4A04F852"/>
    <w:lvl w:ilvl="0" w:tplc="380A0017">
      <w:start w:val="1"/>
      <w:numFmt w:val="lowerLetter"/>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9">
    <w:nsid w:val="681F45EE"/>
    <w:multiLevelType w:val="hybridMultilevel"/>
    <w:tmpl w:val="66D0B57C"/>
    <w:lvl w:ilvl="0" w:tplc="E324791A">
      <w:start w:val="1"/>
      <w:numFmt w:val="lowerLetter"/>
      <w:lvlText w:val="%1)"/>
      <w:lvlJc w:val="left"/>
      <w:pPr>
        <w:ind w:left="1080" w:hanging="360"/>
      </w:pPr>
      <w:rPr>
        <w:rFonts w:ascii="Times New Roman" w:hAnsi="Times New Roman" w:cs="Times New Roman" w:hint="default"/>
      </w:rPr>
    </w:lvl>
    <w:lvl w:ilvl="1" w:tplc="380A0019">
      <w:start w:val="1"/>
      <w:numFmt w:val="lowerLetter"/>
      <w:lvlText w:val="%2."/>
      <w:lvlJc w:val="left"/>
      <w:pPr>
        <w:ind w:left="1800" w:hanging="360"/>
      </w:pPr>
      <w:rPr>
        <w:rFonts w:ascii="Times New Roman" w:hAnsi="Times New Roman" w:cs="Times New Roman"/>
      </w:rPr>
    </w:lvl>
    <w:lvl w:ilvl="2" w:tplc="380A001B">
      <w:start w:val="1"/>
      <w:numFmt w:val="lowerRoman"/>
      <w:lvlText w:val="%3."/>
      <w:lvlJc w:val="right"/>
      <w:pPr>
        <w:ind w:left="2520" w:hanging="180"/>
      </w:pPr>
      <w:rPr>
        <w:rFonts w:ascii="Times New Roman" w:hAnsi="Times New Roman" w:cs="Times New Roman"/>
      </w:rPr>
    </w:lvl>
    <w:lvl w:ilvl="3" w:tplc="380A000F">
      <w:start w:val="1"/>
      <w:numFmt w:val="decimal"/>
      <w:lvlText w:val="%4."/>
      <w:lvlJc w:val="left"/>
      <w:pPr>
        <w:ind w:left="3240" w:hanging="360"/>
      </w:pPr>
      <w:rPr>
        <w:rFonts w:ascii="Times New Roman" w:hAnsi="Times New Roman" w:cs="Times New Roman"/>
      </w:rPr>
    </w:lvl>
    <w:lvl w:ilvl="4" w:tplc="380A0019">
      <w:start w:val="1"/>
      <w:numFmt w:val="lowerLetter"/>
      <w:lvlText w:val="%5."/>
      <w:lvlJc w:val="left"/>
      <w:pPr>
        <w:ind w:left="3960" w:hanging="360"/>
      </w:pPr>
      <w:rPr>
        <w:rFonts w:ascii="Times New Roman" w:hAnsi="Times New Roman" w:cs="Times New Roman"/>
      </w:rPr>
    </w:lvl>
    <w:lvl w:ilvl="5" w:tplc="380A001B">
      <w:start w:val="1"/>
      <w:numFmt w:val="lowerRoman"/>
      <w:lvlText w:val="%6."/>
      <w:lvlJc w:val="right"/>
      <w:pPr>
        <w:ind w:left="4680" w:hanging="180"/>
      </w:pPr>
      <w:rPr>
        <w:rFonts w:ascii="Times New Roman" w:hAnsi="Times New Roman" w:cs="Times New Roman"/>
      </w:rPr>
    </w:lvl>
    <w:lvl w:ilvl="6" w:tplc="380A000F">
      <w:start w:val="1"/>
      <w:numFmt w:val="decimal"/>
      <w:lvlText w:val="%7."/>
      <w:lvlJc w:val="left"/>
      <w:pPr>
        <w:ind w:left="5400" w:hanging="360"/>
      </w:pPr>
      <w:rPr>
        <w:rFonts w:ascii="Times New Roman" w:hAnsi="Times New Roman" w:cs="Times New Roman"/>
      </w:rPr>
    </w:lvl>
    <w:lvl w:ilvl="7" w:tplc="380A0019">
      <w:start w:val="1"/>
      <w:numFmt w:val="lowerLetter"/>
      <w:lvlText w:val="%8."/>
      <w:lvlJc w:val="left"/>
      <w:pPr>
        <w:ind w:left="6120" w:hanging="360"/>
      </w:pPr>
      <w:rPr>
        <w:rFonts w:ascii="Times New Roman" w:hAnsi="Times New Roman" w:cs="Times New Roman"/>
      </w:rPr>
    </w:lvl>
    <w:lvl w:ilvl="8" w:tplc="380A001B">
      <w:start w:val="1"/>
      <w:numFmt w:val="lowerRoman"/>
      <w:lvlText w:val="%9."/>
      <w:lvlJc w:val="right"/>
      <w:pPr>
        <w:ind w:left="6840" w:hanging="180"/>
      </w:pPr>
      <w:rPr>
        <w:rFonts w:ascii="Times New Roman" w:hAnsi="Times New Roman" w:cs="Times New Roman"/>
      </w:rPr>
    </w:lvl>
  </w:abstractNum>
  <w:abstractNum w:abstractNumId="10">
    <w:nsid w:val="7D561525"/>
    <w:multiLevelType w:val="multilevel"/>
    <w:tmpl w:val="2D1CFD3A"/>
    <w:lvl w:ilvl="0">
      <w:start w:val="8"/>
      <w:numFmt w:val="decimal"/>
      <w:lvlText w:val="%1."/>
      <w:lvlJc w:val="left"/>
      <w:pPr>
        <w:tabs>
          <w:tab w:val="num" w:pos="405"/>
        </w:tabs>
        <w:ind w:left="405" w:hanging="405"/>
      </w:pPr>
      <w:rPr>
        <w:rFonts w:ascii="Times New Roman" w:hAnsi="Times New Roman" w:cs="Times New Roman" w:hint="default"/>
      </w:rPr>
    </w:lvl>
    <w:lvl w:ilvl="1">
      <w:start w:val="3"/>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num w:numId="1">
    <w:abstractNumId w:val="6"/>
  </w:num>
  <w:num w:numId="2">
    <w:abstractNumId w:val="3"/>
  </w:num>
  <w:num w:numId="3">
    <w:abstractNumId w:val="7"/>
  </w:num>
  <w:num w:numId="4">
    <w:abstractNumId w:val="8"/>
  </w:num>
  <w:num w:numId="5">
    <w:abstractNumId w:val="9"/>
  </w:num>
  <w:num w:numId="6">
    <w:abstractNumId w:val="2"/>
  </w:num>
  <w:num w:numId="7">
    <w:abstractNumId w:val="10"/>
  </w:num>
  <w:num w:numId="8">
    <w:abstractNumId w:val="5"/>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E0"/>
    <w:rsid w:val="000840E2"/>
    <w:rsid w:val="006C483C"/>
    <w:rsid w:val="00702B78"/>
    <w:rsid w:val="008047BE"/>
    <w:rsid w:val="009D540C"/>
    <w:rsid w:val="00B33BE0"/>
    <w:rsid w:val="00BF3506"/>
    <w:rsid w:val="00CD75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jc w:val="center"/>
      <w:outlineLvl w:val="0"/>
    </w:pPr>
    <w:rPr>
      <w:rFonts w:ascii="Arial" w:hAnsi="Arial" w:cs="Arial"/>
      <w:b/>
      <w:bCs/>
    </w:rPr>
  </w:style>
  <w:style w:type="paragraph" w:styleId="Ttulo2">
    <w:name w:val="heading 2"/>
    <w:basedOn w:val="Normal"/>
    <w:next w:val="Normal"/>
    <w:link w:val="Ttulo2Car"/>
    <w:uiPriority w:val="99"/>
    <w:qFormat/>
    <w:pPr>
      <w:keepNext/>
      <w:spacing w:line="360" w:lineRule="auto"/>
      <w:jc w:val="both"/>
      <w:outlineLvl w:val="1"/>
    </w:pPr>
    <w:rPr>
      <w:rFonts w:ascii="Arial" w:hAnsi="Arial" w:cs="Arial"/>
      <w:i/>
      <w:iCs/>
    </w:rPr>
  </w:style>
  <w:style w:type="paragraph" w:styleId="Ttulo3">
    <w:name w:val="heading 3"/>
    <w:basedOn w:val="Normal"/>
    <w:next w:val="Normal"/>
    <w:link w:val="Ttulo3Car"/>
    <w:uiPriority w:val="99"/>
    <w:qFormat/>
    <w:pPr>
      <w:keepNext/>
      <w:spacing w:before="240" w:after="60"/>
      <w:outlineLvl w:val="2"/>
    </w:pPr>
    <w:rPr>
      <w:rFonts w:ascii="Cambria" w:hAnsi="Cambria" w:cs="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9"/>
    <w:rPr>
      <w:rFonts w:ascii="Cambria" w:hAnsi="Cambria" w:cs="Cambria"/>
      <w:b/>
      <w:bCs/>
      <w:i/>
      <w:iCs/>
      <w:sz w:val="28"/>
      <w:szCs w:val="28"/>
    </w:rPr>
  </w:style>
  <w:style w:type="character" w:customStyle="1" w:styleId="Ttulo3Car">
    <w:name w:val="Título 3 Car"/>
    <w:basedOn w:val="Fuentedeprrafopredeter"/>
    <w:link w:val="Ttulo3"/>
    <w:uiPriority w:val="99"/>
    <w:rPr>
      <w:rFonts w:ascii="Cambria" w:hAnsi="Cambria" w:cs="Cambria"/>
      <w:b/>
      <w:bCs/>
      <w:sz w:val="26"/>
      <w:szCs w:val="26"/>
    </w:rPr>
  </w:style>
  <w:style w:type="paragraph" w:styleId="Textoindependiente">
    <w:name w:val="Body Text"/>
    <w:basedOn w:val="Normal"/>
    <w:link w:val="TextoindependienteCar"/>
    <w:uiPriority w:val="99"/>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eastAsia="es-ES"/>
    </w:rPr>
  </w:style>
  <w:style w:type="paragraph" w:styleId="Prrafodelista">
    <w:name w:val="List Paragraph"/>
    <w:basedOn w:val="Normal"/>
    <w:uiPriority w:val="99"/>
    <w:qFormat/>
    <w:pPr>
      <w:ind w:left="720"/>
    </w:pPr>
    <w:rPr>
      <w:rFonts w:cs="Times New Roman"/>
    </w:rPr>
  </w:style>
  <w:style w:type="paragraph" w:styleId="Piedepgina">
    <w:name w:val="footer"/>
    <w:basedOn w:val="Normal"/>
    <w:link w:val="PiedepginaCar"/>
    <w:uiPriority w:val="99"/>
    <w:pPr>
      <w:tabs>
        <w:tab w:val="center" w:pos="4252"/>
        <w:tab w:val="right" w:pos="8504"/>
      </w:tabs>
    </w:pPr>
    <w:rPr>
      <w:rFonts w:cs="Times New Roman"/>
      <w:lang w:val="es-UY"/>
    </w:rPr>
  </w:style>
  <w:style w:type="character" w:customStyle="1" w:styleId="PiedepginaCar">
    <w:name w:val="Pie de página Car"/>
    <w:basedOn w:val="Fuentedeprrafopredeter"/>
    <w:link w:val="Piedepgina"/>
    <w:uiPriority w:val="99"/>
    <w:rPr>
      <w:rFonts w:ascii="Times New Roman" w:hAnsi="Times New Roman" w:cs="Times New Roman"/>
      <w:sz w:val="24"/>
      <w:szCs w:val="24"/>
    </w:rPr>
  </w:style>
  <w:style w:type="paragraph" w:styleId="Encabezado">
    <w:name w:val="header"/>
    <w:basedOn w:val="Normal"/>
    <w:link w:val="EncabezadoCar"/>
    <w:uiPriority w:val="99"/>
    <w:unhideWhenUsed/>
    <w:rsid w:val="00CD7559"/>
    <w:pPr>
      <w:tabs>
        <w:tab w:val="center" w:pos="4419"/>
        <w:tab w:val="right" w:pos="8838"/>
      </w:tabs>
    </w:pPr>
  </w:style>
  <w:style w:type="character" w:customStyle="1" w:styleId="EncabezadoCar">
    <w:name w:val="Encabezado Car"/>
    <w:basedOn w:val="Fuentedeprrafopredeter"/>
    <w:link w:val="Encabezado"/>
    <w:uiPriority w:val="99"/>
    <w:rsid w:val="00CD755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jc w:val="center"/>
      <w:outlineLvl w:val="0"/>
    </w:pPr>
    <w:rPr>
      <w:rFonts w:ascii="Arial" w:hAnsi="Arial" w:cs="Arial"/>
      <w:b/>
      <w:bCs/>
    </w:rPr>
  </w:style>
  <w:style w:type="paragraph" w:styleId="Ttulo2">
    <w:name w:val="heading 2"/>
    <w:basedOn w:val="Normal"/>
    <w:next w:val="Normal"/>
    <w:link w:val="Ttulo2Car"/>
    <w:uiPriority w:val="99"/>
    <w:qFormat/>
    <w:pPr>
      <w:keepNext/>
      <w:spacing w:line="360" w:lineRule="auto"/>
      <w:jc w:val="both"/>
      <w:outlineLvl w:val="1"/>
    </w:pPr>
    <w:rPr>
      <w:rFonts w:ascii="Arial" w:hAnsi="Arial" w:cs="Arial"/>
      <w:i/>
      <w:iCs/>
    </w:rPr>
  </w:style>
  <w:style w:type="paragraph" w:styleId="Ttulo3">
    <w:name w:val="heading 3"/>
    <w:basedOn w:val="Normal"/>
    <w:next w:val="Normal"/>
    <w:link w:val="Ttulo3Car"/>
    <w:uiPriority w:val="99"/>
    <w:qFormat/>
    <w:pPr>
      <w:keepNext/>
      <w:spacing w:before="240" w:after="60"/>
      <w:outlineLvl w:val="2"/>
    </w:pPr>
    <w:rPr>
      <w:rFonts w:ascii="Cambria" w:hAnsi="Cambria" w:cs="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customStyle="1" w:styleId="Ttulo2Car">
    <w:name w:val="Título 2 Car"/>
    <w:basedOn w:val="Fuentedeprrafopredeter"/>
    <w:link w:val="Ttulo2"/>
    <w:uiPriority w:val="99"/>
    <w:rPr>
      <w:rFonts w:ascii="Cambria" w:hAnsi="Cambria" w:cs="Cambria"/>
      <w:b/>
      <w:bCs/>
      <w:i/>
      <w:iCs/>
      <w:sz w:val="28"/>
      <w:szCs w:val="28"/>
    </w:rPr>
  </w:style>
  <w:style w:type="character" w:customStyle="1" w:styleId="Ttulo3Car">
    <w:name w:val="Título 3 Car"/>
    <w:basedOn w:val="Fuentedeprrafopredeter"/>
    <w:link w:val="Ttulo3"/>
    <w:uiPriority w:val="99"/>
    <w:rPr>
      <w:rFonts w:ascii="Cambria" w:hAnsi="Cambria" w:cs="Cambria"/>
      <w:b/>
      <w:bCs/>
      <w:sz w:val="26"/>
      <w:szCs w:val="26"/>
    </w:rPr>
  </w:style>
  <w:style w:type="paragraph" w:styleId="Textoindependiente">
    <w:name w:val="Body Text"/>
    <w:basedOn w:val="Normal"/>
    <w:link w:val="TextoindependienteCar"/>
    <w:uiPriority w:val="99"/>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rPr>
  </w:style>
  <w:style w:type="character" w:customStyle="1" w:styleId="SangradetextonormalCar">
    <w:name w:val="Sangría de texto normal Car"/>
    <w:basedOn w:val="Fuentedeprrafopredeter"/>
    <w:link w:val="Sangradetextonormal"/>
    <w:uiPriority w:val="99"/>
    <w:rPr>
      <w:rFonts w:ascii="Arial" w:hAnsi="Arial" w:cs="Arial"/>
      <w:sz w:val="24"/>
      <w:szCs w:val="24"/>
      <w:lang w:eastAsia="es-ES"/>
    </w:rPr>
  </w:style>
  <w:style w:type="paragraph" w:styleId="Prrafodelista">
    <w:name w:val="List Paragraph"/>
    <w:basedOn w:val="Normal"/>
    <w:uiPriority w:val="99"/>
    <w:qFormat/>
    <w:pPr>
      <w:ind w:left="720"/>
    </w:pPr>
    <w:rPr>
      <w:rFonts w:cs="Times New Roman"/>
    </w:rPr>
  </w:style>
  <w:style w:type="paragraph" w:styleId="Piedepgina">
    <w:name w:val="footer"/>
    <w:basedOn w:val="Normal"/>
    <w:link w:val="PiedepginaCar"/>
    <w:uiPriority w:val="99"/>
    <w:pPr>
      <w:tabs>
        <w:tab w:val="center" w:pos="4252"/>
        <w:tab w:val="right" w:pos="8504"/>
      </w:tabs>
    </w:pPr>
    <w:rPr>
      <w:rFonts w:cs="Times New Roman"/>
      <w:lang w:val="es-UY"/>
    </w:rPr>
  </w:style>
  <w:style w:type="character" w:customStyle="1" w:styleId="PiedepginaCar">
    <w:name w:val="Pie de página Car"/>
    <w:basedOn w:val="Fuentedeprrafopredeter"/>
    <w:link w:val="Piedepgina"/>
    <w:uiPriority w:val="99"/>
    <w:rPr>
      <w:rFonts w:ascii="Times New Roman" w:hAnsi="Times New Roman" w:cs="Times New Roman"/>
      <w:sz w:val="24"/>
      <w:szCs w:val="24"/>
    </w:rPr>
  </w:style>
  <w:style w:type="paragraph" w:styleId="Encabezado">
    <w:name w:val="header"/>
    <w:basedOn w:val="Normal"/>
    <w:link w:val="EncabezadoCar"/>
    <w:uiPriority w:val="99"/>
    <w:unhideWhenUsed/>
    <w:rsid w:val="00CD7559"/>
    <w:pPr>
      <w:tabs>
        <w:tab w:val="center" w:pos="4419"/>
        <w:tab w:val="right" w:pos="8838"/>
      </w:tabs>
    </w:pPr>
  </w:style>
  <w:style w:type="character" w:customStyle="1" w:styleId="EncabezadoCar">
    <w:name w:val="Encabezado Car"/>
    <w:basedOn w:val="Fuentedeprrafopredeter"/>
    <w:link w:val="Encabezado"/>
    <w:uiPriority w:val="99"/>
    <w:rsid w:val="00CD75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3122</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Carpeta Nº 2014-17-1-0003583</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2014-17-1-0003583</dc:title>
  <dc:creator>GABY LEDESMA GAYA</dc:creator>
  <cp:lastModifiedBy>Tribunal1</cp:lastModifiedBy>
  <cp:revision>2</cp:revision>
  <cp:lastPrinted>2017-05-17T19:07:00Z</cp:lastPrinted>
  <dcterms:created xsi:type="dcterms:W3CDTF">2017-05-17T19:08:00Z</dcterms:created>
  <dcterms:modified xsi:type="dcterms:W3CDTF">2017-05-17T19:08:00Z</dcterms:modified>
</cp:coreProperties>
</file>