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FA" w:rsidRDefault="00BC10FA" w:rsidP="005A7331">
      <w:pPr>
        <w:keepNext/>
        <w:widowControl w:val="0"/>
        <w:tabs>
          <w:tab w:val="center" w:pos="4253"/>
        </w:tabs>
        <w:spacing w:after="0" w:line="360" w:lineRule="auto"/>
        <w:jc w:val="right"/>
        <w:rPr>
          <w:rFonts w:cs="Arial"/>
          <w:b/>
          <w:szCs w:val="24"/>
          <w:lang w:val="es-ES_tradnl"/>
        </w:rPr>
      </w:pPr>
      <w:bookmarkStart w:id="0" w:name="_GoBack"/>
      <w:bookmarkEnd w:id="0"/>
      <w:r>
        <w:rPr>
          <w:rFonts w:cs="Arial"/>
          <w:b/>
          <w:szCs w:val="24"/>
          <w:lang w:val="es-ES_tradnl"/>
        </w:rPr>
        <w:t>RES.</w:t>
      </w:r>
      <w:r w:rsidR="005A7331">
        <w:rPr>
          <w:rFonts w:cs="Arial"/>
          <w:b/>
          <w:szCs w:val="24"/>
          <w:lang w:val="es-ES_tradnl"/>
        </w:rPr>
        <w:t xml:space="preserve"> </w:t>
      </w:r>
      <w:r>
        <w:rPr>
          <w:rFonts w:cs="Arial"/>
          <w:b/>
          <w:szCs w:val="24"/>
          <w:lang w:val="es-ES_tradnl"/>
        </w:rPr>
        <w:t>N°</w:t>
      </w:r>
      <w:r w:rsidR="005D373E">
        <w:rPr>
          <w:rFonts w:cs="Arial"/>
          <w:b/>
          <w:szCs w:val="24"/>
          <w:lang w:val="es-ES_tradnl"/>
        </w:rPr>
        <w:t xml:space="preserve"> </w:t>
      </w:r>
      <w:r w:rsidR="00C462AC">
        <w:rPr>
          <w:rFonts w:cs="Arial"/>
          <w:b/>
          <w:szCs w:val="24"/>
          <w:lang w:val="es-ES_tradnl"/>
        </w:rPr>
        <w:t>4116</w:t>
      </w:r>
      <w:r w:rsidR="005D373E">
        <w:rPr>
          <w:rFonts w:cs="Arial"/>
          <w:b/>
          <w:szCs w:val="24"/>
          <w:lang w:val="es-ES_tradnl"/>
        </w:rPr>
        <w:t>/16</w:t>
      </w:r>
      <w:r>
        <w:rPr>
          <w:rFonts w:cs="Arial"/>
          <w:b/>
          <w:szCs w:val="24"/>
          <w:lang w:val="es-ES_tradnl"/>
        </w:rPr>
        <w:t xml:space="preserve"> </w:t>
      </w:r>
    </w:p>
    <w:p w:rsidR="00BC10FA" w:rsidRPr="004746D1" w:rsidRDefault="00BC10FA" w:rsidP="005A7331">
      <w:pPr>
        <w:keepNext/>
        <w:widowControl w:val="0"/>
        <w:tabs>
          <w:tab w:val="center" w:pos="4253"/>
        </w:tabs>
        <w:spacing w:after="0" w:line="240" w:lineRule="auto"/>
        <w:jc w:val="center"/>
        <w:rPr>
          <w:rFonts w:cs="Arial"/>
          <w:b/>
          <w:szCs w:val="24"/>
          <w:lang w:val="es-ES_tradnl"/>
        </w:rPr>
      </w:pPr>
      <w:r w:rsidRPr="004746D1">
        <w:rPr>
          <w:rFonts w:cs="Arial"/>
          <w:b/>
          <w:szCs w:val="24"/>
          <w:lang w:val="es-ES_tradnl"/>
        </w:rPr>
        <w:t>RESOLUCION ADOPTADA POR EL</w:t>
      </w:r>
    </w:p>
    <w:p w:rsidR="00BC10FA" w:rsidRPr="004746D1" w:rsidRDefault="00BC10FA" w:rsidP="005A7331">
      <w:pPr>
        <w:keepNext/>
        <w:widowControl w:val="0"/>
        <w:tabs>
          <w:tab w:val="left" w:pos="-720"/>
        </w:tabs>
        <w:spacing w:after="0" w:line="240" w:lineRule="auto"/>
        <w:jc w:val="center"/>
        <w:rPr>
          <w:rFonts w:cs="Arial"/>
          <w:b/>
          <w:szCs w:val="24"/>
          <w:lang w:val="es-ES_tradnl"/>
        </w:rPr>
      </w:pPr>
    </w:p>
    <w:p w:rsidR="00BC10FA" w:rsidRPr="004746D1" w:rsidRDefault="00BC10FA" w:rsidP="005A7331">
      <w:pPr>
        <w:keepNext/>
        <w:widowControl w:val="0"/>
        <w:tabs>
          <w:tab w:val="center" w:pos="4253"/>
        </w:tabs>
        <w:spacing w:after="0" w:line="240" w:lineRule="auto"/>
        <w:jc w:val="center"/>
        <w:rPr>
          <w:rFonts w:cs="Arial"/>
          <w:b/>
          <w:szCs w:val="24"/>
          <w:lang w:val="es-ES_tradnl"/>
        </w:rPr>
      </w:pPr>
      <w:r w:rsidRPr="004746D1">
        <w:rPr>
          <w:rFonts w:cs="Arial"/>
          <w:b/>
          <w:szCs w:val="24"/>
          <w:lang w:val="es-ES_tradnl"/>
        </w:rPr>
        <w:t>TRIBUNAL DE CUENTAS</w:t>
      </w:r>
    </w:p>
    <w:p w:rsidR="00BC10FA" w:rsidRPr="004746D1" w:rsidRDefault="00BC10FA" w:rsidP="005A7331">
      <w:pPr>
        <w:keepNext/>
        <w:widowControl w:val="0"/>
        <w:tabs>
          <w:tab w:val="left" w:pos="-720"/>
        </w:tabs>
        <w:spacing w:after="0" w:line="240" w:lineRule="auto"/>
        <w:jc w:val="center"/>
        <w:rPr>
          <w:rFonts w:cs="Arial"/>
          <w:b/>
          <w:szCs w:val="24"/>
          <w:lang w:val="es-ES_tradnl"/>
        </w:rPr>
      </w:pPr>
    </w:p>
    <w:p w:rsidR="00BC10FA" w:rsidRPr="004746D1" w:rsidRDefault="00BC10FA" w:rsidP="005A7331">
      <w:pPr>
        <w:keepNext/>
        <w:widowControl w:val="0"/>
        <w:tabs>
          <w:tab w:val="center" w:pos="4253"/>
        </w:tabs>
        <w:spacing w:after="0" w:line="240" w:lineRule="auto"/>
        <w:jc w:val="center"/>
        <w:rPr>
          <w:rFonts w:cs="Arial"/>
          <w:b/>
          <w:szCs w:val="24"/>
          <w:lang w:val="es-ES_tradnl"/>
        </w:rPr>
      </w:pPr>
      <w:r w:rsidRPr="004746D1">
        <w:rPr>
          <w:rFonts w:cs="Arial"/>
          <w:b/>
          <w:szCs w:val="24"/>
          <w:lang w:val="es-ES_tradnl"/>
        </w:rPr>
        <w:t xml:space="preserve">EN SESION DE FECHA </w:t>
      </w:r>
      <w:r>
        <w:rPr>
          <w:rFonts w:cs="Arial"/>
          <w:b/>
          <w:szCs w:val="24"/>
          <w:lang w:val="es-ES_tradnl"/>
        </w:rPr>
        <w:t>23 DE NOVIEMBRE</w:t>
      </w:r>
      <w:r w:rsidRPr="00D20F97">
        <w:rPr>
          <w:rFonts w:cs="Arial"/>
          <w:b/>
          <w:szCs w:val="24"/>
          <w:lang w:val="es-ES_tradnl"/>
        </w:rPr>
        <w:t xml:space="preserve"> DE 2016</w:t>
      </w:r>
    </w:p>
    <w:p w:rsidR="00BC10FA" w:rsidRPr="004746D1" w:rsidRDefault="00BC10FA" w:rsidP="005A7331">
      <w:pPr>
        <w:keepNext/>
        <w:widowControl w:val="0"/>
        <w:tabs>
          <w:tab w:val="center" w:pos="4253"/>
        </w:tabs>
        <w:spacing w:after="0" w:line="240" w:lineRule="auto"/>
        <w:jc w:val="center"/>
        <w:rPr>
          <w:rFonts w:cs="Arial"/>
          <w:b/>
          <w:szCs w:val="24"/>
          <w:lang w:val="es-ES_tradnl"/>
        </w:rPr>
      </w:pPr>
    </w:p>
    <w:p w:rsidR="005D373E" w:rsidRDefault="00BC10FA" w:rsidP="005A7331">
      <w:pPr>
        <w:keepNext/>
        <w:widowControl w:val="0"/>
        <w:tabs>
          <w:tab w:val="center" w:pos="4253"/>
        </w:tabs>
        <w:spacing w:after="0" w:line="240" w:lineRule="auto"/>
        <w:jc w:val="center"/>
        <w:rPr>
          <w:rFonts w:cs="Arial"/>
          <w:b/>
          <w:szCs w:val="24"/>
          <w:lang w:val="es-ES_tradnl"/>
        </w:rPr>
      </w:pPr>
      <w:r>
        <w:rPr>
          <w:rFonts w:cs="Arial"/>
          <w:b/>
          <w:szCs w:val="24"/>
          <w:lang w:val="es-ES_tradnl"/>
        </w:rPr>
        <w:t>(E.</w:t>
      </w:r>
      <w:r w:rsidR="005A7331">
        <w:rPr>
          <w:rFonts w:cs="Arial"/>
          <w:b/>
          <w:szCs w:val="24"/>
          <w:lang w:val="es-ES_tradnl"/>
        </w:rPr>
        <w:t xml:space="preserve"> </w:t>
      </w:r>
      <w:r>
        <w:rPr>
          <w:rFonts w:cs="Arial"/>
          <w:b/>
          <w:szCs w:val="24"/>
          <w:lang w:val="es-ES_tradnl"/>
        </w:rPr>
        <w:t>E.</w:t>
      </w:r>
      <w:r w:rsidR="005A7331">
        <w:rPr>
          <w:rFonts w:cs="Arial"/>
          <w:b/>
          <w:szCs w:val="24"/>
          <w:lang w:val="es-ES_tradnl"/>
        </w:rPr>
        <w:t xml:space="preserve"> </w:t>
      </w:r>
      <w:r>
        <w:rPr>
          <w:rFonts w:cs="Arial"/>
          <w:b/>
          <w:szCs w:val="24"/>
          <w:lang w:val="es-ES_tradnl"/>
        </w:rPr>
        <w:t>Nº</w:t>
      </w:r>
      <w:r w:rsidR="00E00286">
        <w:rPr>
          <w:rFonts w:cs="Arial"/>
          <w:b/>
          <w:szCs w:val="24"/>
          <w:lang w:val="es-ES_tradnl"/>
        </w:rPr>
        <w:t xml:space="preserve"> 2016-17-1-0002856</w:t>
      </w:r>
      <w:r w:rsidRPr="004746D1">
        <w:rPr>
          <w:rFonts w:cs="Arial"/>
          <w:b/>
          <w:szCs w:val="24"/>
          <w:lang w:val="es-ES_tradnl"/>
        </w:rPr>
        <w:t xml:space="preserve">, </w:t>
      </w:r>
      <w:proofErr w:type="spellStart"/>
      <w:r w:rsidRPr="004746D1">
        <w:rPr>
          <w:rFonts w:cs="Arial"/>
          <w:b/>
          <w:szCs w:val="24"/>
          <w:lang w:val="es-ES_tradnl"/>
        </w:rPr>
        <w:t>E</w:t>
      </w:r>
      <w:r>
        <w:rPr>
          <w:rFonts w:cs="Arial"/>
          <w:b/>
          <w:szCs w:val="24"/>
          <w:lang w:val="es-ES_tradnl"/>
        </w:rPr>
        <w:t>nt</w:t>
      </w:r>
      <w:proofErr w:type="spellEnd"/>
      <w:r w:rsidRPr="004746D1">
        <w:rPr>
          <w:rFonts w:cs="Arial"/>
          <w:b/>
          <w:szCs w:val="24"/>
          <w:lang w:val="es-ES_tradnl"/>
        </w:rPr>
        <w:t>.</w:t>
      </w:r>
      <w:r w:rsidR="005A7331">
        <w:rPr>
          <w:rFonts w:cs="Arial"/>
          <w:b/>
          <w:szCs w:val="24"/>
          <w:lang w:val="es-ES_tradnl"/>
        </w:rPr>
        <w:t xml:space="preserve"> </w:t>
      </w:r>
      <w:r>
        <w:rPr>
          <w:rFonts w:cs="Arial"/>
          <w:b/>
          <w:szCs w:val="24"/>
          <w:lang w:val="es-ES_tradnl"/>
        </w:rPr>
        <w:t>N°</w:t>
      </w:r>
      <w:r w:rsidR="00E00286">
        <w:rPr>
          <w:rFonts w:cs="Arial"/>
          <w:b/>
          <w:szCs w:val="24"/>
          <w:lang w:val="es-ES_tradnl"/>
        </w:rPr>
        <w:t xml:space="preserve"> 4239</w:t>
      </w:r>
      <w:r w:rsidRPr="004746D1">
        <w:rPr>
          <w:rFonts w:cs="Arial"/>
          <w:b/>
          <w:szCs w:val="24"/>
          <w:lang w:val="es-ES_tradnl"/>
        </w:rPr>
        <w:t>/</w:t>
      </w:r>
      <w:r w:rsidR="00E00286">
        <w:rPr>
          <w:rFonts w:cs="Arial"/>
          <w:b/>
          <w:szCs w:val="24"/>
          <w:lang w:val="es-ES_tradnl"/>
        </w:rPr>
        <w:t>16</w:t>
      </w:r>
      <w:r w:rsidRPr="004746D1">
        <w:rPr>
          <w:rFonts w:cs="Arial"/>
          <w:b/>
          <w:szCs w:val="24"/>
          <w:lang w:val="es-ES_tradnl"/>
        </w:rPr>
        <w:t>)</w:t>
      </w:r>
    </w:p>
    <w:p w:rsidR="005D373E" w:rsidRDefault="00F67716" w:rsidP="005A7331">
      <w:pPr>
        <w:keepNext/>
        <w:widowControl w:val="0"/>
        <w:tabs>
          <w:tab w:val="center" w:pos="4253"/>
        </w:tabs>
        <w:spacing w:after="0" w:line="360" w:lineRule="auto"/>
        <w:ind w:firstLine="851"/>
        <w:rPr>
          <w:rFonts w:cs="Arial"/>
          <w:szCs w:val="24"/>
        </w:rPr>
      </w:pPr>
      <w:r w:rsidRPr="00571249">
        <w:rPr>
          <w:rFonts w:cs="Arial"/>
          <w:b/>
          <w:szCs w:val="24"/>
        </w:rPr>
        <w:t>VISTO:</w:t>
      </w:r>
      <w:r w:rsidR="00E00286">
        <w:rPr>
          <w:rFonts w:cs="Arial"/>
          <w:b/>
          <w:szCs w:val="24"/>
        </w:rPr>
        <w:t xml:space="preserve"> </w:t>
      </w:r>
      <w:r w:rsidRPr="00571249">
        <w:rPr>
          <w:rFonts w:cs="Arial"/>
          <w:szCs w:val="24"/>
        </w:rPr>
        <w:t>que se han examinado los Estados Financieros Consolidados e Individuales de la Administración Nacional de Combustibles, Alcohol y Portland (ANCAP), que comprenden los Estado</w:t>
      </w:r>
      <w:r w:rsidR="00772ED7" w:rsidRPr="00571249">
        <w:rPr>
          <w:rFonts w:cs="Arial"/>
          <w:szCs w:val="24"/>
        </w:rPr>
        <w:t>s</w:t>
      </w:r>
      <w:r w:rsidRPr="00571249">
        <w:rPr>
          <w:rFonts w:cs="Arial"/>
          <w:szCs w:val="24"/>
        </w:rPr>
        <w:t xml:space="preserve"> de Situación Financiera al 31 de diciembre de 2015, los correspondientes Estados de Resultados, de Pérdidas o Ganancias y Otros Resultados Integrales, de Cambios en el Patrimonio, y de Flujos de Efectivo, por el ejercicio anual finalizado en esa fecha, sus Anexos y las Notas Explicativas que los acompañan;</w:t>
      </w:r>
    </w:p>
    <w:p w:rsidR="005D373E" w:rsidRDefault="00F67716" w:rsidP="005A7331">
      <w:pPr>
        <w:keepNext/>
        <w:widowControl w:val="0"/>
        <w:tabs>
          <w:tab w:val="center" w:pos="4253"/>
        </w:tabs>
        <w:spacing w:after="0" w:line="360" w:lineRule="auto"/>
        <w:ind w:firstLine="851"/>
        <w:rPr>
          <w:rFonts w:cs="Arial"/>
          <w:szCs w:val="24"/>
        </w:rPr>
      </w:pPr>
      <w:r w:rsidRPr="001D7C04">
        <w:rPr>
          <w:rFonts w:cs="Arial"/>
          <w:b/>
          <w:szCs w:val="24"/>
        </w:rPr>
        <w:t xml:space="preserve">RESULTANDO: </w:t>
      </w:r>
      <w:r w:rsidRPr="001D7C04">
        <w:rPr>
          <w:rFonts w:cs="Arial"/>
          <w:szCs w:val="24"/>
        </w:rPr>
        <w:t>que el examen fue realizado de acuerdo con los Principios Fundamentales de Auditoría (ISSAI 100 y 200) y las Directrices de Auditoría Financiera (ISSAI 1000 a 1810) de la Organización Internacional de Entidades Fiscalizadoras Superiores (INTOSAI);</w:t>
      </w:r>
    </w:p>
    <w:p w:rsidR="005D373E" w:rsidRDefault="00F67716" w:rsidP="005A7331">
      <w:pPr>
        <w:keepNext/>
        <w:widowControl w:val="0"/>
        <w:tabs>
          <w:tab w:val="center" w:pos="4253"/>
        </w:tabs>
        <w:spacing w:after="0" w:line="360" w:lineRule="auto"/>
        <w:ind w:firstLine="851"/>
        <w:rPr>
          <w:rFonts w:cs="Arial"/>
          <w:szCs w:val="24"/>
        </w:rPr>
      </w:pPr>
      <w:r w:rsidRPr="00571249">
        <w:rPr>
          <w:rFonts w:cs="Arial"/>
          <w:b/>
          <w:szCs w:val="24"/>
        </w:rPr>
        <w:t>CONSIDERANDO:</w:t>
      </w:r>
      <w:r w:rsidRPr="00571249">
        <w:rPr>
          <w:rFonts w:cs="Arial"/>
          <w:szCs w:val="24"/>
        </w:rPr>
        <w:t xml:space="preserve"> que las conclusiones y evidencias obtenidas son las que se expresan en el Informe de Auditoría, que incluye los Dictámenes y el Informe a la Administración;</w:t>
      </w:r>
    </w:p>
    <w:p w:rsidR="00521161" w:rsidRDefault="00F67716" w:rsidP="005A7331">
      <w:pPr>
        <w:keepNext/>
        <w:widowControl w:val="0"/>
        <w:tabs>
          <w:tab w:val="center" w:pos="4253"/>
        </w:tabs>
        <w:spacing w:after="0" w:line="360" w:lineRule="auto"/>
        <w:ind w:firstLine="851"/>
        <w:rPr>
          <w:rFonts w:cs="Arial"/>
          <w:szCs w:val="24"/>
        </w:rPr>
      </w:pPr>
      <w:r w:rsidRPr="00571249">
        <w:rPr>
          <w:rFonts w:cs="Arial"/>
          <w:b/>
          <w:szCs w:val="24"/>
        </w:rPr>
        <w:tab/>
        <w:t>ATENTO:</w:t>
      </w:r>
      <w:r w:rsidRPr="00571249">
        <w:rPr>
          <w:rFonts w:cs="Arial"/>
          <w:szCs w:val="24"/>
        </w:rPr>
        <w:t xml:space="preserve"> a lo dispuesto por el Artículo 211 Literal C) de la Constitución de la República;</w:t>
      </w:r>
    </w:p>
    <w:p w:rsidR="005D373E" w:rsidRDefault="00F67716" w:rsidP="005A7331">
      <w:pPr>
        <w:keepNext/>
        <w:widowControl w:val="0"/>
        <w:tabs>
          <w:tab w:val="center" w:pos="4253"/>
        </w:tabs>
        <w:spacing w:after="0" w:line="360" w:lineRule="auto"/>
        <w:jc w:val="center"/>
        <w:rPr>
          <w:rFonts w:cs="Arial"/>
          <w:b/>
          <w:szCs w:val="24"/>
        </w:rPr>
      </w:pPr>
      <w:r w:rsidRPr="001D7C04">
        <w:rPr>
          <w:rFonts w:cs="Arial"/>
          <w:b/>
          <w:szCs w:val="24"/>
        </w:rPr>
        <w:t>EL TRIBUNAL ACUERDA</w:t>
      </w:r>
    </w:p>
    <w:p w:rsidR="00521161" w:rsidRDefault="00521161" w:rsidP="005A7331">
      <w:pPr>
        <w:keepNext/>
        <w:widowControl w:val="0"/>
        <w:tabs>
          <w:tab w:val="center" w:pos="4253"/>
        </w:tabs>
        <w:spacing w:after="0" w:line="360" w:lineRule="auto"/>
        <w:rPr>
          <w:rFonts w:cs="Arial"/>
          <w:szCs w:val="24"/>
        </w:rPr>
      </w:pPr>
      <w:r>
        <w:rPr>
          <w:rFonts w:cs="Arial"/>
          <w:b/>
          <w:szCs w:val="24"/>
        </w:rPr>
        <w:t xml:space="preserve">1)   </w:t>
      </w:r>
      <w:r w:rsidR="00F67716" w:rsidRPr="00BC10FA">
        <w:rPr>
          <w:rFonts w:cs="Arial"/>
          <w:szCs w:val="24"/>
        </w:rPr>
        <w:t>Expedirse en los términos del Informe de Auditoría que se adjunta;</w:t>
      </w:r>
    </w:p>
    <w:p w:rsidR="00F67716" w:rsidRDefault="00521161" w:rsidP="005A7331">
      <w:pPr>
        <w:keepNext/>
        <w:widowControl w:val="0"/>
        <w:tabs>
          <w:tab w:val="center" w:pos="4253"/>
        </w:tabs>
        <w:spacing w:after="0" w:line="360" w:lineRule="auto"/>
        <w:ind w:left="426" w:hanging="426"/>
        <w:rPr>
          <w:rFonts w:cs="Arial"/>
          <w:szCs w:val="24"/>
        </w:rPr>
      </w:pPr>
      <w:r>
        <w:rPr>
          <w:rFonts w:cs="Arial"/>
          <w:b/>
          <w:szCs w:val="24"/>
        </w:rPr>
        <w:t xml:space="preserve">2) </w:t>
      </w:r>
      <w:r w:rsidR="00F67716" w:rsidRPr="00BC10FA">
        <w:rPr>
          <w:rFonts w:cs="Arial"/>
          <w:szCs w:val="24"/>
        </w:rPr>
        <w:t>Señalar que la publicación de los Estados Financieros por parte del Organismo debe incluir el correspondiente Dictamen del Tribunal de Cuentas de acuerdo a lo dispuesto por el Artículo 1º de la Ley Nº 17.040;</w:t>
      </w:r>
    </w:p>
    <w:p w:rsidR="00F67716" w:rsidRPr="00BC10FA" w:rsidRDefault="00521161" w:rsidP="005A7331">
      <w:pPr>
        <w:keepNext/>
        <w:widowControl w:val="0"/>
        <w:spacing w:after="0" w:line="360" w:lineRule="auto"/>
        <w:ind w:left="426" w:right="-136" w:hanging="426"/>
        <w:rPr>
          <w:rFonts w:cs="Arial"/>
          <w:szCs w:val="24"/>
        </w:rPr>
      </w:pPr>
      <w:r>
        <w:rPr>
          <w:rFonts w:cs="Arial"/>
          <w:b/>
          <w:szCs w:val="24"/>
        </w:rPr>
        <w:t xml:space="preserve">3) </w:t>
      </w:r>
      <w:r w:rsidR="00F67716" w:rsidRPr="00BC10FA">
        <w:rPr>
          <w:rFonts w:cs="Arial"/>
          <w:szCs w:val="24"/>
        </w:rPr>
        <w:t>Comunicar la presente Resolución al Ministerio de Industria, Energía y Minería, al Organismo y a la Oficina de Planeamiento y Presupuesto; y</w:t>
      </w:r>
    </w:p>
    <w:p w:rsidR="00F67716" w:rsidRDefault="00BC10FA" w:rsidP="005A7331">
      <w:pPr>
        <w:keepNext/>
        <w:widowControl w:val="0"/>
        <w:spacing w:after="0" w:line="360" w:lineRule="auto"/>
        <w:ind w:right="-136"/>
        <w:rPr>
          <w:rFonts w:cs="Arial"/>
          <w:szCs w:val="24"/>
        </w:rPr>
      </w:pPr>
      <w:r>
        <w:rPr>
          <w:rFonts w:cs="Arial"/>
          <w:b/>
          <w:szCs w:val="24"/>
        </w:rPr>
        <w:t xml:space="preserve">4) </w:t>
      </w:r>
      <w:r w:rsidR="00466793">
        <w:rPr>
          <w:rFonts w:cs="Arial"/>
          <w:b/>
          <w:szCs w:val="24"/>
        </w:rPr>
        <w:t xml:space="preserve"> </w:t>
      </w:r>
      <w:r w:rsidR="00F67716" w:rsidRPr="00BC10FA">
        <w:rPr>
          <w:rFonts w:cs="Arial"/>
          <w:szCs w:val="24"/>
        </w:rPr>
        <w:t>Dar cuenta a la Asamblea General.</w:t>
      </w:r>
    </w:p>
    <w:p w:rsidR="0028634B" w:rsidRDefault="0028634B" w:rsidP="005A7331">
      <w:pPr>
        <w:pStyle w:val="Ttulo1"/>
        <w:keepLines w:val="0"/>
        <w:widowControl w:val="0"/>
        <w:jc w:val="center"/>
        <w:rPr>
          <w:rFonts w:ascii="Arial" w:hAnsi="Arial" w:cs="Arial"/>
          <w:color w:val="auto"/>
          <w:sz w:val="24"/>
          <w:szCs w:val="24"/>
        </w:rPr>
      </w:pPr>
      <w:r w:rsidRPr="001D7C04">
        <w:rPr>
          <w:rFonts w:ascii="Arial" w:hAnsi="Arial" w:cs="Arial"/>
          <w:color w:val="auto"/>
          <w:sz w:val="24"/>
          <w:szCs w:val="24"/>
        </w:rPr>
        <w:lastRenderedPageBreak/>
        <w:t>DICTAMEN</w:t>
      </w:r>
      <w:bookmarkStart w:id="1" w:name="_Toc442341997"/>
    </w:p>
    <w:bookmarkEnd w:id="1"/>
    <w:p w:rsidR="00E00286" w:rsidRDefault="00E00286" w:rsidP="005A7331">
      <w:pPr>
        <w:pStyle w:val="Textoindependiente"/>
        <w:keepNext/>
        <w:widowControl w:val="0"/>
        <w:spacing w:line="360" w:lineRule="auto"/>
        <w:ind w:firstLine="708"/>
        <w:rPr>
          <w:rFonts w:ascii="Arial" w:hAnsi="Arial" w:cs="Arial"/>
          <w:sz w:val="24"/>
          <w:szCs w:val="24"/>
        </w:rPr>
      </w:pPr>
    </w:p>
    <w:p w:rsidR="0028634B" w:rsidRPr="001D7C04" w:rsidRDefault="0028634B" w:rsidP="005A7331">
      <w:pPr>
        <w:pStyle w:val="Textoindependiente"/>
        <w:keepNext/>
        <w:widowControl w:val="0"/>
        <w:spacing w:line="360" w:lineRule="auto"/>
        <w:ind w:firstLine="708"/>
        <w:rPr>
          <w:rFonts w:ascii="Arial" w:hAnsi="Arial" w:cs="Arial"/>
          <w:sz w:val="24"/>
          <w:szCs w:val="24"/>
        </w:rPr>
      </w:pPr>
      <w:r w:rsidRPr="001D7C04">
        <w:rPr>
          <w:rFonts w:ascii="Arial" w:hAnsi="Arial" w:cs="Arial"/>
          <w:sz w:val="24"/>
          <w:szCs w:val="24"/>
        </w:rPr>
        <w:t>El Tribunal de Cuentas ha examinado los Estados Financieros Consolidados de la Administración Nacional de Combustibles, Alcohol y Portland (ANCAP) y sus subsidiarias que comprenden el Estado de Situación Financiera Consolidado al 31 de diciembre de 2015, los correspondientes Estados Consolidados de Resultados, de Pérdidas o Ganancias y Otros Resultados Integrales, de Cambios en el Patrimonio y de Flujos de Efectivo, por el ejercicio anual finalizado en esa fecha, los Anexos y las Notas de políticas contables significativas a los estados financieros.</w:t>
      </w:r>
    </w:p>
    <w:p w:rsidR="0028634B" w:rsidRPr="001D7C04" w:rsidRDefault="0028634B" w:rsidP="005A7331">
      <w:pPr>
        <w:pStyle w:val="Textoindependiente"/>
        <w:keepNext/>
        <w:widowControl w:val="0"/>
        <w:spacing w:line="360" w:lineRule="auto"/>
        <w:ind w:firstLine="708"/>
        <w:rPr>
          <w:rFonts w:ascii="Arial" w:hAnsi="Arial" w:cs="Arial"/>
          <w:sz w:val="24"/>
          <w:szCs w:val="24"/>
        </w:rPr>
      </w:pPr>
      <w:r w:rsidRPr="001D7C04">
        <w:rPr>
          <w:rFonts w:ascii="Arial" w:hAnsi="Arial" w:cs="Arial"/>
          <w:sz w:val="24"/>
          <w:szCs w:val="24"/>
        </w:rPr>
        <w:t>También se presentan, en caso de corresponder, los incumplimientos legales constatados por el Tribunal de Cuentas en el curso de la auditoría efectuada.</w:t>
      </w:r>
    </w:p>
    <w:p w:rsidR="0028634B" w:rsidRPr="001D7C04" w:rsidRDefault="0028634B" w:rsidP="005A7331">
      <w:pPr>
        <w:pStyle w:val="Textoindependiente"/>
        <w:keepNext/>
        <w:widowControl w:val="0"/>
        <w:tabs>
          <w:tab w:val="num" w:pos="142"/>
        </w:tabs>
        <w:spacing w:line="360" w:lineRule="auto"/>
        <w:rPr>
          <w:rFonts w:ascii="Arial" w:hAnsi="Arial" w:cs="Arial"/>
          <w:b/>
          <w:bCs/>
          <w:sz w:val="24"/>
          <w:szCs w:val="24"/>
        </w:rPr>
      </w:pPr>
      <w:r w:rsidRPr="001D7C04">
        <w:rPr>
          <w:rFonts w:ascii="Arial" w:hAnsi="Arial" w:cs="Arial"/>
          <w:b/>
          <w:bCs/>
          <w:sz w:val="24"/>
          <w:szCs w:val="24"/>
        </w:rPr>
        <w:t>Responsabilidad de la Dirección por los Estados Financieros</w:t>
      </w:r>
    </w:p>
    <w:p w:rsidR="00F67716" w:rsidRPr="001D7C04" w:rsidRDefault="0028634B" w:rsidP="005A7331">
      <w:pPr>
        <w:pStyle w:val="Textoindependiente"/>
        <w:keepNext/>
        <w:widowControl w:val="0"/>
        <w:spacing w:line="360" w:lineRule="auto"/>
        <w:ind w:firstLine="708"/>
        <w:rPr>
          <w:rFonts w:ascii="Arial" w:hAnsi="Arial" w:cs="Arial"/>
          <w:sz w:val="24"/>
          <w:szCs w:val="24"/>
        </w:rPr>
      </w:pPr>
      <w:r w:rsidRPr="001D7C04">
        <w:rPr>
          <w:rFonts w:ascii="Arial" w:hAnsi="Arial" w:cs="Arial"/>
          <w:sz w:val="24"/>
          <w:szCs w:val="24"/>
        </w:rPr>
        <w:t>La Dirección de ANCAP es responsable por la preparación y la razonable presentación de estos estados financieros consolidados de acuerdo con normas contables adecuadas en Uruguay y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8634B" w:rsidRPr="00571249" w:rsidRDefault="0028634B" w:rsidP="005A7331">
      <w:pPr>
        <w:keepNext/>
        <w:widowControl w:val="0"/>
        <w:spacing w:after="0" w:line="360" w:lineRule="auto"/>
        <w:rPr>
          <w:rFonts w:cs="Arial"/>
          <w:b/>
          <w:szCs w:val="24"/>
        </w:rPr>
      </w:pPr>
      <w:r w:rsidRPr="00571249">
        <w:rPr>
          <w:rFonts w:cs="Arial"/>
          <w:b/>
          <w:szCs w:val="24"/>
        </w:rPr>
        <w:t>Responsabilidad del Auditor</w:t>
      </w:r>
    </w:p>
    <w:p w:rsidR="0028634B" w:rsidRPr="001D7C04" w:rsidRDefault="0028634B" w:rsidP="005A7331">
      <w:pPr>
        <w:pStyle w:val="Textonormal"/>
        <w:keepNext/>
        <w:tabs>
          <w:tab w:val="clear" w:pos="-720"/>
        </w:tabs>
        <w:suppressAutoHyphens w:val="0"/>
        <w:spacing w:line="360" w:lineRule="auto"/>
        <w:ind w:firstLine="708"/>
        <w:rPr>
          <w:rFonts w:ascii="Arial" w:hAnsi="Arial" w:cs="Arial"/>
        </w:rPr>
      </w:pPr>
      <w:r w:rsidRPr="001D7C04">
        <w:rPr>
          <w:rFonts w:ascii="Arial" w:hAnsi="Arial" w:cs="Arial"/>
        </w:rPr>
        <w:t>La responsabilidad del Tribunal de Cuentas es expresar una opinión sobre dichos estados financieros consolidados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28634B" w:rsidRPr="001D7C04" w:rsidRDefault="0028634B" w:rsidP="005A7331">
      <w:pPr>
        <w:pStyle w:val="Sangradetindependiente"/>
        <w:keepNext/>
        <w:widowControl w:val="0"/>
        <w:tabs>
          <w:tab w:val="clear" w:pos="860"/>
        </w:tabs>
        <w:spacing w:after="0" w:line="360" w:lineRule="auto"/>
        <w:ind w:firstLine="709"/>
        <w:rPr>
          <w:rFonts w:ascii="Arial" w:hAnsi="Arial" w:cs="Arial"/>
          <w:sz w:val="24"/>
          <w:szCs w:val="24"/>
        </w:rPr>
      </w:pPr>
      <w:r w:rsidRPr="001D7C04">
        <w:rPr>
          <w:rFonts w:ascii="Arial" w:hAnsi="Arial" w:cs="Arial"/>
          <w:sz w:val="24"/>
          <w:szCs w:val="24"/>
        </w:rPr>
        <w:t>Estas normas requieren que se cumpla con requisitos éticos, se planifique y se realice la auditoría para obtener seguridad razonable acerca de si los estados financieros están libres de errores significativos.</w:t>
      </w:r>
    </w:p>
    <w:p w:rsidR="0028634B" w:rsidRPr="00571249" w:rsidRDefault="0028634B" w:rsidP="005A7331">
      <w:pPr>
        <w:keepNext/>
        <w:widowControl w:val="0"/>
        <w:spacing w:after="0" w:line="360" w:lineRule="auto"/>
        <w:ind w:firstLine="709"/>
        <w:rPr>
          <w:rFonts w:cs="Arial"/>
          <w:szCs w:val="24"/>
        </w:rPr>
      </w:pPr>
      <w:r w:rsidRPr="00571249">
        <w:rPr>
          <w:rFonts w:cs="Arial"/>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28634B" w:rsidRPr="00571249" w:rsidRDefault="0028634B" w:rsidP="005A7331">
      <w:pPr>
        <w:keepNext/>
        <w:widowControl w:val="0"/>
        <w:spacing w:after="0" w:line="360" w:lineRule="auto"/>
        <w:ind w:firstLine="708"/>
        <w:rPr>
          <w:rFonts w:cs="Arial"/>
          <w:szCs w:val="24"/>
        </w:rPr>
      </w:pPr>
      <w:r w:rsidRPr="00571249">
        <w:rPr>
          <w:rFonts w:cs="Arial"/>
          <w:szCs w:val="24"/>
        </w:rPr>
        <w:t>Se considera que la evidencia de auditoría obtenida brinda una base suficiente y apropiada para sustentar la opinión.</w:t>
      </w:r>
    </w:p>
    <w:p w:rsidR="00F67716" w:rsidRPr="00571249" w:rsidRDefault="00A6312A" w:rsidP="005A7331">
      <w:pPr>
        <w:keepNext/>
        <w:widowControl w:val="0"/>
        <w:spacing w:after="0" w:line="360" w:lineRule="auto"/>
        <w:rPr>
          <w:rFonts w:cs="Arial"/>
          <w:b/>
          <w:szCs w:val="24"/>
        </w:rPr>
      </w:pPr>
      <w:r w:rsidRPr="00571249">
        <w:rPr>
          <w:rFonts w:cs="Arial"/>
          <w:b/>
          <w:szCs w:val="24"/>
        </w:rPr>
        <w:t>Opinión</w:t>
      </w:r>
    </w:p>
    <w:p w:rsidR="00A6312A" w:rsidRPr="00571249" w:rsidRDefault="00A6312A" w:rsidP="005A7331">
      <w:pPr>
        <w:keepNext/>
        <w:widowControl w:val="0"/>
        <w:spacing w:after="0" w:line="360" w:lineRule="auto"/>
        <w:ind w:firstLine="708"/>
        <w:rPr>
          <w:rFonts w:cs="Arial"/>
          <w:szCs w:val="24"/>
        </w:rPr>
      </w:pPr>
      <w:r w:rsidRPr="00571249">
        <w:rPr>
          <w:rFonts w:cs="Arial"/>
          <w:szCs w:val="24"/>
        </w:rPr>
        <w:t xml:space="preserve">En opinión del Tribunal de Cuentas, los estados </w:t>
      </w:r>
      <w:r w:rsidR="0078033E" w:rsidRPr="00571249">
        <w:rPr>
          <w:rFonts w:cs="Arial"/>
          <w:szCs w:val="24"/>
        </w:rPr>
        <w:t xml:space="preserve">financieros </w:t>
      </w:r>
      <w:r w:rsidRPr="00571249">
        <w:rPr>
          <w:rFonts w:cs="Arial"/>
          <w:szCs w:val="24"/>
        </w:rPr>
        <w:t xml:space="preserve">referidos precedentemente presentan razonablemente, en todos sus aspectos importantes, la situación </w:t>
      </w:r>
      <w:r w:rsidR="0078033E" w:rsidRPr="00571249">
        <w:rPr>
          <w:rFonts w:cs="Arial"/>
          <w:szCs w:val="24"/>
        </w:rPr>
        <w:t xml:space="preserve">financiera </w:t>
      </w:r>
      <w:r w:rsidRPr="00571249">
        <w:rPr>
          <w:rFonts w:cs="Arial"/>
          <w:szCs w:val="24"/>
        </w:rPr>
        <w:t xml:space="preserve">de ANCAP </w:t>
      </w:r>
      <w:r w:rsidR="0078033E" w:rsidRPr="00571249">
        <w:rPr>
          <w:rFonts w:cs="Arial"/>
          <w:szCs w:val="24"/>
        </w:rPr>
        <w:t xml:space="preserve">y sus subsidiarias </w:t>
      </w:r>
      <w:r w:rsidRPr="00571249">
        <w:rPr>
          <w:rFonts w:cs="Arial"/>
          <w:szCs w:val="24"/>
        </w:rPr>
        <w:t>al 31 de diciembre 2015</w:t>
      </w:r>
      <w:r w:rsidR="0078033E" w:rsidRPr="00571249">
        <w:rPr>
          <w:rFonts w:cs="Arial"/>
          <w:szCs w:val="24"/>
        </w:rPr>
        <w:t>,</w:t>
      </w:r>
      <w:r w:rsidRPr="00571249">
        <w:rPr>
          <w:rFonts w:cs="Arial"/>
          <w:szCs w:val="24"/>
        </w:rPr>
        <w:t xml:space="preserve"> los resultados </w:t>
      </w:r>
      <w:r w:rsidR="0078033E" w:rsidRPr="00571249">
        <w:rPr>
          <w:rFonts w:cs="Arial"/>
          <w:szCs w:val="24"/>
        </w:rPr>
        <w:t xml:space="preserve">consolidados </w:t>
      </w:r>
      <w:r w:rsidRPr="00571249">
        <w:rPr>
          <w:rFonts w:cs="Arial"/>
          <w:szCs w:val="24"/>
        </w:rPr>
        <w:t xml:space="preserve">de sus operaciones y los flujos de efectivo </w:t>
      </w:r>
      <w:r w:rsidR="0078033E" w:rsidRPr="00571249">
        <w:rPr>
          <w:rFonts w:cs="Arial"/>
          <w:szCs w:val="24"/>
        </w:rPr>
        <w:t xml:space="preserve">consolidados </w:t>
      </w:r>
      <w:r w:rsidRPr="00571249">
        <w:rPr>
          <w:rFonts w:cs="Arial"/>
          <w:szCs w:val="24"/>
        </w:rPr>
        <w:t xml:space="preserve">correspondientes al ejercicio anual terminado en esa fecha, </w:t>
      </w:r>
      <w:r w:rsidR="00F67716" w:rsidRPr="00571249">
        <w:rPr>
          <w:rFonts w:cs="Arial"/>
          <w:szCs w:val="24"/>
        </w:rPr>
        <w:t>de acuerdo con las normas contables adecuadas en Uruguay y la Ordenanza Nº 81 del Tribunal de Cuentas.</w:t>
      </w:r>
    </w:p>
    <w:p w:rsidR="0046744B" w:rsidRDefault="0046744B" w:rsidP="005A7331">
      <w:pPr>
        <w:keepNext/>
        <w:widowControl w:val="0"/>
        <w:spacing w:after="0" w:line="360" w:lineRule="auto"/>
        <w:rPr>
          <w:rFonts w:cs="Arial"/>
          <w:b/>
          <w:szCs w:val="24"/>
        </w:rPr>
      </w:pPr>
    </w:p>
    <w:p w:rsidR="0046744B" w:rsidRDefault="0046744B" w:rsidP="005A7331">
      <w:pPr>
        <w:keepNext/>
        <w:widowControl w:val="0"/>
        <w:spacing w:after="0" w:line="360" w:lineRule="auto"/>
        <w:rPr>
          <w:rFonts w:cs="Arial"/>
          <w:b/>
          <w:szCs w:val="24"/>
        </w:rPr>
      </w:pPr>
    </w:p>
    <w:p w:rsidR="0046744B" w:rsidRDefault="0046744B" w:rsidP="005A7331">
      <w:pPr>
        <w:keepNext/>
        <w:widowControl w:val="0"/>
        <w:spacing w:after="0" w:line="360" w:lineRule="auto"/>
        <w:rPr>
          <w:rFonts w:cs="Arial"/>
          <w:b/>
          <w:szCs w:val="24"/>
        </w:rPr>
      </w:pPr>
    </w:p>
    <w:p w:rsidR="0046744B" w:rsidRDefault="0046744B" w:rsidP="005A7331">
      <w:pPr>
        <w:keepNext/>
        <w:widowControl w:val="0"/>
        <w:spacing w:after="0" w:line="360" w:lineRule="auto"/>
        <w:rPr>
          <w:rFonts w:cs="Arial"/>
          <w:b/>
          <w:szCs w:val="24"/>
        </w:rPr>
      </w:pPr>
    </w:p>
    <w:p w:rsidR="003313B6" w:rsidRPr="001D7C04" w:rsidRDefault="003313B6" w:rsidP="005A7331">
      <w:pPr>
        <w:keepNext/>
        <w:widowControl w:val="0"/>
        <w:spacing w:after="0" w:line="360" w:lineRule="auto"/>
        <w:rPr>
          <w:rFonts w:cs="Arial"/>
          <w:b/>
          <w:szCs w:val="24"/>
        </w:rPr>
      </w:pPr>
      <w:r w:rsidRPr="001D7C04">
        <w:rPr>
          <w:rFonts w:cs="Arial"/>
          <w:b/>
          <w:szCs w:val="24"/>
        </w:rPr>
        <w:t>Párrafo de énfasis</w:t>
      </w:r>
      <w:r w:rsidR="0078033E" w:rsidRPr="001D7C04">
        <w:rPr>
          <w:rFonts w:cs="Arial"/>
          <w:b/>
          <w:szCs w:val="24"/>
        </w:rPr>
        <w:t xml:space="preserve"> de asunto</w:t>
      </w:r>
    </w:p>
    <w:p w:rsidR="00A63916" w:rsidRPr="001D7C04" w:rsidRDefault="003313B6" w:rsidP="005A7331">
      <w:pPr>
        <w:keepNext/>
        <w:widowControl w:val="0"/>
        <w:spacing w:after="0" w:line="360" w:lineRule="auto"/>
        <w:ind w:firstLine="357"/>
        <w:rPr>
          <w:rFonts w:cs="Arial"/>
          <w:szCs w:val="24"/>
        </w:rPr>
      </w:pPr>
      <w:r w:rsidRPr="001D7C04">
        <w:rPr>
          <w:rFonts w:cs="Arial"/>
          <w:szCs w:val="24"/>
        </w:rPr>
        <w:t xml:space="preserve">Sin </w:t>
      </w:r>
      <w:r w:rsidR="00EE1494" w:rsidRPr="001D7C04">
        <w:rPr>
          <w:rFonts w:cs="Arial"/>
          <w:szCs w:val="24"/>
        </w:rPr>
        <w:t xml:space="preserve">afectar </w:t>
      </w:r>
      <w:r w:rsidRPr="001D7C04">
        <w:rPr>
          <w:rFonts w:cs="Arial"/>
          <w:szCs w:val="24"/>
        </w:rPr>
        <w:t xml:space="preserve">nuestra opinión hacemos énfasis </w:t>
      </w:r>
      <w:r w:rsidR="00EE1494" w:rsidRPr="001D7C04">
        <w:rPr>
          <w:rFonts w:cs="Arial"/>
          <w:szCs w:val="24"/>
        </w:rPr>
        <w:t xml:space="preserve">respecto de </w:t>
      </w:r>
      <w:r w:rsidRPr="001D7C04">
        <w:rPr>
          <w:rFonts w:cs="Arial"/>
          <w:szCs w:val="24"/>
        </w:rPr>
        <w:t xml:space="preserve">la situación que se revela en: </w:t>
      </w:r>
    </w:p>
    <w:p w:rsidR="0061675E" w:rsidRPr="00877EAA" w:rsidRDefault="00136D9B" w:rsidP="005A7331">
      <w:pPr>
        <w:pStyle w:val="Prrafodelista"/>
        <w:keepNext/>
        <w:widowControl w:val="0"/>
        <w:numPr>
          <w:ilvl w:val="0"/>
          <w:numId w:val="23"/>
        </w:numPr>
        <w:spacing w:line="360" w:lineRule="auto"/>
        <w:ind w:left="714" w:hanging="357"/>
        <w:jc w:val="both"/>
        <w:rPr>
          <w:rFonts w:ascii="Arial" w:hAnsi="Arial" w:cs="Arial"/>
          <w:sz w:val="24"/>
          <w:szCs w:val="24"/>
        </w:rPr>
      </w:pPr>
      <w:r w:rsidRPr="00877EAA">
        <w:rPr>
          <w:rFonts w:ascii="Arial" w:hAnsi="Arial" w:cs="Arial"/>
          <w:sz w:val="24"/>
          <w:szCs w:val="24"/>
        </w:rPr>
        <w:t>L</w:t>
      </w:r>
      <w:r w:rsidR="003313B6" w:rsidRPr="00877EAA">
        <w:rPr>
          <w:rFonts w:ascii="Arial" w:hAnsi="Arial" w:cs="Arial"/>
          <w:sz w:val="24"/>
          <w:szCs w:val="24"/>
        </w:rPr>
        <w:t>as Notas 8 y 18</w:t>
      </w:r>
      <w:r w:rsidR="00B93C3C" w:rsidRPr="00877EAA">
        <w:rPr>
          <w:rFonts w:ascii="Arial" w:hAnsi="Arial" w:cs="Arial"/>
          <w:sz w:val="24"/>
          <w:szCs w:val="24"/>
        </w:rPr>
        <w:t>.d</w:t>
      </w:r>
      <w:r w:rsidR="00772ED7" w:rsidRPr="00877EAA">
        <w:rPr>
          <w:rFonts w:ascii="Arial" w:hAnsi="Arial" w:cs="Arial"/>
          <w:sz w:val="24"/>
          <w:szCs w:val="24"/>
        </w:rPr>
        <w:t xml:space="preserve"> a los Estados Financieros</w:t>
      </w:r>
      <w:r w:rsidR="00FC255F" w:rsidRPr="00877EAA">
        <w:rPr>
          <w:rFonts w:ascii="Arial" w:hAnsi="Arial" w:cs="Arial"/>
          <w:sz w:val="24"/>
          <w:szCs w:val="24"/>
        </w:rPr>
        <w:t>,</w:t>
      </w:r>
      <w:r w:rsidR="00772ED7" w:rsidRPr="00877EAA">
        <w:rPr>
          <w:rFonts w:ascii="Arial" w:hAnsi="Arial" w:cs="Arial"/>
          <w:sz w:val="24"/>
          <w:szCs w:val="24"/>
        </w:rPr>
        <w:t xml:space="preserve"> </w:t>
      </w:r>
      <w:r w:rsidR="003313B6" w:rsidRPr="00877EAA">
        <w:rPr>
          <w:rFonts w:ascii="Arial" w:hAnsi="Arial" w:cs="Arial"/>
          <w:sz w:val="24"/>
          <w:szCs w:val="24"/>
        </w:rPr>
        <w:t>en cuanto a</w:t>
      </w:r>
      <w:r w:rsidR="00772ED7" w:rsidRPr="00877EAA">
        <w:rPr>
          <w:rFonts w:ascii="Arial" w:hAnsi="Arial" w:cs="Arial"/>
          <w:sz w:val="24"/>
          <w:szCs w:val="24"/>
        </w:rPr>
        <w:t xml:space="preserve"> las pérdidas por</w:t>
      </w:r>
      <w:r w:rsidR="003313B6" w:rsidRPr="00877EAA">
        <w:rPr>
          <w:rFonts w:ascii="Arial" w:hAnsi="Arial" w:cs="Arial"/>
          <w:sz w:val="24"/>
          <w:szCs w:val="24"/>
        </w:rPr>
        <w:t xml:space="preserve"> deterioro reconocid</w:t>
      </w:r>
      <w:r w:rsidR="00772ED7" w:rsidRPr="00877EAA">
        <w:rPr>
          <w:rFonts w:ascii="Arial" w:hAnsi="Arial" w:cs="Arial"/>
          <w:sz w:val="24"/>
          <w:szCs w:val="24"/>
        </w:rPr>
        <w:t>as</w:t>
      </w:r>
      <w:r w:rsidR="003313B6" w:rsidRPr="00877EAA">
        <w:rPr>
          <w:rFonts w:ascii="Arial" w:hAnsi="Arial" w:cs="Arial"/>
          <w:sz w:val="24"/>
          <w:szCs w:val="24"/>
        </w:rPr>
        <w:t xml:space="preserve"> por $ 4.043:000.000 y $1.441:705.926</w:t>
      </w:r>
      <w:r w:rsidR="00FC255F" w:rsidRPr="00877EAA">
        <w:rPr>
          <w:rFonts w:ascii="Arial" w:hAnsi="Arial" w:cs="Arial"/>
          <w:sz w:val="24"/>
          <w:szCs w:val="24"/>
        </w:rPr>
        <w:t>,</w:t>
      </w:r>
      <w:r w:rsidR="003313B6" w:rsidRPr="00877EAA">
        <w:rPr>
          <w:rFonts w:ascii="Arial" w:hAnsi="Arial" w:cs="Arial"/>
          <w:sz w:val="24"/>
          <w:szCs w:val="24"/>
        </w:rPr>
        <w:t xml:space="preserve"> con relación al Negocio Portland y al Negocio Cal que gestionan ANCAP y Cementos del Plata S.A.</w:t>
      </w:r>
      <w:r w:rsidR="00DF16F3" w:rsidRPr="00877EAA">
        <w:rPr>
          <w:rFonts w:ascii="Arial" w:hAnsi="Arial" w:cs="Arial"/>
          <w:sz w:val="24"/>
          <w:szCs w:val="24"/>
        </w:rPr>
        <w:t xml:space="preserve">, </w:t>
      </w:r>
      <w:r w:rsidR="003313B6" w:rsidRPr="00877EAA">
        <w:rPr>
          <w:rFonts w:ascii="Arial" w:hAnsi="Arial" w:cs="Arial"/>
          <w:sz w:val="24"/>
          <w:szCs w:val="24"/>
        </w:rPr>
        <w:t xml:space="preserve"> respectivamente</w:t>
      </w:r>
      <w:r w:rsidR="001D7C04" w:rsidRPr="00877EAA">
        <w:rPr>
          <w:rFonts w:ascii="Arial" w:hAnsi="Arial" w:cs="Arial"/>
          <w:sz w:val="24"/>
          <w:szCs w:val="24"/>
        </w:rPr>
        <w:t>.</w:t>
      </w:r>
    </w:p>
    <w:p w:rsidR="00DF16F3" w:rsidRPr="00877EAA" w:rsidRDefault="00136D9B" w:rsidP="005A7331">
      <w:pPr>
        <w:pStyle w:val="Prrafodelista"/>
        <w:keepNext/>
        <w:widowControl w:val="0"/>
        <w:numPr>
          <w:ilvl w:val="0"/>
          <w:numId w:val="23"/>
        </w:numPr>
        <w:spacing w:line="360" w:lineRule="auto"/>
        <w:ind w:left="714" w:hanging="357"/>
        <w:jc w:val="both"/>
        <w:rPr>
          <w:rFonts w:ascii="Arial" w:hAnsi="Arial" w:cs="Arial"/>
          <w:sz w:val="24"/>
          <w:szCs w:val="24"/>
        </w:rPr>
      </w:pPr>
      <w:r w:rsidRPr="001D7C04">
        <w:rPr>
          <w:rFonts w:ascii="Arial" w:hAnsi="Arial" w:cs="Arial"/>
          <w:sz w:val="24"/>
          <w:szCs w:val="24"/>
        </w:rPr>
        <w:t>L</w:t>
      </w:r>
      <w:r w:rsidR="00B93C3C" w:rsidRPr="00571249">
        <w:rPr>
          <w:rFonts w:ascii="Arial" w:hAnsi="Arial" w:cs="Arial"/>
          <w:sz w:val="24"/>
          <w:szCs w:val="24"/>
        </w:rPr>
        <w:t xml:space="preserve">a Nota </w:t>
      </w:r>
      <w:r w:rsidR="00EE1494" w:rsidRPr="00571249">
        <w:rPr>
          <w:rFonts w:ascii="Arial" w:hAnsi="Arial" w:cs="Arial"/>
          <w:sz w:val="24"/>
          <w:szCs w:val="24"/>
        </w:rPr>
        <w:t>21</w:t>
      </w:r>
      <w:r w:rsidR="00FC255F" w:rsidRPr="001D7C04">
        <w:rPr>
          <w:rFonts w:ascii="Arial" w:hAnsi="Arial" w:cs="Arial"/>
          <w:sz w:val="24"/>
          <w:szCs w:val="24"/>
        </w:rPr>
        <w:t xml:space="preserve"> a los Estados Financieros</w:t>
      </w:r>
      <w:r w:rsidR="00EE1494" w:rsidRPr="00571249">
        <w:rPr>
          <w:rFonts w:ascii="Arial" w:hAnsi="Arial" w:cs="Arial"/>
          <w:sz w:val="24"/>
          <w:szCs w:val="24"/>
        </w:rPr>
        <w:t xml:space="preserve"> que expone</w:t>
      </w:r>
      <w:r w:rsidR="00655E49">
        <w:rPr>
          <w:rFonts w:ascii="Arial" w:hAnsi="Arial" w:cs="Arial"/>
          <w:sz w:val="24"/>
          <w:szCs w:val="24"/>
        </w:rPr>
        <w:t>:</w:t>
      </w:r>
    </w:p>
    <w:p w:rsidR="00DF16F3" w:rsidRPr="001D7C04" w:rsidRDefault="00772ED7" w:rsidP="005A7331">
      <w:pPr>
        <w:pStyle w:val="Prrafodelista"/>
        <w:keepNext/>
        <w:widowControl w:val="0"/>
        <w:numPr>
          <w:ilvl w:val="1"/>
          <w:numId w:val="24"/>
        </w:numPr>
        <w:spacing w:after="260" w:line="360" w:lineRule="auto"/>
        <w:jc w:val="both"/>
        <w:rPr>
          <w:rFonts w:cs="Arial"/>
          <w:szCs w:val="24"/>
        </w:rPr>
      </w:pPr>
      <w:r w:rsidRPr="001D7C04">
        <w:rPr>
          <w:rFonts w:ascii="Arial" w:hAnsi="Arial" w:cs="Arial"/>
          <w:sz w:val="24"/>
          <w:szCs w:val="24"/>
        </w:rPr>
        <w:t>- L</w:t>
      </w:r>
      <w:r w:rsidR="00EE1494" w:rsidRPr="00571249">
        <w:rPr>
          <w:rFonts w:ascii="Arial" w:hAnsi="Arial" w:cs="Arial"/>
          <w:sz w:val="24"/>
          <w:szCs w:val="24"/>
        </w:rPr>
        <w:t xml:space="preserve">os valores en libros de las inversiones de la empresa asociada CONECTA S.A. </w:t>
      </w:r>
      <w:r w:rsidR="00DF16F3" w:rsidRPr="00571249">
        <w:rPr>
          <w:rFonts w:ascii="Arial" w:hAnsi="Arial" w:cs="Arial"/>
          <w:sz w:val="24"/>
          <w:szCs w:val="24"/>
        </w:rPr>
        <w:t>de la cual ANCAP es propietaria del 45% del paquete accionario</w:t>
      </w:r>
      <w:r w:rsidR="00FC255F" w:rsidRPr="001D7C04">
        <w:rPr>
          <w:rFonts w:ascii="Arial" w:hAnsi="Arial" w:cs="Arial"/>
          <w:sz w:val="24"/>
          <w:szCs w:val="24"/>
        </w:rPr>
        <w:t>,</w:t>
      </w:r>
      <w:r w:rsidR="00DF16F3" w:rsidRPr="00571249">
        <w:rPr>
          <w:rFonts w:ascii="Arial" w:hAnsi="Arial" w:cs="Arial"/>
          <w:sz w:val="24"/>
          <w:szCs w:val="24"/>
        </w:rPr>
        <w:t xml:space="preserve"> por un valor </w:t>
      </w:r>
      <w:r w:rsidRPr="001D7C04">
        <w:rPr>
          <w:rFonts w:ascii="Arial" w:hAnsi="Arial" w:cs="Arial"/>
          <w:sz w:val="24"/>
          <w:szCs w:val="24"/>
        </w:rPr>
        <w:t xml:space="preserve">patrimonial proporcional </w:t>
      </w:r>
      <w:r w:rsidR="00DF16F3" w:rsidRPr="00571249">
        <w:rPr>
          <w:rFonts w:ascii="Arial" w:hAnsi="Arial" w:cs="Arial"/>
          <w:sz w:val="24"/>
          <w:szCs w:val="24"/>
        </w:rPr>
        <w:t xml:space="preserve">al 31/12/2015 </w:t>
      </w:r>
      <w:r w:rsidR="00FC255F" w:rsidRPr="001D7C04">
        <w:rPr>
          <w:rFonts w:ascii="Arial" w:hAnsi="Arial" w:cs="Arial"/>
          <w:sz w:val="24"/>
          <w:szCs w:val="24"/>
        </w:rPr>
        <w:t xml:space="preserve"> </w:t>
      </w:r>
      <w:r w:rsidR="00DF16F3" w:rsidRPr="00571249">
        <w:rPr>
          <w:rFonts w:ascii="Arial" w:hAnsi="Arial" w:cs="Arial"/>
          <w:sz w:val="24"/>
          <w:szCs w:val="24"/>
        </w:rPr>
        <w:t>de $ 102:411.612</w:t>
      </w:r>
      <w:r w:rsidR="00FC255F" w:rsidRPr="001D7C04">
        <w:rPr>
          <w:rFonts w:ascii="Arial" w:hAnsi="Arial" w:cs="Arial"/>
          <w:sz w:val="24"/>
          <w:szCs w:val="24"/>
        </w:rPr>
        <w:t xml:space="preserve">. </w:t>
      </w:r>
      <w:r w:rsidR="00912A6B">
        <w:rPr>
          <w:rFonts w:ascii="Arial" w:hAnsi="Arial" w:cs="Arial"/>
          <w:sz w:val="24"/>
          <w:szCs w:val="24"/>
        </w:rPr>
        <w:t>La e</w:t>
      </w:r>
      <w:r w:rsidR="00FC255F" w:rsidRPr="001D7C04">
        <w:rPr>
          <w:rFonts w:ascii="Arial" w:hAnsi="Arial" w:cs="Arial"/>
          <w:sz w:val="24"/>
          <w:szCs w:val="24"/>
        </w:rPr>
        <w:t>mpresa</w:t>
      </w:r>
      <w:r w:rsidR="00DF16F3" w:rsidRPr="00571249">
        <w:rPr>
          <w:rFonts w:ascii="Arial" w:hAnsi="Arial" w:cs="Arial"/>
          <w:sz w:val="24"/>
          <w:szCs w:val="24"/>
        </w:rPr>
        <w:t xml:space="preserve"> </w:t>
      </w:r>
      <w:r w:rsidR="00EE1494" w:rsidRPr="00571249">
        <w:rPr>
          <w:rFonts w:ascii="Arial" w:hAnsi="Arial" w:cs="Arial"/>
          <w:sz w:val="24"/>
          <w:szCs w:val="24"/>
        </w:rPr>
        <w:t xml:space="preserve">reconoció </w:t>
      </w:r>
      <w:r w:rsidRPr="001D7C04">
        <w:rPr>
          <w:rFonts w:ascii="Arial" w:hAnsi="Arial" w:cs="Arial"/>
          <w:sz w:val="24"/>
          <w:szCs w:val="24"/>
        </w:rPr>
        <w:t xml:space="preserve">pérdidas por </w:t>
      </w:r>
      <w:r w:rsidR="00EE1494" w:rsidRPr="00571249">
        <w:rPr>
          <w:rFonts w:ascii="Arial" w:hAnsi="Arial" w:cs="Arial"/>
          <w:sz w:val="24"/>
          <w:szCs w:val="24"/>
        </w:rPr>
        <w:t>deterioro de sus activos en el ejercicio</w:t>
      </w:r>
      <w:r w:rsidRPr="001D7C04">
        <w:rPr>
          <w:rFonts w:ascii="Arial" w:hAnsi="Arial" w:cs="Arial"/>
          <w:sz w:val="24"/>
          <w:szCs w:val="24"/>
        </w:rPr>
        <w:t xml:space="preserve"> 2015</w:t>
      </w:r>
      <w:r w:rsidR="00DF16F3" w:rsidRPr="001D7C04">
        <w:rPr>
          <w:rFonts w:ascii="Arial" w:hAnsi="Arial" w:cs="Arial"/>
          <w:sz w:val="24"/>
          <w:szCs w:val="24"/>
        </w:rPr>
        <w:t>,</w:t>
      </w:r>
      <w:r w:rsidR="00EE1494" w:rsidRPr="00571249">
        <w:rPr>
          <w:rFonts w:ascii="Arial" w:hAnsi="Arial" w:cs="Arial"/>
          <w:sz w:val="24"/>
          <w:szCs w:val="24"/>
        </w:rPr>
        <w:t xml:space="preserve"> por un importe de </w:t>
      </w:r>
      <w:r w:rsidR="00DF16F3" w:rsidRPr="00571249">
        <w:rPr>
          <w:rFonts w:ascii="Arial" w:hAnsi="Arial" w:cs="Arial"/>
          <w:sz w:val="24"/>
          <w:szCs w:val="24"/>
        </w:rPr>
        <w:t>$</w:t>
      </w:r>
      <w:r w:rsidR="00670510">
        <w:rPr>
          <w:rFonts w:ascii="Arial" w:hAnsi="Arial" w:cs="Arial"/>
          <w:sz w:val="24"/>
          <w:szCs w:val="24"/>
        </w:rPr>
        <w:t>219:7</w:t>
      </w:r>
      <w:r w:rsidR="00EE1494" w:rsidRPr="00571249">
        <w:rPr>
          <w:rFonts w:ascii="Arial" w:hAnsi="Arial" w:cs="Arial"/>
          <w:sz w:val="24"/>
          <w:szCs w:val="24"/>
        </w:rPr>
        <w:t>85.747</w:t>
      </w:r>
      <w:r w:rsidR="00912A6B">
        <w:rPr>
          <w:rFonts w:ascii="Arial" w:hAnsi="Arial" w:cs="Arial"/>
          <w:sz w:val="24"/>
          <w:szCs w:val="24"/>
        </w:rPr>
        <w:t>, ajuste considerado por ANCAP en sus estados</w:t>
      </w:r>
      <w:r w:rsidR="00126162">
        <w:rPr>
          <w:rFonts w:ascii="Arial" w:hAnsi="Arial" w:cs="Arial"/>
          <w:sz w:val="24"/>
          <w:szCs w:val="24"/>
        </w:rPr>
        <w:t xml:space="preserve"> financieros</w:t>
      </w:r>
      <w:r w:rsidR="00136D9B" w:rsidRPr="001D7C04">
        <w:rPr>
          <w:rFonts w:ascii="Arial" w:hAnsi="Arial" w:cs="Arial"/>
          <w:sz w:val="24"/>
          <w:szCs w:val="24"/>
        </w:rPr>
        <w:t>.</w:t>
      </w:r>
    </w:p>
    <w:p w:rsidR="002F5336" w:rsidRPr="001D7C04" w:rsidRDefault="002F5336" w:rsidP="005A7331">
      <w:pPr>
        <w:pStyle w:val="Prrafodelista"/>
        <w:keepNext/>
        <w:widowControl w:val="0"/>
        <w:numPr>
          <w:ilvl w:val="1"/>
          <w:numId w:val="24"/>
        </w:numPr>
        <w:spacing w:after="260" w:line="360" w:lineRule="auto"/>
        <w:jc w:val="both"/>
        <w:rPr>
          <w:rFonts w:cs="Arial"/>
          <w:szCs w:val="24"/>
        </w:rPr>
      </w:pPr>
      <w:r w:rsidRPr="00877EAA">
        <w:rPr>
          <w:rFonts w:ascii="Arial" w:hAnsi="Arial" w:cs="Arial"/>
          <w:sz w:val="24"/>
          <w:szCs w:val="24"/>
        </w:rPr>
        <w:t xml:space="preserve">- </w:t>
      </w:r>
      <w:r w:rsidR="00772ED7" w:rsidRPr="00877EAA">
        <w:rPr>
          <w:rFonts w:ascii="Arial" w:hAnsi="Arial" w:cs="Arial"/>
          <w:sz w:val="24"/>
          <w:szCs w:val="24"/>
        </w:rPr>
        <w:t>L</w:t>
      </w:r>
      <w:r w:rsidR="00DF16F3" w:rsidRPr="00877EAA">
        <w:rPr>
          <w:rFonts w:ascii="Arial" w:hAnsi="Arial" w:cs="Arial"/>
          <w:sz w:val="24"/>
          <w:szCs w:val="24"/>
        </w:rPr>
        <w:t>os valores de la participación en la empresa Gas Sayago S.A.</w:t>
      </w:r>
      <w:r w:rsidR="00DF16F3" w:rsidRPr="001D7C04">
        <w:rPr>
          <w:rFonts w:ascii="Arial" w:hAnsi="Arial" w:cs="Arial"/>
          <w:sz w:val="24"/>
          <w:szCs w:val="24"/>
        </w:rPr>
        <w:t xml:space="preserve"> sobre la que se expone </w:t>
      </w:r>
      <w:r w:rsidR="003313B6" w:rsidRPr="001D7C04">
        <w:rPr>
          <w:rFonts w:ascii="Arial" w:hAnsi="Arial" w:cs="Arial"/>
          <w:sz w:val="24"/>
          <w:szCs w:val="24"/>
        </w:rPr>
        <w:t xml:space="preserve">la situación de incertidumbre inherente a las decisiones futuras a adoptar que podrían </w:t>
      </w:r>
      <w:r w:rsidR="00772ED7" w:rsidRPr="001D7C04">
        <w:rPr>
          <w:rFonts w:ascii="Arial" w:hAnsi="Arial" w:cs="Arial"/>
          <w:sz w:val="24"/>
          <w:szCs w:val="24"/>
        </w:rPr>
        <w:t>afectar</w:t>
      </w:r>
      <w:r w:rsidR="003313B6" w:rsidRPr="001D7C04">
        <w:rPr>
          <w:rFonts w:ascii="Arial" w:hAnsi="Arial" w:cs="Arial"/>
          <w:sz w:val="24"/>
          <w:szCs w:val="24"/>
        </w:rPr>
        <w:t xml:space="preserve"> el valor de la inversión que mantiene ANCAP, propietaria del 20.65% del capital accionario de dicha empresa</w:t>
      </w:r>
      <w:r w:rsidR="00D7773E" w:rsidRPr="001D7C04">
        <w:rPr>
          <w:rFonts w:ascii="Arial" w:hAnsi="Arial" w:cs="Arial"/>
          <w:sz w:val="24"/>
          <w:szCs w:val="24"/>
        </w:rPr>
        <w:t xml:space="preserve"> </w:t>
      </w:r>
      <w:r w:rsidR="00FC255F" w:rsidRPr="001D7C04">
        <w:rPr>
          <w:rFonts w:ascii="Arial" w:hAnsi="Arial" w:cs="Arial"/>
          <w:sz w:val="24"/>
          <w:szCs w:val="24"/>
        </w:rPr>
        <w:t xml:space="preserve">por un valor patrimonial proporcional  </w:t>
      </w:r>
      <w:r w:rsidR="001D7C04" w:rsidRPr="001D7C04">
        <w:rPr>
          <w:rFonts w:ascii="Arial" w:hAnsi="Arial" w:cs="Arial"/>
          <w:sz w:val="24"/>
          <w:szCs w:val="24"/>
        </w:rPr>
        <w:t>de</w:t>
      </w:r>
      <w:r w:rsidR="00FC255F" w:rsidRPr="001D7C04">
        <w:rPr>
          <w:rFonts w:ascii="Arial" w:hAnsi="Arial" w:cs="Arial"/>
          <w:sz w:val="24"/>
          <w:szCs w:val="24"/>
        </w:rPr>
        <w:t xml:space="preserve"> </w:t>
      </w:r>
      <w:r w:rsidR="00D7773E" w:rsidRPr="001D7C04">
        <w:rPr>
          <w:rFonts w:ascii="Arial" w:hAnsi="Arial" w:cs="Arial"/>
          <w:sz w:val="24"/>
          <w:szCs w:val="24"/>
        </w:rPr>
        <w:t>$197:452.727</w:t>
      </w:r>
      <w:r w:rsidR="00772ED7" w:rsidRPr="001D7C04">
        <w:rPr>
          <w:rFonts w:ascii="Arial" w:hAnsi="Arial" w:cs="Arial"/>
          <w:sz w:val="24"/>
          <w:szCs w:val="24"/>
        </w:rPr>
        <w:t>. Esta situación no ha sido evaluada por Gas Sayago S.A.</w:t>
      </w:r>
      <w:r w:rsidR="001D7C04" w:rsidRPr="001D7C04">
        <w:rPr>
          <w:rFonts w:ascii="Arial" w:hAnsi="Arial" w:cs="Arial"/>
          <w:sz w:val="24"/>
          <w:szCs w:val="24"/>
        </w:rPr>
        <w:t xml:space="preserve">, empresa </w:t>
      </w:r>
      <w:r w:rsidR="00772ED7" w:rsidRPr="001D7C04">
        <w:rPr>
          <w:rFonts w:ascii="Arial" w:hAnsi="Arial" w:cs="Arial"/>
          <w:sz w:val="24"/>
          <w:szCs w:val="24"/>
        </w:rPr>
        <w:t xml:space="preserve">en la que existen indicios de deterioro al 31/12/2015 y por lo tanto no ha sido verificado si los valores en libros de sus activos </w:t>
      </w:r>
      <w:r w:rsidRPr="001D7C04">
        <w:rPr>
          <w:rFonts w:ascii="Arial" w:hAnsi="Arial" w:cs="Arial"/>
          <w:sz w:val="24"/>
          <w:szCs w:val="24"/>
        </w:rPr>
        <w:t>se ajustan al valor recuperable.</w:t>
      </w:r>
    </w:p>
    <w:p w:rsidR="0028634B" w:rsidRDefault="0028634B" w:rsidP="005A7331">
      <w:pPr>
        <w:pStyle w:val="Prrafodelista"/>
        <w:keepNext/>
        <w:widowControl w:val="0"/>
        <w:spacing w:after="0" w:line="360" w:lineRule="auto"/>
        <w:ind w:left="0" w:firstLine="708"/>
        <w:jc w:val="both"/>
        <w:rPr>
          <w:rFonts w:ascii="Arial" w:hAnsi="Arial" w:cs="Arial"/>
          <w:sz w:val="24"/>
          <w:szCs w:val="24"/>
        </w:rPr>
      </w:pPr>
      <w:r w:rsidRPr="00571249">
        <w:rPr>
          <w:rFonts w:ascii="Arial" w:hAnsi="Arial" w:cs="Arial"/>
          <w:sz w:val="24"/>
          <w:szCs w:val="24"/>
        </w:rPr>
        <w:t xml:space="preserve">Con relación a las disposiciones legales y reglamentarias vigentes, relacionadas con los estados financieros que fueron objeto de examen, en el transcurso de la auditoría se </w:t>
      </w:r>
      <w:r w:rsidR="00B97728" w:rsidRPr="00571249">
        <w:rPr>
          <w:rFonts w:ascii="Arial" w:hAnsi="Arial" w:cs="Arial"/>
          <w:sz w:val="24"/>
          <w:szCs w:val="24"/>
        </w:rPr>
        <w:t xml:space="preserve">constataron los </w:t>
      </w:r>
      <w:r w:rsidRPr="00571249">
        <w:rPr>
          <w:rFonts w:ascii="Arial" w:hAnsi="Arial" w:cs="Arial"/>
          <w:sz w:val="24"/>
          <w:szCs w:val="24"/>
        </w:rPr>
        <w:t xml:space="preserve"> siguiente</w:t>
      </w:r>
      <w:r w:rsidR="00B97728" w:rsidRPr="00571249">
        <w:rPr>
          <w:rFonts w:ascii="Arial" w:hAnsi="Arial" w:cs="Arial"/>
          <w:sz w:val="24"/>
          <w:szCs w:val="24"/>
        </w:rPr>
        <w:t>s</w:t>
      </w:r>
      <w:r w:rsidRPr="00571249">
        <w:rPr>
          <w:rFonts w:ascii="Arial" w:hAnsi="Arial" w:cs="Arial"/>
          <w:sz w:val="24"/>
          <w:szCs w:val="24"/>
        </w:rPr>
        <w:t xml:space="preserve"> incumplimiento</w:t>
      </w:r>
      <w:r w:rsidR="00B97728" w:rsidRPr="00571249">
        <w:rPr>
          <w:rFonts w:ascii="Arial" w:hAnsi="Arial" w:cs="Arial"/>
          <w:sz w:val="24"/>
          <w:szCs w:val="24"/>
        </w:rPr>
        <w:t>s</w:t>
      </w:r>
      <w:r w:rsidRPr="00571249">
        <w:rPr>
          <w:rFonts w:ascii="Arial" w:hAnsi="Arial" w:cs="Arial"/>
          <w:sz w:val="24"/>
          <w:szCs w:val="24"/>
        </w:rPr>
        <w:t>:</w:t>
      </w:r>
    </w:p>
    <w:p w:rsidR="00A247C4" w:rsidRDefault="00A247C4" w:rsidP="005A7331">
      <w:pPr>
        <w:pStyle w:val="Prrafodelista"/>
        <w:keepNext/>
        <w:widowControl w:val="0"/>
        <w:spacing w:after="0" w:line="360" w:lineRule="auto"/>
        <w:ind w:left="0" w:firstLine="708"/>
        <w:jc w:val="both"/>
        <w:rPr>
          <w:rFonts w:ascii="Arial" w:hAnsi="Arial" w:cs="Arial"/>
          <w:sz w:val="24"/>
          <w:szCs w:val="24"/>
        </w:rPr>
      </w:pPr>
    </w:p>
    <w:p w:rsidR="00A247C4" w:rsidRDefault="00A247C4" w:rsidP="005A7331">
      <w:pPr>
        <w:pStyle w:val="Prrafodelista"/>
        <w:keepNext/>
        <w:widowControl w:val="0"/>
        <w:spacing w:after="0" w:line="360" w:lineRule="auto"/>
        <w:ind w:left="0" w:firstLine="708"/>
        <w:jc w:val="both"/>
        <w:rPr>
          <w:rFonts w:ascii="Arial" w:hAnsi="Arial" w:cs="Arial"/>
          <w:sz w:val="24"/>
          <w:szCs w:val="24"/>
        </w:rPr>
      </w:pPr>
    </w:p>
    <w:p w:rsidR="00655E49" w:rsidRDefault="00655E49" w:rsidP="005A7331">
      <w:pPr>
        <w:pStyle w:val="Prrafodelista"/>
        <w:keepNext/>
        <w:widowControl w:val="0"/>
        <w:spacing w:after="0" w:line="360" w:lineRule="auto"/>
        <w:ind w:left="0" w:firstLine="708"/>
        <w:jc w:val="both"/>
        <w:rPr>
          <w:rFonts w:ascii="Arial" w:hAnsi="Arial" w:cs="Arial"/>
          <w:sz w:val="24"/>
          <w:szCs w:val="24"/>
        </w:rPr>
      </w:pPr>
    </w:p>
    <w:p w:rsidR="001D7C04" w:rsidRPr="00571249" w:rsidRDefault="00A247C4" w:rsidP="005A7331">
      <w:pPr>
        <w:keepNext/>
        <w:widowControl w:val="0"/>
        <w:spacing w:after="0" w:line="360" w:lineRule="auto"/>
        <w:rPr>
          <w:rFonts w:cs="Arial"/>
          <w:b/>
          <w:szCs w:val="24"/>
          <w:lang w:val="es-ES_tradnl"/>
        </w:rPr>
      </w:pPr>
      <w:r>
        <w:rPr>
          <w:rFonts w:cs="Arial"/>
          <w:b/>
          <w:szCs w:val="24"/>
          <w:lang w:val="es-ES_tradnl"/>
        </w:rPr>
        <w:t>Ar</w:t>
      </w:r>
      <w:r w:rsidR="001D7C04" w:rsidRPr="00571249">
        <w:rPr>
          <w:rFonts w:cs="Arial"/>
          <w:b/>
          <w:szCs w:val="24"/>
          <w:lang w:val="es-ES_tradnl"/>
        </w:rPr>
        <w:t>tículo 191 de la Constitución de la República, Artículo 1° de la ley 17040 y Numeral 30 de la Ordenanza 81 del tribunal de Cuentas</w:t>
      </w:r>
      <w:r w:rsidR="001D7C04">
        <w:rPr>
          <w:rFonts w:cs="Arial"/>
          <w:szCs w:val="24"/>
          <w:lang w:val="es-ES_tradnl"/>
        </w:rPr>
        <w:t>:</w:t>
      </w:r>
      <w:r w:rsidR="001D7C04" w:rsidRPr="00571249">
        <w:rPr>
          <w:rFonts w:cs="Arial"/>
          <w:b/>
          <w:szCs w:val="24"/>
          <w:lang w:val="es-ES_tradnl"/>
        </w:rPr>
        <w:t xml:space="preserve"> </w:t>
      </w:r>
      <w:r w:rsidR="001D7C04">
        <w:rPr>
          <w:rFonts w:cs="Arial"/>
          <w:b/>
          <w:szCs w:val="24"/>
          <w:lang w:val="es-ES_tradnl"/>
        </w:rPr>
        <w:t>Publicación de los estados financieros.</w:t>
      </w:r>
    </w:p>
    <w:p w:rsidR="001D7C04" w:rsidRPr="00571249" w:rsidRDefault="001D7C04" w:rsidP="005A7331">
      <w:pPr>
        <w:keepNext/>
        <w:widowControl w:val="0"/>
        <w:spacing w:after="0" w:line="360" w:lineRule="auto"/>
        <w:ind w:firstLine="708"/>
        <w:rPr>
          <w:rFonts w:cs="Arial"/>
          <w:szCs w:val="24"/>
          <w:lang w:val="es-ES_tradnl"/>
        </w:rPr>
      </w:pPr>
      <w:r w:rsidRPr="00571249">
        <w:rPr>
          <w:rFonts w:cs="Arial"/>
          <w:szCs w:val="24"/>
          <w:lang w:val="es-ES_tradnl"/>
        </w:rPr>
        <w:t>ANCAP no dio cumplimiento a lo establecido en la</w:t>
      </w:r>
      <w:r w:rsidR="00670510">
        <w:rPr>
          <w:rFonts w:cs="Arial"/>
          <w:szCs w:val="24"/>
          <w:lang w:val="es-ES_tradnl"/>
        </w:rPr>
        <w:t>s</w:t>
      </w:r>
      <w:r w:rsidRPr="00571249">
        <w:rPr>
          <w:rFonts w:cs="Arial"/>
          <w:szCs w:val="24"/>
          <w:lang w:val="es-ES_tradnl"/>
        </w:rPr>
        <w:t xml:space="preserve"> citada</w:t>
      </w:r>
      <w:r w:rsidR="00670510">
        <w:rPr>
          <w:rFonts w:cs="Arial"/>
          <w:szCs w:val="24"/>
          <w:lang w:val="es-ES_tradnl"/>
        </w:rPr>
        <w:t>s</w:t>
      </w:r>
      <w:r w:rsidRPr="00571249">
        <w:rPr>
          <w:rFonts w:cs="Arial"/>
          <w:szCs w:val="24"/>
          <w:lang w:val="es-ES_tradnl"/>
        </w:rPr>
        <w:t xml:space="preserve"> norma</w:t>
      </w:r>
      <w:r w:rsidR="00670510">
        <w:rPr>
          <w:rFonts w:cs="Arial"/>
          <w:szCs w:val="24"/>
          <w:lang w:val="es-ES_tradnl"/>
        </w:rPr>
        <w:t>s</w:t>
      </w:r>
      <w:r w:rsidRPr="00571249">
        <w:rPr>
          <w:rFonts w:cs="Arial"/>
          <w:szCs w:val="24"/>
          <w:lang w:val="es-ES_tradnl"/>
        </w:rPr>
        <w:t>, por no publicar los estados financieros correspondientes al ejercicio 2014 en dos periódicos de circulación nacional conjuntamente con el Dictamen de auditoría del Tribunal de Cuentas.</w:t>
      </w:r>
    </w:p>
    <w:p w:rsidR="002F36A7" w:rsidRPr="00571249" w:rsidRDefault="002F36A7" w:rsidP="005A7331">
      <w:pPr>
        <w:keepNext/>
        <w:widowControl w:val="0"/>
        <w:spacing w:after="0" w:line="360" w:lineRule="auto"/>
        <w:rPr>
          <w:rFonts w:cs="Arial"/>
          <w:b/>
          <w:szCs w:val="24"/>
        </w:rPr>
      </w:pPr>
      <w:r w:rsidRPr="00571249">
        <w:rPr>
          <w:rFonts w:cs="Arial"/>
          <w:b/>
          <w:szCs w:val="24"/>
        </w:rPr>
        <w:t>Artículo 7 de la Ley 17.292</w:t>
      </w:r>
      <w:r w:rsidR="001D7C04">
        <w:rPr>
          <w:rFonts w:cs="Arial"/>
          <w:b/>
          <w:szCs w:val="24"/>
        </w:rPr>
        <w:t>:</w:t>
      </w:r>
      <w:r w:rsidRPr="00571249">
        <w:rPr>
          <w:rFonts w:cs="Arial"/>
          <w:b/>
          <w:szCs w:val="24"/>
        </w:rPr>
        <w:t xml:space="preserve"> Informar anualmente al Poder Ejecutivo sobre la gestión de la sociedad o emprendimiento respectivo y remitirle toda otra documentación de carácter contable, jurídico o empresarial.</w:t>
      </w:r>
    </w:p>
    <w:p w:rsidR="002F36A7" w:rsidRPr="00571249" w:rsidRDefault="002F36A7" w:rsidP="005A7331">
      <w:pPr>
        <w:keepNext/>
        <w:widowControl w:val="0"/>
        <w:spacing w:after="0" w:line="360" w:lineRule="auto"/>
        <w:ind w:firstLine="708"/>
        <w:rPr>
          <w:rFonts w:cs="Arial"/>
          <w:szCs w:val="24"/>
          <w:lang w:val="es-ES_tradnl"/>
        </w:rPr>
      </w:pPr>
      <w:r w:rsidRPr="001D7C04">
        <w:rPr>
          <w:rFonts w:cs="Arial"/>
          <w:szCs w:val="24"/>
        </w:rPr>
        <w:t xml:space="preserve">Durante el ejercicio examinado, el Organismo no remitió al Poder Ejecutivo la documentación requerida, referente a la gestión de las sociedades y toda otra documentación de carácter contable, jurídico o empresarial, de las empresas vinculadas </w:t>
      </w:r>
      <w:r w:rsidRPr="00571249">
        <w:rPr>
          <w:rFonts w:cs="Arial"/>
          <w:szCs w:val="24"/>
          <w:lang w:val="es-ES_tradnl"/>
        </w:rPr>
        <w:t>GASUR S.A. y TALOBRAS S.A</w:t>
      </w:r>
      <w:r w:rsidR="00FC255F" w:rsidRPr="00571249">
        <w:rPr>
          <w:rFonts w:cs="Arial"/>
          <w:szCs w:val="24"/>
          <w:lang w:val="es-ES_tradnl"/>
        </w:rPr>
        <w:t>.</w:t>
      </w:r>
      <w:r w:rsidRPr="00571249">
        <w:rPr>
          <w:rFonts w:cs="Arial"/>
          <w:szCs w:val="24"/>
          <w:lang w:val="es-ES_tradnl"/>
        </w:rPr>
        <w:t xml:space="preserve"> correspondiente</w:t>
      </w:r>
      <w:r w:rsidR="003C6A7C" w:rsidRPr="00571249">
        <w:rPr>
          <w:rFonts w:cs="Arial"/>
          <w:szCs w:val="24"/>
          <w:lang w:val="es-ES_tradnl"/>
        </w:rPr>
        <w:t>s</w:t>
      </w:r>
      <w:r w:rsidRPr="00571249">
        <w:rPr>
          <w:rFonts w:cs="Arial"/>
          <w:szCs w:val="24"/>
          <w:lang w:val="es-ES_tradnl"/>
        </w:rPr>
        <w:t xml:space="preserve"> al ejercicio 2014</w:t>
      </w:r>
      <w:r w:rsidR="001D7C04" w:rsidRPr="00571249">
        <w:rPr>
          <w:rFonts w:cs="Arial"/>
          <w:szCs w:val="24"/>
          <w:lang w:val="es-ES_tradnl"/>
        </w:rPr>
        <w:t>,</w:t>
      </w:r>
      <w:r w:rsidRPr="00571249">
        <w:rPr>
          <w:rFonts w:cs="Arial"/>
          <w:szCs w:val="24"/>
          <w:lang w:val="es-ES_tradnl"/>
        </w:rPr>
        <w:t xml:space="preserve"> y de ALUR S.A. correspondiente al ejercicio 201</w:t>
      </w:r>
      <w:r w:rsidR="00B41E85" w:rsidRPr="00571249">
        <w:rPr>
          <w:rFonts w:cs="Arial"/>
          <w:szCs w:val="24"/>
          <w:lang w:val="es-ES_tradnl"/>
        </w:rPr>
        <w:t>3</w:t>
      </w:r>
      <w:r w:rsidRPr="00571249">
        <w:rPr>
          <w:rFonts w:cs="Arial"/>
          <w:szCs w:val="24"/>
          <w:lang w:val="es-ES_tradnl"/>
        </w:rPr>
        <w:t>.</w:t>
      </w:r>
    </w:p>
    <w:p w:rsidR="0041025B" w:rsidRPr="00571249" w:rsidRDefault="00F62B52" w:rsidP="005A7331">
      <w:pPr>
        <w:keepNext/>
        <w:widowControl w:val="0"/>
        <w:spacing w:after="0" w:line="360" w:lineRule="auto"/>
        <w:rPr>
          <w:rFonts w:cs="Arial"/>
          <w:szCs w:val="24"/>
          <w:lang w:val="es-ES_tradnl"/>
        </w:rPr>
      </w:pPr>
      <w:r w:rsidRPr="00571249">
        <w:rPr>
          <w:rFonts w:cs="Arial"/>
          <w:b/>
          <w:szCs w:val="24"/>
          <w:lang w:val="es-ES_tradnl"/>
        </w:rPr>
        <w:t>Artículo 267 de la ley 18.834</w:t>
      </w:r>
      <w:bookmarkStart w:id="2" w:name="art267"/>
      <w:r w:rsidR="001D7C04">
        <w:rPr>
          <w:rFonts w:cs="Arial"/>
          <w:b/>
          <w:szCs w:val="24"/>
          <w:lang w:val="es-ES_tradnl"/>
        </w:rPr>
        <w:t xml:space="preserve">: </w:t>
      </w:r>
      <w:bookmarkEnd w:id="2"/>
      <w:r w:rsidRPr="00571249">
        <w:rPr>
          <w:rFonts w:cs="Arial"/>
          <w:b/>
          <w:szCs w:val="24"/>
          <w:lang w:val="es-ES_tradnl"/>
        </w:rPr>
        <w:t>Autorización del Poder Ejecutivo para contratar financiamiento</w:t>
      </w:r>
      <w:r w:rsidR="0041025B" w:rsidRPr="00571249">
        <w:rPr>
          <w:rFonts w:cs="Arial"/>
          <w:b/>
          <w:szCs w:val="24"/>
          <w:lang w:val="es-ES_tradnl"/>
        </w:rPr>
        <w:t>.</w:t>
      </w:r>
    </w:p>
    <w:p w:rsidR="00E02954" w:rsidRPr="00571249" w:rsidRDefault="00F62B52" w:rsidP="005A7331">
      <w:pPr>
        <w:keepNext/>
        <w:widowControl w:val="0"/>
        <w:spacing w:after="0" w:line="360" w:lineRule="auto"/>
        <w:ind w:firstLine="708"/>
        <w:rPr>
          <w:rFonts w:cs="Arial"/>
          <w:szCs w:val="24"/>
          <w:lang w:val="es-ES_tradnl"/>
        </w:rPr>
      </w:pPr>
      <w:r w:rsidRPr="00571249">
        <w:rPr>
          <w:rFonts w:cs="Arial"/>
          <w:szCs w:val="24"/>
          <w:lang w:val="es-ES_tradnl"/>
        </w:rPr>
        <w:t xml:space="preserve">Las fianzas solidarias suscritas por </w:t>
      </w:r>
      <w:r w:rsidR="00E02954" w:rsidRPr="00571249">
        <w:rPr>
          <w:rFonts w:cs="Arial"/>
          <w:szCs w:val="24"/>
          <w:lang w:val="es-ES_tradnl"/>
        </w:rPr>
        <w:t>ANCAP</w:t>
      </w:r>
      <w:r w:rsidRPr="00571249">
        <w:rPr>
          <w:rFonts w:cs="Arial"/>
          <w:szCs w:val="24"/>
          <w:lang w:val="es-ES_tradnl"/>
        </w:rPr>
        <w:t xml:space="preserve"> para la financiación de la construcción de la Planta de Etanol de ALUR SA superan el importe de</w:t>
      </w:r>
      <w:r w:rsidR="0046744B">
        <w:rPr>
          <w:rFonts w:cs="Arial"/>
          <w:szCs w:val="24"/>
          <w:lang w:val="es-ES_tradnl"/>
        </w:rPr>
        <w:t xml:space="preserve">        </w:t>
      </w:r>
      <w:r w:rsidRPr="00571249">
        <w:rPr>
          <w:rFonts w:cs="Arial"/>
          <w:szCs w:val="24"/>
          <w:lang w:val="es-ES_tradnl"/>
        </w:rPr>
        <w:t>U$S</w:t>
      </w:r>
      <w:r w:rsidR="0046744B">
        <w:rPr>
          <w:rFonts w:cs="Arial"/>
          <w:szCs w:val="24"/>
          <w:lang w:val="es-ES_tradnl"/>
        </w:rPr>
        <w:t xml:space="preserve"> </w:t>
      </w:r>
      <w:r w:rsidRPr="00571249">
        <w:rPr>
          <w:rFonts w:cs="Arial"/>
          <w:szCs w:val="24"/>
          <w:lang w:val="es-ES_tradnl"/>
        </w:rPr>
        <w:t>107:000.000, autorizado por Resolución del Poder Ejecutivo de 24 de abril de 2013.</w:t>
      </w:r>
    </w:p>
    <w:p w:rsidR="006B3ECE" w:rsidRPr="00571249" w:rsidRDefault="0028634B" w:rsidP="005A7331">
      <w:pPr>
        <w:keepNext/>
        <w:widowControl w:val="0"/>
        <w:spacing w:after="0" w:line="360" w:lineRule="auto"/>
        <w:jc w:val="right"/>
        <w:rPr>
          <w:rFonts w:cs="Arial"/>
          <w:bCs/>
          <w:szCs w:val="24"/>
        </w:rPr>
      </w:pPr>
      <w:r w:rsidRPr="00571249">
        <w:rPr>
          <w:rFonts w:cs="Arial"/>
          <w:bCs/>
          <w:szCs w:val="24"/>
        </w:rPr>
        <w:br w:type="page"/>
      </w:r>
    </w:p>
    <w:p w:rsidR="0046744B" w:rsidRDefault="0046744B" w:rsidP="005A7331">
      <w:pPr>
        <w:keepNext/>
        <w:widowControl w:val="0"/>
        <w:spacing w:line="360" w:lineRule="auto"/>
        <w:jc w:val="center"/>
        <w:rPr>
          <w:rFonts w:cs="Arial"/>
          <w:b/>
          <w:bCs/>
          <w:szCs w:val="24"/>
        </w:rPr>
      </w:pPr>
      <w:r>
        <w:rPr>
          <w:rFonts w:cs="Arial"/>
          <w:b/>
          <w:bCs/>
          <w:szCs w:val="24"/>
        </w:rPr>
        <w:t>D</w:t>
      </w:r>
      <w:r w:rsidR="0028634B" w:rsidRPr="001D7C04">
        <w:rPr>
          <w:rFonts w:cs="Arial"/>
          <w:b/>
          <w:bCs/>
          <w:szCs w:val="24"/>
        </w:rPr>
        <w:t>ICTAMEN</w:t>
      </w:r>
    </w:p>
    <w:p w:rsidR="006F11B5" w:rsidRDefault="0028634B" w:rsidP="005A7331">
      <w:pPr>
        <w:keepNext/>
        <w:widowControl w:val="0"/>
        <w:spacing w:after="0" w:line="360" w:lineRule="auto"/>
        <w:rPr>
          <w:rFonts w:cs="Arial"/>
          <w:szCs w:val="24"/>
        </w:rPr>
      </w:pPr>
      <w:r w:rsidRPr="001D7C04">
        <w:rPr>
          <w:rFonts w:cs="Arial"/>
          <w:szCs w:val="24"/>
        </w:rPr>
        <w:t>El Tribunal de Cuentas ha examinado los Estados Financieros Individuales de la Administración Nacional de Combustibles, Alcohol y Portland (ANCAP) que comprenden el Estado de Situación Financiera Individual al 31 de diciembre de 2015, los correspondientes Estados Individuales de Resultados, de Pérdidas o Ganancias y Otros Resultados Integrales, de Cambios en el Patrimonio y de Flujos de Efectivo, por el ejercicio anual finalizado en esa fecha, los Anexos y las Notas de políticas contables significativas a los estados financieros.</w:t>
      </w:r>
    </w:p>
    <w:p w:rsidR="00655E49" w:rsidRDefault="00655E49" w:rsidP="005A7331">
      <w:pPr>
        <w:keepNext/>
        <w:widowControl w:val="0"/>
        <w:spacing w:after="0" w:line="360" w:lineRule="auto"/>
        <w:rPr>
          <w:rFonts w:cs="Arial"/>
          <w:szCs w:val="24"/>
        </w:rPr>
      </w:pPr>
    </w:p>
    <w:p w:rsidR="006F11B5" w:rsidRDefault="0028634B" w:rsidP="005A7331">
      <w:pPr>
        <w:keepNext/>
        <w:widowControl w:val="0"/>
        <w:spacing w:after="0" w:line="360" w:lineRule="auto"/>
        <w:rPr>
          <w:rFonts w:cs="Arial"/>
          <w:b/>
          <w:bCs/>
          <w:szCs w:val="24"/>
        </w:rPr>
      </w:pPr>
      <w:r w:rsidRPr="00571249">
        <w:rPr>
          <w:rFonts w:cs="Arial"/>
          <w:b/>
          <w:bCs/>
          <w:szCs w:val="24"/>
        </w:rPr>
        <w:t>Responsabilidad de la Dirección por los Estados financieros</w:t>
      </w:r>
    </w:p>
    <w:p w:rsidR="006F11B5" w:rsidRDefault="0028634B" w:rsidP="005A7331">
      <w:pPr>
        <w:keepNext/>
        <w:widowControl w:val="0"/>
        <w:spacing w:after="0" w:line="360" w:lineRule="auto"/>
        <w:ind w:firstLine="708"/>
        <w:rPr>
          <w:rFonts w:cs="Arial"/>
          <w:szCs w:val="24"/>
        </w:rPr>
      </w:pPr>
      <w:r w:rsidRPr="00571249">
        <w:rPr>
          <w:rFonts w:cs="Arial"/>
          <w:szCs w:val="24"/>
        </w:rPr>
        <w:t>La Dirección de ANCAP es responsable por la preparación y la razonable presentación de estos estados financieros de acuerdo con normas contables adecuadas en Uruguay y a la Ordenanza Nº 81 de este Tribunal</w:t>
      </w:r>
      <w:r w:rsidRPr="00571249">
        <w:rPr>
          <w:rFonts w:cs="Arial"/>
          <w:i/>
          <w:iCs/>
          <w:szCs w:val="24"/>
        </w:rPr>
        <w:t xml:space="preserve">. </w:t>
      </w:r>
      <w:r w:rsidRPr="00571249">
        <w:rPr>
          <w:rFonts w:cs="Arial"/>
          <w:szCs w:val="24"/>
        </w:rPr>
        <w:t>Esta responsabilidad incluye diseñar, implementar y mantener un sistema de control</w:t>
      </w:r>
      <w:r w:rsidR="00A247C4">
        <w:rPr>
          <w:rFonts w:cs="Arial"/>
          <w:szCs w:val="24"/>
        </w:rPr>
        <w:t xml:space="preserve"> </w:t>
      </w:r>
      <w:r w:rsidRPr="00571249">
        <w:rPr>
          <w:rFonts w:cs="Arial"/>
          <w:szCs w:val="24"/>
        </w:rPr>
        <w:t>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55E49" w:rsidRDefault="00655E49" w:rsidP="005A7331">
      <w:pPr>
        <w:keepNext/>
        <w:widowControl w:val="0"/>
        <w:spacing w:after="0" w:line="360" w:lineRule="auto"/>
        <w:ind w:firstLine="708"/>
        <w:rPr>
          <w:rFonts w:cs="Arial"/>
          <w:szCs w:val="24"/>
        </w:rPr>
      </w:pPr>
    </w:p>
    <w:p w:rsidR="006F11B5" w:rsidRDefault="0028634B" w:rsidP="005A7331">
      <w:pPr>
        <w:keepNext/>
        <w:widowControl w:val="0"/>
        <w:spacing w:after="0" w:line="360" w:lineRule="auto"/>
        <w:rPr>
          <w:rFonts w:cs="Arial"/>
          <w:b/>
          <w:bCs/>
          <w:szCs w:val="24"/>
        </w:rPr>
      </w:pPr>
      <w:r w:rsidRPr="00571249">
        <w:rPr>
          <w:rFonts w:cs="Arial"/>
          <w:b/>
          <w:bCs/>
          <w:szCs w:val="24"/>
        </w:rPr>
        <w:t>Responsabilidad del Auditor</w:t>
      </w:r>
    </w:p>
    <w:p w:rsidR="0028634B" w:rsidRDefault="00554290" w:rsidP="005A7331">
      <w:pPr>
        <w:keepNext/>
        <w:widowControl w:val="0"/>
        <w:spacing w:after="0" w:line="360" w:lineRule="auto"/>
        <w:rPr>
          <w:rFonts w:cs="Arial"/>
          <w:szCs w:val="24"/>
        </w:rPr>
      </w:pPr>
      <w:r>
        <w:rPr>
          <w:rFonts w:cs="Arial"/>
          <w:szCs w:val="24"/>
        </w:rPr>
        <w:t xml:space="preserve">          </w:t>
      </w:r>
      <w:r w:rsidR="0028634B" w:rsidRPr="00571249">
        <w:rPr>
          <w:rFonts w:cs="Arial"/>
          <w:szCs w:val="24"/>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655E49" w:rsidRPr="00571249" w:rsidRDefault="00655E49" w:rsidP="005A7331">
      <w:pPr>
        <w:keepNext/>
        <w:widowControl w:val="0"/>
        <w:spacing w:after="0" w:line="360" w:lineRule="auto"/>
        <w:rPr>
          <w:rFonts w:cs="Arial"/>
          <w:szCs w:val="24"/>
        </w:rPr>
      </w:pPr>
    </w:p>
    <w:p w:rsidR="0028634B" w:rsidRPr="00571249" w:rsidRDefault="0028634B" w:rsidP="005A7331">
      <w:pPr>
        <w:keepNext/>
        <w:widowControl w:val="0"/>
        <w:autoSpaceDE w:val="0"/>
        <w:autoSpaceDN w:val="0"/>
        <w:adjustRightInd w:val="0"/>
        <w:spacing w:after="0" w:line="360" w:lineRule="auto"/>
        <w:ind w:firstLine="708"/>
        <w:rPr>
          <w:rFonts w:cs="Arial"/>
          <w:szCs w:val="24"/>
        </w:rPr>
      </w:pPr>
      <w:r w:rsidRPr="00571249">
        <w:rPr>
          <w:rFonts w:cs="Arial"/>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28634B" w:rsidRDefault="0028634B" w:rsidP="005A7331">
      <w:pPr>
        <w:keepNext/>
        <w:widowControl w:val="0"/>
        <w:autoSpaceDE w:val="0"/>
        <w:autoSpaceDN w:val="0"/>
        <w:adjustRightInd w:val="0"/>
        <w:spacing w:after="0" w:line="360" w:lineRule="auto"/>
        <w:ind w:firstLine="708"/>
        <w:rPr>
          <w:rFonts w:cs="Arial"/>
          <w:szCs w:val="24"/>
        </w:rPr>
      </w:pPr>
      <w:r w:rsidRPr="00571249">
        <w:rPr>
          <w:rFonts w:cs="Arial"/>
          <w:szCs w:val="24"/>
        </w:rPr>
        <w:t>Se considera que la evidencia de auditoría obtenida brinda una base suficiente y apropiada para sustentar la opinión.</w:t>
      </w:r>
    </w:p>
    <w:p w:rsidR="00655E49" w:rsidRPr="00571249" w:rsidRDefault="00655E49" w:rsidP="005A7331">
      <w:pPr>
        <w:keepNext/>
        <w:widowControl w:val="0"/>
        <w:autoSpaceDE w:val="0"/>
        <w:autoSpaceDN w:val="0"/>
        <w:adjustRightInd w:val="0"/>
        <w:spacing w:after="0" w:line="360" w:lineRule="auto"/>
        <w:ind w:firstLine="708"/>
        <w:rPr>
          <w:rFonts w:cs="Arial"/>
          <w:szCs w:val="24"/>
        </w:rPr>
      </w:pPr>
    </w:p>
    <w:p w:rsidR="00834B02" w:rsidRPr="00571249" w:rsidRDefault="00834B02" w:rsidP="005A7331">
      <w:pPr>
        <w:keepNext/>
        <w:widowControl w:val="0"/>
        <w:spacing w:after="0" w:line="360" w:lineRule="auto"/>
        <w:rPr>
          <w:rFonts w:cs="Arial"/>
          <w:b/>
          <w:szCs w:val="24"/>
        </w:rPr>
      </w:pPr>
      <w:r w:rsidRPr="00571249">
        <w:rPr>
          <w:rFonts w:cs="Arial"/>
          <w:b/>
          <w:szCs w:val="24"/>
        </w:rPr>
        <w:t>Opinión</w:t>
      </w:r>
    </w:p>
    <w:p w:rsidR="00834B02" w:rsidRDefault="00834B02" w:rsidP="005A7331">
      <w:pPr>
        <w:keepNext/>
        <w:widowControl w:val="0"/>
        <w:spacing w:after="0" w:line="360" w:lineRule="auto"/>
        <w:ind w:firstLine="708"/>
        <w:rPr>
          <w:rFonts w:cs="Arial"/>
          <w:szCs w:val="24"/>
        </w:rPr>
      </w:pPr>
      <w:r w:rsidRPr="00571249">
        <w:rPr>
          <w:rFonts w:cs="Arial"/>
          <w:szCs w:val="24"/>
        </w:rPr>
        <w:t>En opinión del Tribunal de Cuentas, los estados financieros referidos precedentemente presentan razonablemente, en todos sus aspectos importantes, la situación financiera de ANCAP al 31 de diciembre 2015, los resultados de sus operaciones y los flujos de efectivo correspondientes al ejercicio anual terminado en esa fecha, de acuerdo con las normas contables adecuadas en Uruguay y la Ordenanza Nº 81 del Tribunal de Cuentas.</w:t>
      </w:r>
    </w:p>
    <w:p w:rsidR="00655E49" w:rsidRPr="00571249" w:rsidRDefault="00655E49" w:rsidP="005A7331">
      <w:pPr>
        <w:keepNext/>
        <w:widowControl w:val="0"/>
        <w:spacing w:after="0" w:line="360" w:lineRule="auto"/>
        <w:ind w:firstLine="708"/>
        <w:rPr>
          <w:rFonts w:cs="Arial"/>
          <w:szCs w:val="24"/>
        </w:rPr>
      </w:pPr>
    </w:p>
    <w:p w:rsidR="00C54266" w:rsidRPr="001D7C04" w:rsidRDefault="00C54266" w:rsidP="005A7331">
      <w:pPr>
        <w:keepNext/>
        <w:widowControl w:val="0"/>
        <w:spacing w:after="0" w:line="360" w:lineRule="auto"/>
        <w:rPr>
          <w:rFonts w:cs="Arial"/>
          <w:b/>
          <w:szCs w:val="24"/>
        </w:rPr>
      </w:pPr>
      <w:r w:rsidRPr="001D7C04">
        <w:rPr>
          <w:rFonts w:cs="Arial"/>
          <w:b/>
          <w:szCs w:val="24"/>
        </w:rPr>
        <w:t>Párrafo de énfasis</w:t>
      </w:r>
      <w:r w:rsidR="00101964" w:rsidRPr="001D7C04">
        <w:rPr>
          <w:rFonts w:cs="Arial"/>
          <w:b/>
          <w:szCs w:val="24"/>
        </w:rPr>
        <w:t xml:space="preserve"> de asunto</w:t>
      </w:r>
    </w:p>
    <w:p w:rsidR="00332528" w:rsidRPr="001D7C04" w:rsidRDefault="00834B02" w:rsidP="005A7331">
      <w:pPr>
        <w:keepNext/>
        <w:widowControl w:val="0"/>
        <w:spacing w:after="0" w:line="360" w:lineRule="auto"/>
        <w:ind w:firstLine="708"/>
        <w:rPr>
          <w:rFonts w:cs="Arial"/>
          <w:szCs w:val="24"/>
        </w:rPr>
      </w:pPr>
      <w:r w:rsidRPr="001D7C04">
        <w:rPr>
          <w:rFonts w:cs="Arial"/>
          <w:szCs w:val="24"/>
        </w:rPr>
        <w:t>Sin afectar nuestra opinión hacemos énfasis respecto de</w:t>
      </w:r>
      <w:r w:rsidR="00655E49">
        <w:rPr>
          <w:rFonts w:cs="Arial"/>
          <w:szCs w:val="24"/>
        </w:rPr>
        <w:t xml:space="preserve"> la situación que se revela en:</w:t>
      </w:r>
    </w:p>
    <w:p w:rsidR="0046744B" w:rsidRPr="001D7C04" w:rsidRDefault="00E02954" w:rsidP="005A7331">
      <w:pPr>
        <w:keepNext/>
        <w:widowControl w:val="0"/>
        <w:spacing w:after="0" w:line="360" w:lineRule="auto"/>
        <w:rPr>
          <w:rFonts w:cs="Arial"/>
          <w:szCs w:val="24"/>
        </w:rPr>
      </w:pPr>
      <w:r w:rsidRPr="001D7C04">
        <w:rPr>
          <w:rFonts w:cs="Arial"/>
          <w:szCs w:val="24"/>
        </w:rPr>
        <w:t>1</w:t>
      </w:r>
      <w:r w:rsidR="00C54266" w:rsidRPr="001D7C04">
        <w:rPr>
          <w:rFonts w:cs="Arial"/>
          <w:szCs w:val="24"/>
        </w:rPr>
        <w:t>-</w:t>
      </w:r>
      <w:r w:rsidR="00136D9B" w:rsidRPr="001D7C04">
        <w:rPr>
          <w:rFonts w:cs="Arial"/>
          <w:szCs w:val="24"/>
        </w:rPr>
        <w:t>L</w:t>
      </w:r>
      <w:r w:rsidR="00C54266" w:rsidRPr="001D7C04">
        <w:rPr>
          <w:rFonts w:cs="Arial"/>
          <w:szCs w:val="24"/>
        </w:rPr>
        <w:t>as Notas 8 y 1</w:t>
      </w:r>
      <w:r w:rsidR="003313B6" w:rsidRPr="001D7C04">
        <w:rPr>
          <w:rFonts w:cs="Arial"/>
          <w:szCs w:val="24"/>
        </w:rPr>
        <w:t>7</w:t>
      </w:r>
      <w:r w:rsidR="00A63916" w:rsidRPr="001D7C04">
        <w:rPr>
          <w:rFonts w:cs="Arial"/>
          <w:szCs w:val="24"/>
        </w:rPr>
        <w:t>.d</w:t>
      </w:r>
      <w:r w:rsidR="00C54266" w:rsidRPr="001D7C04">
        <w:rPr>
          <w:rFonts w:cs="Arial"/>
          <w:szCs w:val="24"/>
        </w:rPr>
        <w:t xml:space="preserve"> </w:t>
      </w:r>
      <w:r w:rsidRPr="001D7C04">
        <w:rPr>
          <w:rFonts w:cs="Arial"/>
          <w:szCs w:val="24"/>
        </w:rPr>
        <w:t xml:space="preserve">a los Estados </w:t>
      </w:r>
      <w:r w:rsidR="00136D9B" w:rsidRPr="001D7C04">
        <w:rPr>
          <w:rFonts w:cs="Arial"/>
          <w:szCs w:val="24"/>
        </w:rPr>
        <w:t>F</w:t>
      </w:r>
      <w:r w:rsidRPr="001D7C04">
        <w:rPr>
          <w:rFonts w:cs="Arial"/>
          <w:szCs w:val="24"/>
        </w:rPr>
        <w:t xml:space="preserve">inancieros </w:t>
      </w:r>
      <w:r w:rsidR="00C54266" w:rsidRPr="001D7C04">
        <w:rPr>
          <w:rFonts w:cs="Arial"/>
          <w:szCs w:val="24"/>
        </w:rPr>
        <w:t>en cuanto a</w:t>
      </w:r>
      <w:r w:rsidRPr="001D7C04">
        <w:rPr>
          <w:rFonts w:cs="Arial"/>
          <w:szCs w:val="24"/>
        </w:rPr>
        <w:t xml:space="preserve"> </w:t>
      </w:r>
      <w:r w:rsidR="003313B6" w:rsidRPr="001D7C04">
        <w:rPr>
          <w:rFonts w:cs="Arial"/>
          <w:szCs w:val="24"/>
        </w:rPr>
        <w:t>l</w:t>
      </w:r>
      <w:r w:rsidRPr="001D7C04">
        <w:rPr>
          <w:rFonts w:cs="Arial"/>
          <w:szCs w:val="24"/>
        </w:rPr>
        <w:t xml:space="preserve">as pérdidas por </w:t>
      </w:r>
      <w:r w:rsidR="00C54266" w:rsidRPr="001D7C04">
        <w:rPr>
          <w:rFonts w:cs="Arial"/>
          <w:szCs w:val="24"/>
        </w:rPr>
        <w:t xml:space="preserve"> deterioro </w:t>
      </w:r>
      <w:r w:rsidR="003313B6" w:rsidRPr="001D7C04">
        <w:rPr>
          <w:rFonts w:cs="Arial"/>
          <w:szCs w:val="24"/>
        </w:rPr>
        <w:t>reconocid</w:t>
      </w:r>
      <w:r w:rsidRPr="001D7C04">
        <w:rPr>
          <w:rFonts w:cs="Arial"/>
          <w:szCs w:val="24"/>
        </w:rPr>
        <w:t>as</w:t>
      </w:r>
      <w:r w:rsidR="00C54266" w:rsidRPr="001D7C04">
        <w:rPr>
          <w:rFonts w:cs="Arial"/>
          <w:szCs w:val="24"/>
        </w:rPr>
        <w:t xml:space="preserve"> </w:t>
      </w:r>
      <w:r w:rsidR="00332528" w:rsidRPr="001D7C04">
        <w:rPr>
          <w:rFonts w:cs="Arial"/>
          <w:szCs w:val="24"/>
        </w:rPr>
        <w:t xml:space="preserve">sobre los activos del segmento de Negocio Portland </w:t>
      </w:r>
      <w:r w:rsidRPr="001D7C04">
        <w:rPr>
          <w:rFonts w:cs="Arial"/>
          <w:szCs w:val="24"/>
        </w:rPr>
        <w:t>de</w:t>
      </w:r>
      <w:r w:rsidR="00332528" w:rsidRPr="001D7C04">
        <w:rPr>
          <w:rFonts w:cs="Arial"/>
          <w:szCs w:val="24"/>
        </w:rPr>
        <w:t xml:space="preserve"> ANCAP, </w:t>
      </w:r>
      <w:r w:rsidR="003313B6" w:rsidRPr="001D7C04">
        <w:rPr>
          <w:rFonts w:cs="Arial"/>
          <w:szCs w:val="24"/>
        </w:rPr>
        <w:t>por</w:t>
      </w:r>
      <w:r w:rsidRPr="001D7C04">
        <w:rPr>
          <w:rFonts w:cs="Arial"/>
          <w:szCs w:val="24"/>
        </w:rPr>
        <w:t xml:space="preserve"> un total de</w:t>
      </w:r>
      <w:r w:rsidR="00655E49">
        <w:rPr>
          <w:rFonts w:cs="Arial"/>
          <w:szCs w:val="24"/>
        </w:rPr>
        <w:t xml:space="preserve"> $ 4.043:000.000;</w:t>
      </w:r>
    </w:p>
    <w:p w:rsidR="00332528" w:rsidRPr="00571249" w:rsidRDefault="00E02954" w:rsidP="005A7331">
      <w:pPr>
        <w:keepNext/>
        <w:widowControl w:val="0"/>
        <w:spacing w:after="0" w:line="360" w:lineRule="auto"/>
        <w:rPr>
          <w:rFonts w:cs="Arial"/>
          <w:szCs w:val="24"/>
        </w:rPr>
      </w:pPr>
      <w:r w:rsidRPr="00571249">
        <w:rPr>
          <w:rFonts w:cs="Arial"/>
          <w:szCs w:val="24"/>
        </w:rPr>
        <w:t>2</w:t>
      </w:r>
      <w:r w:rsidR="00C54266" w:rsidRPr="00571249">
        <w:rPr>
          <w:rFonts w:cs="Arial"/>
          <w:szCs w:val="24"/>
        </w:rPr>
        <w:t>-</w:t>
      </w:r>
      <w:r w:rsidR="00136D9B" w:rsidRPr="00571249">
        <w:rPr>
          <w:rFonts w:cs="Arial"/>
          <w:szCs w:val="24"/>
        </w:rPr>
        <w:t xml:space="preserve"> L</w:t>
      </w:r>
      <w:r w:rsidR="00C54266" w:rsidRPr="00571249">
        <w:rPr>
          <w:rFonts w:cs="Arial"/>
          <w:szCs w:val="24"/>
        </w:rPr>
        <w:t>a Nota</w:t>
      </w:r>
      <w:r w:rsidR="003313B6" w:rsidRPr="00571249">
        <w:rPr>
          <w:rFonts w:cs="Arial"/>
          <w:szCs w:val="24"/>
        </w:rPr>
        <w:t xml:space="preserve"> 19</w:t>
      </w:r>
      <w:r w:rsidR="00BC43FE" w:rsidRPr="00571249">
        <w:rPr>
          <w:rFonts w:cs="Arial"/>
          <w:szCs w:val="24"/>
        </w:rPr>
        <w:t xml:space="preserve"> </w:t>
      </w:r>
      <w:r w:rsidR="00136D9B" w:rsidRPr="00571249">
        <w:rPr>
          <w:rFonts w:cs="Arial"/>
          <w:szCs w:val="24"/>
        </w:rPr>
        <w:t xml:space="preserve">a los Estados Financieros </w:t>
      </w:r>
      <w:r w:rsidR="003313B6" w:rsidRPr="00571249">
        <w:rPr>
          <w:rFonts w:cs="Arial"/>
          <w:szCs w:val="24"/>
        </w:rPr>
        <w:t xml:space="preserve">que </w:t>
      </w:r>
      <w:r w:rsidR="00CE0B6C" w:rsidRPr="00571249">
        <w:rPr>
          <w:rFonts w:cs="Arial"/>
          <w:szCs w:val="24"/>
        </w:rPr>
        <w:t>detalla:</w:t>
      </w:r>
    </w:p>
    <w:p w:rsidR="00114090" w:rsidRPr="001D7C04" w:rsidRDefault="00136D9B" w:rsidP="005A7331">
      <w:pPr>
        <w:pStyle w:val="Prrafodelista"/>
        <w:keepNext/>
        <w:widowControl w:val="0"/>
        <w:numPr>
          <w:ilvl w:val="1"/>
          <w:numId w:val="26"/>
        </w:numPr>
        <w:spacing w:after="260" w:line="360" w:lineRule="auto"/>
        <w:jc w:val="both"/>
        <w:rPr>
          <w:rFonts w:ascii="Arial" w:hAnsi="Arial" w:cs="Arial"/>
          <w:sz w:val="24"/>
          <w:szCs w:val="24"/>
        </w:rPr>
      </w:pPr>
      <w:r w:rsidRPr="001D7C04">
        <w:rPr>
          <w:rFonts w:ascii="Arial" w:hAnsi="Arial" w:cs="Arial"/>
          <w:sz w:val="24"/>
          <w:szCs w:val="24"/>
        </w:rPr>
        <w:t>L</w:t>
      </w:r>
      <w:r w:rsidR="00D15037" w:rsidRPr="00571249">
        <w:rPr>
          <w:rFonts w:ascii="Arial" w:hAnsi="Arial" w:cs="Arial"/>
          <w:sz w:val="24"/>
          <w:szCs w:val="24"/>
        </w:rPr>
        <w:t>os valores en libros de las empresas subsidiarias</w:t>
      </w:r>
      <w:r w:rsidR="00212182" w:rsidRPr="001D7C04">
        <w:rPr>
          <w:rFonts w:ascii="Arial" w:hAnsi="Arial" w:cs="Arial"/>
          <w:sz w:val="24"/>
          <w:szCs w:val="24"/>
        </w:rPr>
        <w:t xml:space="preserve"> de ANCAP</w:t>
      </w:r>
      <w:r w:rsidR="005D373E">
        <w:rPr>
          <w:rFonts w:ascii="Arial" w:hAnsi="Arial" w:cs="Arial"/>
          <w:sz w:val="24"/>
          <w:szCs w:val="24"/>
        </w:rPr>
        <w:t>, en particular, de CABA SA,</w:t>
      </w:r>
      <w:r w:rsidR="00336197" w:rsidRPr="001D7C04">
        <w:rPr>
          <w:rFonts w:ascii="Arial" w:hAnsi="Arial" w:cs="Arial"/>
          <w:sz w:val="24"/>
          <w:szCs w:val="24"/>
        </w:rPr>
        <w:t xml:space="preserve"> </w:t>
      </w:r>
      <w:proofErr w:type="spellStart"/>
      <w:r w:rsidR="00336197" w:rsidRPr="001D7C04">
        <w:rPr>
          <w:rFonts w:ascii="Arial" w:hAnsi="Arial" w:cs="Arial"/>
          <w:sz w:val="24"/>
          <w:szCs w:val="24"/>
        </w:rPr>
        <w:t>Pamacor</w:t>
      </w:r>
      <w:proofErr w:type="spellEnd"/>
      <w:r w:rsidR="00336197" w:rsidRPr="001D7C04">
        <w:rPr>
          <w:rFonts w:ascii="Arial" w:hAnsi="Arial" w:cs="Arial"/>
          <w:sz w:val="24"/>
          <w:szCs w:val="24"/>
        </w:rPr>
        <w:t xml:space="preserve"> SA,</w:t>
      </w:r>
      <w:r w:rsidR="00D15037" w:rsidRPr="00571249">
        <w:rPr>
          <w:rFonts w:ascii="Arial" w:hAnsi="Arial" w:cs="Arial"/>
          <w:sz w:val="24"/>
          <w:szCs w:val="24"/>
        </w:rPr>
        <w:t xml:space="preserve"> ATS SA </w:t>
      </w:r>
      <w:r w:rsidR="00B7337D" w:rsidRPr="001D7C04">
        <w:rPr>
          <w:rFonts w:ascii="Arial" w:hAnsi="Arial" w:cs="Arial"/>
          <w:sz w:val="24"/>
          <w:szCs w:val="24"/>
        </w:rPr>
        <w:t>y ANCSOL SA</w:t>
      </w:r>
      <w:r w:rsidR="005D373E">
        <w:rPr>
          <w:rFonts w:ascii="Arial" w:hAnsi="Arial" w:cs="Arial"/>
          <w:sz w:val="24"/>
          <w:szCs w:val="24"/>
        </w:rPr>
        <w:t>,</w:t>
      </w:r>
      <w:r w:rsidR="00B7337D" w:rsidRPr="001D7C04">
        <w:rPr>
          <w:rFonts w:ascii="Arial" w:hAnsi="Arial" w:cs="Arial"/>
          <w:sz w:val="24"/>
          <w:szCs w:val="24"/>
        </w:rPr>
        <w:t xml:space="preserve"> cuyos activos </w:t>
      </w:r>
      <w:r w:rsidR="00D15037" w:rsidRPr="00571249">
        <w:rPr>
          <w:rFonts w:ascii="Arial" w:hAnsi="Arial" w:cs="Arial"/>
          <w:sz w:val="24"/>
          <w:szCs w:val="24"/>
        </w:rPr>
        <w:t xml:space="preserve"> muestran indicios de deterioro</w:t>
      </w:r>
      <w:r w:rsidR="002B4A92" w:rsidRPr="001D7C04">
        <w:rPr>
          <w:rFonts w:ascii="Arial" w:hAnsi="Arial" w:cs="Arial"/>
          <w:sz w:val="24"/>
          <w:szCs w:val="24"/>
        </w:rPr>
        <w:t>. E</w:t>
      </w:r>
      <w:r w:rsidR="00B7337D" w:rsidRPr="001D7C04">
        <w:rPr>
          <w:rFonts w:ascii="Arial" w:hAnsi="Arial" w:cs="Arial"/>
          <w:sz w:val="24"/>
          <w:szCs w:val="24"/>
        </w:rPr>
        <w:t xml:space="preserve">n el caso de ANCSOL SA por ser </w:t>
      </w:r>
      <w:r w:rsidR="00D15037" w:rsidRPr="00571249">
        <w:rPr>
          <w:rFonts w:ascii="Arial" w:hAnsi="Arial" w:cs="Arial"/>
          <w:sz w:val="24"/>
          <w:szCs w:val="24"/>
        </w:rPr>
        <w:t xml:space="preserve">propietaria del 74.26% del paquete accionario de </w:t>
      </w:r>
      <w:proofErr w:type="spellStart"/>
      <w:r w:rsidR="00D15037" w:rsidRPr="00571249">
        <w:rPr>
          <w:rFonts w:ascii="Arial" w:hAnsi="Arial" w:cs="Arial"/>
          <w:sz w:val="24"/>
          <w:szCs w:val="24"/>
        </w:rPr>
        <w:t>Carboclor</w:t>
      </w:r>
      <w:proofErr w:type="spellEnd"/>
      <w:r w:rsidR="00D15037" w:rsidRPr="00571249">
        <w:rPr>
          <w:rFonts w:ascii="Arial" w:hAnsi="Arial" w:cs="Arial"/>
          <w:sz w:val="24"/>
          <w:szCs w:val="24"/>
        </w:rPr>
        <w:t xml:space="preserve"> SA</w:t>
      </w:r>
      <w:r w:rsidR="00212182" w:rsidRPr="001D7C04">
        <w:rPr>
          <w:rFonts w:ascii="Arial" w:hAnsi="Arial" w:cs="Arial"/>
          <w:sz w:val="24"/>
          <w:szCs w:val="24"/>
        </w:rPr>
        <w:t xml:space="preserve">, empresa </w:t>
      </w:r>
      <w:r w:rsidR="00B7337D" w:rsidRPr="001D7C04">
        <w:rPr>
          <w:rFonts w:ascii="Arial" w:hAnsi="Arial" w:cs="Arial"/>
          <w:sz w:val="24"/>
          <w:szCs w:val="24"/>
        </w:rPr>
        <w:t>que</w:t>
      </w:r>
      <w:r w:rsidR="00D15037" w:rsidRPr="00571249">
        <w:rPr>
          <w:rFonts w:ascii="Arial" w:hAnsi="Arial" w:cs="Arial"/>
          <w:sz w:val="24"/>
          <w:szCs w:val="24"/>
        </w:rPr>
        <w:t xml:space="preserve"> expone indicios de deterioro</w:t>
      </w:r>
      <w:r w:rsidRPr="001D7C04">
        <w:rPr>
          <w:rFonts w:ascii="Arial" w:hAnsi="Arial" w:cs="Arial"/>
          <w:sz w:val="24"/>
          <w:szCs w:val="24"/>
        </w:rPr>
        <w:t>.</w:t>
      </w:r>
    </w:p>
    <w:p w:rsidR="00114090" w:rsidRPr="001D7C04" w:rsidRDefault="00136D9B" w:rsidP="005A7331">
      <w:pPr>
        <w:pStyle w:val="Prrafodelista"/>
        <w:keepNext/>
        <w:widowControl w:val="0"/>
        <w:numPr>
          <w:ilvl w:val="1"/>
          <w:numId w:val="26"/>
        </w:numPr>
        <w:spacing w:after="260" w:line="360" w:lineRule="auto"/>
        <w:jc w:val="both"/>
        <w:rPr>
          <w:rFonts w:ascii="Arial" w:hAnsi="Arial" w:cs="Arial"/>
          <w:sz w:val="24"/>
          <w:szCs w:val="24"/>
        </w:rPr>
      </w:pPr>
      <w:r w:rsidRPr="001D7C04">
        <w:rPr>
          <w:rFonts w:ascii="Arial" w:hAnsi="Arial" w:cs="Arial"/>
          <w:sz w:val="24"/>
          <w:szCs w:val="24"/>
        </w:rPr>
        <w:t>L</w:t>
      </w:r>
      <w:r w:rsidR="00CE0B6C" w:rsidRPr="001D7C04">
        <w:rPr>
          <w:rFonts w:ascii="Arial" w:hAnsi="Arial" w:cs="Arial"/>
          <w:sz w:val="24"/>
          <w:szCs w:val="24"/>
        </w:rPr>
        <w:t>os valores en libros de la inver</w:t>
      </w:r>
      <w:r w:rsidR="00332528" w:rsidRPr="001D7C04">
        <w:rPr>
          <w:rFonts w:ascii="Arial" w:hAnsi="Arial" w:cs="Arial"/>
          <w:sz w:val="24"/>
          <w:szCs w:val="24"/>
        </w:rPr>
        <w:t>sión</w:t>
      </w:r>
      <w:r w:rsidR="00CE0B6C" w:rsidRPr="001D7C04">
        <w:rPr>
          <w:rFonts w:ascii="Arial" w:hAnsi="Arial" w:cs="Arial"/>
          <w:sz w:val="24"/>
          <w:szCs w:val="24"/>
        </w:rPr>
        <w:t xml:space="preserve"> de la empresa asociada CONECTA SA en la que se reconoció </w:t>
      </w:r>
      <w:r w:rsidRPr="001D7C04">
        <w:rPr>
          <w:rFonts w:ascii="Arial" w:hAnsi="Arial" w:cs="Arial"/>
          <w:sz w:val="24"/>
          <w:szCs w:val="24"/>
        </w:rPr>
        <w:t xml:space="preserve">una pérdida por </w:t>
      </w:r>
      <w:r w:rsidR="00CE0B6C" w:rsidRPr="001D7C04">
        <w:rPr>
          <w:rFonts w:ascii="Arial" w:hAnsi="Arial" w:cs="Arial"/>
          <w:sz w:val="24"/>
          <w:szCs w:val="24"/>
        </w:rPr>
        <w:t>deterioro de sus activos en el ejercicio</w:t>
      </w:r>
      <w:r w:rsidRPr="001D7C04">
        <w:rPr>
          <w:rFonts w:ascii="Arial" w:hAnsi="Arial" w:cs="Arial"/>
          <w:sz w:val="24"/>
          <w:szCs w:val="24"/>
        </w:rPr>
        <w:t xml:space="preserve"> 2015</w:t>
      </w:r>
      <w:r w:rsidR="00670510">
        <w:rPr>
          <w:rFonts w:ascii="Arial" w:hAnsi="Arial" w:cs="Arial"/>
          <w:sz w:val="24"/>
          <w:szCs w:val="24"/>
        </w:rPr>
        <w:t xml:space="preserve">, por un importe de </w:t>
      </w:r>
      <w:r w:rsidR="005D373E">
        <w:rPr>
          <w:rFonts w:ascii="Arial" w:hAnsi="Arial" w:cs="Arial"/>
          <w:sz w:val="24"/>
          <w:szCs w:val="24"/>
        </w:rPr>
        <w:t xml:space="preserve">                   </w:t>
      </w:r>
      <w:r w:rsidR="00670510">
        <w:rPr>
          <w:rFonts w:ascii="Arial" w:hAnsi="Arial" w:cs="Arial"/>
          <w:sz w:val="24"/>
          <w:szCs w:val="24"/>
        </w:rPr>
        <w:t>$</w:t>
      </w:r>
      <w:r w:rsidR="005D373E">
        <w:rPr>
          <w:rFonts w:ascii="Arial" w:hAnsi="Arial" w:cs="Arial"/>
          <w:sz w:val="24"/>
          <w:szCs w:val="24"/>
        </w:rPr>
        <w:t xml:space="preserve"> </w:t>
      </w:r>
      <w:r w:rsidR="00670510">
        <w:rPr>
          <w:rFonts w:ascii="Arial" w:hAnsi="Arial" w:cs="Arial"/>
          <w:sz w:val="24"/>
          <w:szCs w:val="24"/>
        </w:rPr>
        <w:t>219:7</w:t>
      </w:r>
      <w:r w:rsidR="00CE0B6C" w:rsidRPr="001D7C04">
        <w:rPr>
          <w:rFonts w:ascii="Arial" w:hAnsi="Arial" w:cs="Arial"/>
          <w:sz w:val="24"/>
          <w:szCs w:val="24"/>
        </w:rPr>
        <w:t>85.747</w:t>
      </w:r>
      <w:r w:rsidR="00126162">
        <w:rPr>
          <w:rFonts w:ascii="Arial" w:hAnsi="Arial" w:cs="Arial"/>
          <w:sz w:val="24"/>
          <w:szCs w:val="24"/>
        </w:rPr>
        <w:t>, ajuste considerado por ANCAP en sus estados financieros</w:t>
      </w:r>
      <w:r w:rsidR="00D15037" w:rsidRPr="001D7C04">
        <w:rPr>
          <w:rFonts w:ascii="Arial" w:hAnsi="Arial" w:cs="Arial"/>
          <w:sz w:val="24"/>
          <w:szCs w:val="24"/>
        </w:rPr>
        <w:t>;</w:t>
      </w:r>
    </w:p>
    <w:p w:rsidR="00714EAB" w:rsidRPr="00571249" w:rsidRDefault="00136D9B" w:rsidP="005A7331">
      <w:pPr>
        <w:pStyle w:val="Prrafodelista"/>
        <w:keepNext/>
        <w:widowControl w:val="0"/>
        <w:numPr>
          <w:ilvl w:val="1"/>
          <w:numId w:val="26"/>
        </w:numPr>
        <w:spacing w:after="0" w:line="360" w:lineRule="auto"/>
        <w:jc w:val="both"/>
        <w:rPr>
          <w:rFonts w:ascii="Arial" w:hAnsi="Arial" w:cs="Arial"/>
          <w:sz w:val="24"/>
          <w:szCs w:val="24"/>
        </w:rPr>
      </w:pPr>
      <w:r w:rsidRPr="00A26573">
        <w:rPr>
          <w:rFonts w:ascii="Arial" w:hAnsi="Arial" w:cs="Arial"/>
          <w:sz w:val="24"/>
          <w:szCs w:val="24"/>
        </w:rPr>
        <w:t>E</w:t>
      </w:r>
      <w:r w:rsidR="00714EAB" w:rsidRPr="00A26573">
        <w:rPr>
          <w:rFonts w:ascii="Arial" w:hAnsi="Arial" w:cs="Arial"/>
          <w:sz w:val="24"/>
          <w:szCs w:val="24"/>
        </w:rPr>
        <w:t>l</w:t>
      </w:r>
      <w:r w:rsidR="00714EAB" w:rsidRPr="001D7C04">
        <w:rPr>
          <w:rFonts w:ascii="Arial" w:hAnsi="Arial" w:cs="Arial"/>
          <w:sz w:val="24"/>
          <w:szCs w:val="24"/>
        </w:rPr>
        <w:t xml:space="preserve"> reconocimiento de </w:t>
      </w:r>
      <w:r w:rsidRPr="001D7C04">
        <w:rPr>
          <w:rFonts w:ascii="Arial" w:hAnsi="Arial" w:cs="Arial"/>
          <w:sz w:val="24"/>
          <w:szCs w:val="24"/>
        </w:rPr>
        <w:t xml:space="preserve">la </w:t>
      </w:r>
      <w:r w:rsidR="00714EAB" w:rsidRPr="001D7C04">
        <w:rPr>
          <w:rFonts w:ascii="Arial" w:hAnsi="Arial" w:cs="Arial"/>
          <w:sz w:val="24"/>
          <w:szCs w:val="24"/>
        </w:rPr>
        <w:t>pérdida por deterioro de $</w:t>
      </w:r>
      <w:r w:rsidR="005D373E">
        <w:rPr>
          <w:rFonts w:ascii="Arial" w:hAnsi="Arial" w:cs="Arial"/>
          <w:sz w:val="24"/>
          <w:szCs w:val="24"/>
        </w:rPr>
        <w:t xml:space="preserve"> </w:t>
      </w:r>
      <w:r w:rsidR="00714EAB" w:rsidRPr="001D7C04">
        <w:rPr>
          <w:rFonts w:ascii="Arial" w:hAnsi="Arial" w:cs="Arial"/>
          <w:sz w:val="24"/>
          <w:szCs w:val="24"/>
        </w:rPr>
        <w:t>1.441:705.926 en el valor</w:t>
      </w:r>
      <w:r w:rsidR="00114090" w:rsidRPr="001D7C04">
        <w:rPr>
          <w:rFonts w:ascii="Arial" w:hAnsi="Arial" w:cs="Arial"/>
          <w:sz w:val="24"/>
          <w:szCs w:val="24"/>
        </w:rPr>
        <w:t xml:space="preserve"> de “Propiedad, planta y equipo” de Cementos del Plata SA, </w:t>
      </w:r>
      <w:r w:rsidR="00714EAB" w:rsidRPr="001D7C04">
        <w:rPr>
          <w:rFonts w:ascii="Arial" w:hAnsi="Arial" w:cs="Arial"/>
          <w:sz w:val="24"/>
          <w:szCs w:val="24"/>
        </w:rPr>
        <w:t>relacionados al Negocio Cal</w:t>
      </w:r>
      <w:r w:rsidRPr="001D7C04">
        <w:rPr>
          <w:rFonts w:ascii="Arial" w:hAnsi="Arial" w:cs="Arial"/>
          <w:sz w:val="24"/>
          <w:szCs w:val="24"/>
        </w:rPr>
        <w:t>, siendo ANCAP propietari</w:t>
      </w:r>
      <w:r w:rsidR="001D7C04">
        <w:rPr>
          <w:rFonts w:ascii="Arial" w:hAnsi="Arial" w:cs="Arial"/>
          <w:sz w:val="24"/>
          <w:szCs w:val="24"/>
        </w:rPr>
        <w:t>a</w:t>
      </w:r>
      <w:r w:rsidRPr="001D7C04">
        <w:rPr>
          <w:rFonts w:ascii="Arial" w:hAnsi="Arial" w:cs="Arial"/>
          <w:sz w:val="24"/>
          <w:szCs w:val="24"/>
        </w:rPr>
        <w:t xml:space="preserve"> de</w:t>
      </w:r>
      <w:r w:rsidR="001D7C04">
        <w:rPr>
          <w:rFonts w:ascii="Arial" w:hAnsi="Arial" w:cs="Arial"/>
          <w:sz w:val="24"/>
          <w:szCs w:val="24"/>
        </w:rPr>
        <w:t>l</w:t>
      </w:r>
      <w:r w:rsidRPr="001D7C04">
        <w:rPr>
          <w:rFonts w:ascii="Arial" w:hAnsi="Arial" w:cs="Arial"/>
          <w:sz w:val="24"/>
          <w:szCs w:val="24"/>
        </w:rPr>
        <w:t xml:space="preserve"> </w:t>
      </w:r>
      <w:r w:rsidR="00714EAB" w:rsidRPr="00571249">
        <w:rPr>
          <w:rFonts w:ascii="Arial" w:hAnsi="Arial" w:cs="Arial"/>
          <w:sz w:val="24"/>
          <w:szCs w:val="24"/>
        </w:rPr>
        <w:t xml:space="preserve">99.80% </w:t>
      </w:r>
      <w:r w:rsidRPr="001D7C04">
        <w:rPr>
          <w:rFonts w:ascii="Arial" w:hAnsi="Arial" w:cs="Arial"/>
          <w:sz w:val="24"/>
          <w:szCs w:val="24"/>
        </w:rPr>
        <w:t xml:space="preserve">de su capital accionario </w:t>
      </w:r>
      <w:r w:rsidR="001D7C04">
        <w:rPr>
          <w:rFonts w:ascii="Arial" w:hAnsi="Arial" w:cs="Arial"/>
          <w:sz w:val="24"/>
          <w:szCs w:val="24"/>
        </w:rPr>
        <w:t xml:space="preserve">que corresponde a un </w:t>
      </w:r>
      <w:r w:rsidRPr="001D7C04">
        <w:rPr>
          <w:rFonts w:ascii="Arial" w:hAnsi="Arial" w:cs="Arial"/>
          <w:sz w:val="24"/>
          <w:szCs w:val="24"/>
        </w:rPr>
        <w:t>valor</w:t>
      </w:r>
      <w:r w:rsidR="00FC255F" w:rsidRPr="001D7C04">
        <w:rPr>
          <w:rFonts w:ascii="Arial" w:hAnsi="Arial" w:cs="Arial"/>
          <w:sz w:val="24"/>
          <w:szCs w:val="24"/>
        </w:rPr>
        <w:t xml:space="preserve"> </w:t>
      </w:r>
      <w:r w:rsidRPr="001D7C04">
        <w:rPr>
          <w:rFonts w:ascii="Arial" w:hAnsi="Arial" w:cs="Arial"/>
          <w:sz w:val="24"/>
          <w:szCs w:val="24"/>
        </w:rPr>
        <w:t xml:space="preserve">patrimonial proporcional </w:t>
      </w:r>
      <w:r w:rsidR="00FC255F" w:rsidRPr="001D7C04">
        <w:rPr>
          <w:rFonts w:ascii="Arial" w:hAnsi="Arial" w:cs="Arial"/>
          <w:sz w:val="24"/>
          <w:szCs w:val="24"/>
        </w:rPr>
        <w:t xml:space="preserve">de </w:t>
      </w:r>
      <w:r w:rsidRPr="001D7C04">
        <w:rPr>
          <w:rFonts w:ascii="Arial" w:hAnsi="Arial" w:cs="Arial"/>
          <w:sz w:val="24"/>
          <w:szCs w:val="24"/>
        </w:rPr>
        <w:t>$ 1.365:244.303.</w:t>
      </w:r>
    </w:p>
    <w:p w:rsidR="001F28AB" w:rsidRDefault="007023A9" w:rsidP="00DA7500">
      <w:pPr>
        <w:pStyle w:val="Prrafodelista"/>
        <w:keepNext/>
        <w:widowControl w:val="0"/>
        <w:numPr>
          <w:ilvl w:val="0"/>
          <w:numId w:val="24"/>
        </w:numPr>
        <w:spacing w:after="0" w:line="360" w:lineRule="auto"/>
        <w:jc w:val="both"/>
        <w:rPr>
          <w:rFonts w:ascii="Arial" w:hAnsi="Arial" w:cs="Arial"/>
          <w:sz w:val="24"/>
          <w:szCs w:val="24"/>
        </w:rPr>
      </w:pPr>
      <w:r>
        <w:rPr>
          <w:rFonts w:ascii="Arial" w:hAnsi="Arial" w:cs="Arial"/>
          <w:sz w:val="24"/>
          <w:szCs w:val="24"/>
        </w:rPr>
        <w:t>-</w:t>
      </w:r>
      <w:r w:rsidR="00714EAB" w:rsidRPr="001F28AB">
        <w:rPr>
          <w:rFonts w:ascii="Arial" w:hAnsi="Arial" w:cs="Arial"/>
          <w:sz w:val="24"/>
          <w:szCs w:val="24"/>
        </w:rPr>
        <w:t>L</w:t>
      </w:r>
      <w:r w:rsidR="003313B6" w:rsidRPr="001F28AB">
        <w:rPr>
          <w:rFonts w:ascii="Arial" w:hAnsi="Arial" w:cs="Arial"/>
          <w:sz w:val="24"/>
          <w:szCs w:val="24"/>
        </w:rPr>
        <w:t>a Nota</w:t>
      </w:r>
      <w:r w:rsidR="00C54266" w:rsidRPr="001F28AB">
        <w:rPr>
          <w:rFonts w:ascii="Arial" w:hAnsi="Arial" w:cs="Arial"/>
          <w:sz w:val="24"/>
          <w:szCs w:val="24"/>
        </w:rPr>
        <w:t xml:space="preserve"> </w:t>
      </w:r>
      <w:r w:rsidR="003313B6" w:rsidRPr="001F28AB">
        <w:rPr>
          <w:rFonts w:ascii="Arial" w:hAnsi="Arial" w:cs="Arial"/>
          <w:sz w:val="24"/>
          <w:szCs w:val="24"/>
        </w:rPr>
        <w:t>19.1</w:t>
      </w:r>
      <w:r w:rsidR="00C54266" w:rsidRPr="001F28AB">
        <w:rPr>
          <w:rFonts w:ascii="Arial" w:hAnsi="Arial" w:cs="Arial"/>
          <w:sz w:val="24"/>
          <w:szCs w:val="24"/>
        </w:rPr>
        <w:t xml:space="preserve"> </w:t>
      </w:r>
      <w:r w:rsidR="001D7C04" w:rsidRPr="001F28AB">
        <w:rPr>
          <w:rFonts w:ascii="Arial" w:hAnsi="Arial" w:cs="Arial"/>
          <w:sz w:val="24"/>
          <w:szCs w:val="24"/>
        </w:rPr>
        <w:t xml:space="preserve">a los Estados Financieros </w:t>
      </w:r>
      <w:r w:rsidR="00C54266" w:rsidRPr="001F28AB">
        <w:rPr>
          <w:rFonts w:ascii="Arial" w:hAnsi="Arial" w:cs="Arial"/>
          <w:sz w:val="24"/>
          <w:szCs w:val="24"/>
        </w:rPr>
        <w:t xml:space="preserve">con relación a </w:t>
      </w:r>
      <w:r w:rsidR="00F34A9A" w:rsidRPr="001F28AB">
        <w:rPr>
          <w:rFonts w:ascii="Arial" w:hAnsi="Arial" w:cs="Arial"/>
          <w:sz w:val="24"/>
          <w:szCs w:val="24"/>
        </w:rPr>
        <w:t>los valores de la participación en la empresa Gas Sayago SA sobre la que se expone la situación de incertidumbre inherente a las decisiones futuras a adoptar que podrían afectar el valor de la inversión que mantiene ANCAP, propietaria del 20.65% del capit</w:t>
      </w:r>
      <w:r w:rsidR="009526D4" w:rsidRPr="001F28AB">
        <w:rPr>
          <w:rFonts w:ascii="Arial" w:hAnsi="Arial" w:cs="Arial"/>
          <w:sz w:val="24"/>
          <w:szCs w:val="24"/>
        </w:rPr>
        <w:t xml:space="preserve">al accionario de dicha empresa, cuyo valor patrimonial proporcional </w:t>
      </w:r>
      <w:r w:rsidR="001D7C04" w:rsidRPr="001F28AB">
        <w:rPr>
          <w:rFonts w:ascii="Arial" w:hAnsi="Arial" w:cs="Arial"/>
          <w:sz w:val="24"/>
          <w:szCs w:val="24"/>
        </w:rPr>
        <w:t>totaliza</w:t>
      </w:r>
      <w:r w:rsidR="009526D4" w:rsidRPr="001F28AB">
        <w:rPr>
          <w:rFonts w:ascii="Arial" w:hAnsi="Arial" w:cs="Arial"/>
          <w:sz w:val="24"/>
          <w:szCs w:val="24"/>
        </w:rPr>
        <w:t xml:space="preserve"> </w:t>
      </w:r>
      <w:r w:rsidR="00F34A9A" w:rsidRPr="001F28AB">
        <w:rPr>
          <w:rFonts w:ascii="Arial" w:hAnsi="Arial" w:cs="Arial"/>
          <w:sz w:val="24"/>
          <w:szCs w:val="24"/>
        </w:rPr>
        <w:t>$ 197:452.727. Esta situación no ha sido evaluada por Gas Sayago SA</w:t>
      </w:r>
      <w:r w:rsidR="001D7C04" w:rsidRPr="001F28AB">
        <w:rPr>
          <w:rFonts w:ascii="Arial" w:hAnsi="Arial" w:cs="Arial"/>
          <w:sz w:val="24"/>
          <w:szCs w:val="24"/>
        </w:rPr>
        <w:t>, empresa</w:t>
      </w:r>
      <w:r w:rsidR="00F34A9A" w:rsidRPr="001F28AB">
        <w:rPr>
          <w:rFonts w:ascii="Arial" w:hAnsi="Arial" w:cs="Arial"/>
          <w:sz w:val="24"/>
          <w:szCs w:val="24"/>
        </w:rPr>
        <w:t xml:space="preserve"> en la que existen indicios de deterioro al 31/12/2015 y por lo tanto no ha sido verificado si los valores en libros de sus activos se ajustan al valor recuperable.</w:t>
      </w:r>
    </w:p>
    <w:p w:rsidR="00DA7500" w:rsidRDefault="00DA7500" w:rsidP="00DA7500">
      <w:pPr>
        <w:keepNext/>
        <w:widowControl w:val="0"/>
        <w:spacing w:after="0" w:line="360" w:lineRule="auto"/>
        <w:rPr>
          <w:rFonts w:cs="Arial"/>
          <w:szCs w:val="24"/>
        </w:rPr>
      </w:pPr>
    </w:p>
    <w:p w:rsidR="00DA7500" w:rsidRDefault="00DA7500" w:rsidP="00DA7500">
      <w:pPr>
        <w:keepNext/>
        <w:widowControl w:val="0"/>
        <w:spacing w:after="0" w:line="360" w:lineRule="auto"/>
        <w:rPr>
          <w:rFonts w:cs="Arial"/>
          <w:szCs w:val="24"/>
        </w:rPr>
      </w:pPr>
    </w:p>
    <w:p w:rsidR="00DA7500" w:rsidRDefault="00DA7500" w:rsidP="00DA7500">
      <w:pPr>
        <w:keepNext/>
        <w:widowControl w:val="0"/>
        <w:spacing w:after="0" w:line="360" w:lineRule="auto"/>
        <w:rPr>
          <w:rFonts w:cs="Arial"/>
          <w:szCs w:val="24"/>
        </w:rPr>
      </w:pPr>
    </w:p>
    <w:p w:rsidR="00DA7500" w:rsidRPr="00DA7500" w:rsidRDefault="00DA7500" w:rsidP="00DA7500">
      <w:pPr>
        <w:keepNext/>
        <w:widowControl w:val="0"/>
        <w:spacing w:after="0" w:line="360" w:lineRule="auto"/>
        <w:rPr>
          <w:rFonts w:cs="Arial"/>
          <w:szCs w:val="24"/>
        </w:rPr>
      </w:pPr>
    </w:p>
    <w:p w:rsidR="0028634B" w:rsidRPr="001F28AB" w:rsidRDefault="001F28AB" w:rsidP="005A7331">
      <w:pPr>
        <w:pStyle w:val="Prrafodelista"/>
        <w:keepNext/>
        <w:widowControl w:val="0"/>
        <w:spacing w:after="0" w:line="360" w:lineRule="auto"/>
        <w:jc w:val="both"/>
        <w:rPr>
          <w:rFonts w:ascii="Arial" w:hAnsi="Arial" w:cs="Arial"/>
          <w:sz w:val="24"/>
          <w:szCs w:val="24"/>
        </w:rPr>
      </w:pPr>
      <w:r>
        <w:rPr>
          <w:rFonts w:ascii="Arial" w:hAnsi="Arial" w:cs="Arial"/>
          <w:sz w:val="24"/>
          <w:szCs w:val="24"/>
        </w:rPr>
        <w:tab/>
      </w:r>
      <w:r w:rsidR="0028634B" w:rsidRPr="001F28AB">
        <w:rPr>
          <w:rFonts w:ascii="Arial" w:hAnsi="Arial" w:cs="Arial"/>
          <w:sz w:val="24"/>
          <w:szCs w:val="24"/>
        </w:rPr>
        <w:t>El cumplimiento de las disposiciones legales y reglamentarias vigentes relacionadas con los estados financieros que fueron objeto de examen en el transcurso de la auditoría, se expresa en el Dictamen sobre los Estados Financieros Consolidados.</w:t>
      </w:r>
    </w:p>
    <w:p w:rsidR="0046744B" w:rsidRDefault="0046744B" w:rsidP="005A7331">
      <w:pPr>
        <w:keepNext/>
        <w:widowControl w:val="0"/>
        <w:spacing w:after="0" w:line="360" w:lineRule="auto"/>
        <w:jc w:val="center"/>
        <w:rPr>
          <w:rFonts w:cs="Arial"/>
          <w:b/>
          <w:bCs/>
          <w:szCs w:val="24"/>
        </w:rPr>
      </w:pPr>
    </w:p>
    <w:p w:rsidR="0046744B" w:rsidRDefault="0046744B" w:rsidP="005A7331">
      <w:pPr>
        <w:keepNext/>
        <w:widowControl w:val="0"/>
        <w:spacing w:after="0" w:line="360" w:lineRule="auto"/>
        <w:jc w:val="center"/>
        <w:rPr>
          <w:rFonts w:cs="Arial"/>
          <w:b/>
          <w:bCs/>
          <w:szCs w:val="24"/>
        </w:rPr>
      </w:pPr>
    </w:p>
    <w:p w:rsidR="0046744B" w:rsidRDefault="0046744B" w:rsidP="005A7331">
      <w:pPr>
        <w:keepNext/>
        <w:widowControl w:val="0"/>
        <w:spacing w:after="0" w:line="360" w:lineRule="auto"/>
        <w:jc w:val="center"/>
        <w:rPr>
          <w:rFonts w:cs="Arial"/>
          <w:b/>
          <w:bCs/>
          <w:szCs w:val="24"/>
        </w:rPr>
      </w:pPr>
    </w:p>
    <w:p w:rsidR="00C47CD1" w:rsidRPr="00571249" w:rsidRDefault="00C47CD1" w:rsidP="005A7331">
      <w:pPr>
        <w:keepNext/>
        <w:widowControl w:val="0"/>
        <w:spacing w:after="0" w:line="240" w:lineRule="auto"/>
        <w:jc w:val="center"/>
        <w:rPr>
          <w:rFonts w:cs="Arial"/>
          <w:b/>
          <w:bCs/>
          <w:szCs w:val="24"/>
        </w:rPr>
      </w:pPr>
      <w:r w:rsidRPr="00571249">
        <w:rPr>
          <w:rFonts w:cs="Arial"/>
          <w:b/>
          <w:bCs/>
          <w:szCs w:val="24"/>
        </w:rPr>
        <w:t>INFORME A LA ADMINISTRACIÓN</w:t>
      </w:r>
    </w:p>
    <w:p w:rsidR="0046744B" w:rsidRDefault="0046744B" w:rsidP="005A7331">
      <w:pPr>
        <w:pStyle w:val="Textoindependiente"/>
        <w:keepNext/>
        <w:widowControl w:val="0"/>
        <w:rPr>
          <w:rFonts w:ascii="Arial" w:hAnsi="Arial" w:cs="Arial"/>
          <w:sz w:val="24"/>
          <w:szCs w:val="24"/>
        </w:rPr>
      </w:pPr>
    </w:p>
    <w:p w:rsidR="00C47CD1" w:rsidRPr="001D7C04" w:rsidRDefault="00C47CD1" w:rsidP="005A7331">
      <w:pPr>
        <w:pStyle w:val="Textoindependiente"/>
        <w:keepNext/>
        <w:widowControl w:val="0"/>
        <w:spacing w:line="360" w:lineRule="auto"/>
        <w:ind w:firstLine="708"/>
        <w:rPr>
          <w:rFonts w:ascii="Arial" w:hAnsi="Arial" w:cs="Arial"/>
          <w:sz w:val="24"/>
          <w:szCs w:val="24"/>
        </w:rPr>
      </w:pPr>
      <w:r w:rsidRPr="00571249">
        <w:rPr>
          <w:rFonts w:ascii="Arial" w:hAnsi="Arial" w:cs="Arial"/>
          <w:sz w:val="24"/>
          <w:szCs w:val="24"/>
        </w:rPr>
        <w:t xml:space="preserve">El Tribunal de Cuentas ha examinado los </w:t>
      </w:r>
      <w:r w:rsidR="000F227A" w:rsidRPr="00571249">
        <w:rPr>
          <w:rFonts w:ascii="Arial" w:hAnsi="Arial" w:cs="Arial"/>
          <w:sz w:val="24"/>
          <w:szCs w:val="24"/>
        </w:rPr>
        <w:t>e</w:t>
      </w:r>
      <w:r w:rsidRPr="00571249">
        <w:rPr>
          <w:rFonts w:ascii="Arial" w:hAnsi="Arial" w:cs="Arial"/>
          <w:sz w:val="24"/>
          <w:szCs w:val="24"/>
        </w:rPr>
        <w:t xml:space="preserve">stados </w:t>
      </w:r>
      <w:r w:rsidR="000F227A" w:rsidRPr="00571249">
        <w:rPr>
          <w:rFonts w:ascii="Arial" w:hAnsi="Arial" w:cs="Arial"/>
          <w:sz w:val="24"/>
          <w:szCs w:val="24"/>
        </w:rPr>
        <w:t>f</w:t>
      </w:r>
      <w:r w:rsidRPr="00571249">
        <w:rPr>
          <w:rFonts w:ascii="Arial" w:hAnsi="Arial" w:cs="Arial"/>
          <w:sz w:val="24"/>
          <w:szCs w:val="24"/>
        </w:rPr>
        <w:t xml:space="preserve">inancieros </w:t>
      </w:r>
      <w:r w:rsidR="000F227A" w:rsidRPr="00571249">
        <w:rPr>
          <w:rFonts w:ascii="Arial" w:hAnsi="Arial" w:cs="Arial"/>
          <w:sz w:val="24"/>
          <w:szCs w:val="24"/>
        </w:rPr>
        <w:t>c</w:t>
      </w:r>
      <w:r w:rsidRPr="00571249">
        <w:rPr>
          <w:rFonts w:ascii="Arial" w:hAnsi="Arial" w:cs="Arial"/>
          <w:sz w:val="24"/>
          <w:szCs w:val="24"/>
        </w:rPr>
        <w:t xml:space="preserve">onsolidados e </w:t>
      </w:r>
      <w:r w:rsidR="000F227A" w:rsidRPr="00571249">
        <w:rPr>
          <w:rFonts w:ascii="Arial" w:hAnsi="Arial" w:cs="Arial"/>
          <w:sz w:val="24"/>
          <w:szCs w:val="24"/>
        </w:rPr>
        <w:t>i</w:t>
      </w:r>
      <w:r w:rsidRPr="00571249">
        <w:rPr>
          <w:rFonts w:ascii="Arial" w:hAnsi="Arial" w:cs="Arial"/>
          <w:sz w:val="24"/>
          <w:szCs w:val="24"/>
        </w:rPr>
        <w:t>ndividuales de la Administración Nacional de Combustibles, Alcohol y Portland (ANCAP), por el ejercicio finalizado el 31 de diciembre de 2015 y ha emitido su Dictamen.</w:t>
      </w:r>
    </w:p>
    <w:p w:rsidR="00C47CD1" w:rsidRPr="00571249" w:rsidRDefault="00C47CD1" w:rsidP="005A7331">
      <w:pPr>
        <w:keepNext/>
        <w:widowControl w:val="0"/>
        <w:spacing w:after="0" w:line="360" w:lineRule="auto"/>
        <w:ind w:firstLine="708"/>
        <w:rPr>
          <w:rFonts w:cs="Arial"/>
          <w:szCs w:val="24"/>
        </w:rPr>
      </w:pPr>
      <w:r w:rsidRPr="00571249">
        <w:rPr>
          <w:rFonts w:cs="Arial"/>
          <w:szCs w:val="24"/>
        </w:rPr>
        <w:t>Este informe contiene consideraciones relativas a la evaluación de control interno efectuada para establecer la naturaleza, oportunidad y alcance de los procedimientos de auditoría orientados a emitir opinión sobre los referidos estados.</w:t>
      </w:r>
    </w:p>
    <w:p w:rsidR="00C47CD1" w:rsidRPr="00571249" w:rsidRDefault="0046744B" w:rsidP="005A7331">
      <w:pPr>
        <w:pStyle w:val="Textoindependiente"/>
        <w:keepNext/>
        <w:widowControl w:val="0"/>
        <w:spacing w:line="360" w:lineRule="auto"/>
        <w:ind w:firstLine="708"/>
        <w:rPr>
          <w:rFonts w:ascii="Arial" w:hAnsi="Arial" w:cs="Arial"/>
          <w:sz w:val="24"/>
          <w:szCs w:val="24"/>
        </w:rPr>
      </w:pPr>
      <w:r>
        <w:rPr>
          <w:rFonts w:ascii="Arial" w:hAnsi="Arial" w:cs="Arial"/>
          <w:sz w:val="24"/>
          <w:szCs w:val="24"/>
        </w:rPr>
        <w:t>Se incluyen</w:t>
      </w:r>
      <w:r w:rsidR="00C47CD1" w:rsidRPr="00571249">
        <w:rPr>
          <w:rFonts w:ascii="Arial" w:hAnsi="Arial" w:cs="Arial"/>
          <w:sz w:val="24"/>
          <w:szCs w:val="24"/>
        </w:rPr>
        <w:t xml:space="preserve"> además, comentarios que se ha entendido conveniente exponer, relacionados a la situación de determinados capítulos y rubros de los estados examinados y al grado de cumplimiento de las disposiciones legales vigentes.</w:t>
      </w:r>
    </w:p>
    <w:p w:rsidR="00C47CD1" w:rsidRPr="00571249" w:rsidRDefault="00C47CD1" w:rsidP="005A7331">
      <w:pPr>
        <w:pStyle w:val="Textoindependiente"/>
        <w:keepNext/>
        <w:widowControl w:val="0"/>
        <w:spacing w:line="360" w:lineRule="auto"/>
        <w:ind w:firstLine="708"/>
        <w:rPr>
          <w:rFonts w:ascii="Arial" w:hAnsi="Arial" w:cs="Arial"/>
          <w:sz w:val="24"/>
          <w:szCs w:val="24"/>
        </w:rPr>
      </w:pPr>
      <w:r w:rsidRPr="00571249">
        <w:rPr>
          <w:rFonts w:ascii="Arial" w:hAnsi="Arial" w:cs="Arial"/>
          <w:sz w:val="24"/>
          <w:szCs w:val="24"/>
        </w:rPr>
        <w:t>También se agregan recomendaciones que el Organismo deberá atender</w:t>
      </w:r>
      <w:r w:rsidRPr="00C51528">
        <w:rPr>
          <w:rFonts w:ascii="Arial" w:hAnsi="Arial" w:cs="Arial"/>
          <w:sz w:val="24"/>
          <w:szCs w:val="24"/>
        </w:rPr>
        <w:t xml:space="preserve"> y </w:t>
      </w:r>
      <w:r w:rsidR="00BC50A9" w:rsidRPr="00C51528">
        <w:rPr>
          <w:rFonts w:ascii="Arial" w:hAnsi="Arial" w:cs="Arial"/>
          <w:sz w:val="24"/>
          <w:szCs w:val="24"/>
        </w:rPr>
        <w:t>una</w:t>
      </w:r>
      <w:r w:rsidR="0028020E" w:rsidRPr="00C51528">
        <w:rPr>
          <w:rFonts w:ascii="Arial" w:hAnsi="Arial" w:cs="Arial"/>
          <w:sz w:val="24"/>
          <w:szCs w:val="24"/>
        </w:rPr>
        <w:t xml:space="preserve"> </w:t>
      </w:r>
      <w:r w:rsidRPr="00C51528">
        <w:rPr>
          <w:rFonts w:ascii="Arial" w:hAnsi="Arial" w:cs="Arial"/>
          <w:sz w:val="24"/>
          <w:szCs w:val="24"/>
        </w:rPr>
        <w:t>evaluación del cumplimiento de las recomendaciones presentadas en el</w:t>
      </w:r>
      <w:r w:rsidRPr="00571249">
        <w:rPr>
          <w:rFonts w:ascii="Arial" w:hAnsi="Arial" w:cs="Arial"/>
          <w:sz w:val="24"/>
          <w:szCs w:val="24"/>
        </w:rPr>
        <w:t xml:space="preserve"> informe de auditoría del ejercicio anterior.</w:t>
      </w:r>
    </w:p>
    <w:p w:rsidR="00C47CD1" w:rsidRPr="00571249" w:rsidRDefault="0046744B" w:rsidP="005A7331">
      <w:pPr>
        <w:keepNext/>
        <w:widowControl w:val="0"/>
        <w:spacing w:after="0" w:line="360" w:lineRule="auto"/>
        <w:rPr>
          <w:rFonts w:cs="Arial"/>
          <w:b/>
          <w:szCs w:val="24"/>
        </w:rPr>
      </w:pPr>
      <w:r>
        <w:rPr>
          <w:rFonts w:cs="Arial"/>
          <w:b/>
          <w:szCs w:val="24"/>
        </w:rPr>
        <w:t xml:space="preserve">1) </w:t>
      </w:r>
      <w:r w:rsidR="00C47CD1" w:rsidRPr="00571249">
        <w:rPr>
          <w:rFonts w:cs="Arial"/>
          <w:b/>
          <w:szCs w:val="24"/>
        </w:rPr>
        <w:t>Presentación de los estados financieros</w:t>
      </w:r>
    </w:p>
    <w:p w:rsidR="00C47CD1" w:rsidRPr="001D7C04" w:rsidRDefault="00C47CD1" w:rsidP="005A7331">
      <w:pPr>
        <w:pStyle w:val="Prrafodelista"/>
        <w:keepNext/>
        <w:widowControl w:val="0"/>
        <w:spacing w:after="0" w:line="360" w:lineRule="auto"/>
        <w:ind w:left="0" w:firstLine="708"/>
        <w:jc w:val="both"/>
        <w:rPr>
          <w:rFonts w:ascii="Arial" w:hAnsi="Arial" w:cs="Arial"/>
          <w:spacing w:val="-3"/>
          <w:sz w:val="24"/>
          <w:szCs w:val="24"/>
          <w:lang w:val="es-ES_tradnl"/>
        </w:rPr>
      </w:pPr>
      <w:r w:rsidRPr="001D7C04">
        <w:rPr>
          <w:rFonts w:ascii="Arial" w:hAnsi="Arial" w:cs="Arial"/>
          <w:bCs/>
          <w:sz w:val="24"/>
          <w:szCs w:val="24"/>
        </w:rPr>
        <w:t>Los estados financieros consolidados e individuales de ANCAP correspondientes al ejercicio finalizado el 31</w:t>
      </w:r>
      <w:r w:rsidR="008A4566">
        <w:rPr>
          <w:rFonts w:ascii="Arial" w:hAnsi="Arial" w:cs="Arial"/>
          <w:bCs/>
          <w:sz w:val="24"/>
          <w:szCs w:val="24"/>
        </w:rPr>
        <w:t>/12/</w:t>
      </w:r>
      <w:r w:rsidRPr="001D7C04">
        <w:rPr>
          <w:rFonts w:ascii="Arial" w:hAnsi="Arial" w:cs="Arial"/>
          <w:bCs/>
          <w:sz w:val="24"/>
          <w:szCs w:val="24"/>
        </w:rPr>
        <w:t>2015, fueron aprobados por R</w:t>
      </w:r>
      <w:r w:rsidR="008A4566">
        <w:rPr>
          <w:rFonts w:ascii="Arial" w:hAnsi="Arial" w:cs="Arial"/>
          <w:bCs/>
          <w:sz w:val="24"/>
          <w:szCs w:val="24"/>
        </w:rPr>
        <w:t>.D.</w:t>
      </w:r>
      <w:r w:rsidRPr="001D7C04">
        <w:rPr>
          <w:rFonts w:ascii="Arial" w:hAnsi="Arial" w:cs="Arial"/>
          <w:sz w:val="24"/>
          <w:szCs w:val="24"/>
          <w:lang w:val="es-ES_tradnl"/>
        </w:rPr>
        <w:t xml:space="preserve">Nº 268/4/2016 </w:t>
      </w:r>
      <w:r w:rsidRPr="001D7C04">
        <w:rPr>
          <w:rFonts w:ascii="Arial" w:hAnsi="Arial" w:cs="Arial"/>
          <w:spacing w:val="-3"/>
          <w:sz w:val="24"/>
          <w:szCs w:val="24"/>
          <w:lang w:val="es-ES_tradnl"/>
        </w:rPr>
        <w:t>de fecha 26</w:t>
      </w:r>
      <w:r w:rsidR="0046744B">
        <w:rPr>
          <w:rFonts w:ascii="Arial" w:hAnsi="Arial" w:cs="Arial"/>
          <w:spacing w:val="-3"/>
          <w:sz w:val="24"/>
          <w:szCs w:val="24"/>
          <w:lang w:val="es-ES_tradnl"/>
        </w:rPr>
        <w:t>/04/16</w:t>
      </w:r>
      <w:r w:rsidRPr="001D7C04">
        <w:rPr>
          <w:rFonts w:ascii="Arial" w:hAnsi="Arial" w:cs="Arial"/>
          <w:spacing w:val="-3"/>
          <w:sz w:val="24"/>
          <w:szCs w:val="24"/>
          <w:lang w:val="es-ES_tradnl"/>
        </w:rPr>
        <w:t xml:space="preserve"> y remitidos al Tribunal de Cuentas el 29</w:t>
      </w:r>
      <w:r w:rsidR="0046744B">
        <w:rPr>
          <w:rFonts w:ascii="Arial" w:hAnsi="Arial" w:cs="Arial"/>
          <w:spacing w:val="-3"/>
          <w:sz w:val="24"/>
          <w:szCs w:val="24"/>
          <w:lang w:val="es-ES_tradnl"/>
        </w:rPr>
        <w:t>/04/1</w:t>
      </w:r>
      <w:r w:rsidRPr="001D7C04">
        <w:rPr>
          <w:rFonts w:ascii="Arial" w:hAnsi="Arial" w:cs="Arial"/>
          <w:spacing w:val="-3"/>
          <w:sz w:val="24"/>
          <w:szCs w:val="24"/>
          <w:lang w:val="es-ES_tradnl"/>
        </w:rPr>
        <w:t>6. El Tribunal de Cuentas otorgó a ANCAP en forma excepcional una prórroga hasta el 30</w:t>
      </w:r>
      <w:r w:rsidR="0046744B">
        <w:rPr>
          <w:rFonts w:ascii="Arial" w:hAnsi="Arial" w:cs="Arial"/>
          <w:spacing w:val="-3"/>
          <w:sz w:val="24"/>
          <w:szCs w:val="24"/>
          <w:lang w:val="es-ES_tradnl"/>
        </w:rPr>
        <w:t>/04/</w:t>
      </w:r>
      <w:r w:rsidR="00BC50A9" w:rsidRPr="001D7C04">
        <w:rPr>
          <w:rFonts w:ascii="Arial" w:hAnsi="Arial" w:cs="Arial"/>
          <w:spacing w:val="-3"/>
          <w:sz w:val="24"/>
          <w:szCs w:val="24"/>
          <w:lang w:val="es-ES_tradnl"/>
        </w:rPr>
        <w:t>16</w:t>
      </w:r>
      <w:r w:rsidRPr="001D7C04">
        <w:rPr>
          <w:rFonts w:ascii="Arial" w:hAnsi="Arial" w:cs="Arial"/>
          <w:spacing w:val="-3"/>
          <w:sz w:val="24"/>
          <w:szCs w:val="24"/>
          <w:lang w:val="es-ES_tradnl"/>
        </w:rPr>
        <w:t xml:space="preserve"> para presentar los estados contables consolidados.</w:t>
      </w:r>
    </w:p>
    <w:p w:rsidR="009F6A2E" w:rsidRPr="00571249" w:rsidRDefault="00C47CD1" w:rsidP="005A7331">
      <w:pPr>
        <w:keepNext/>
        <w:widowControl w:val="0"/>
        <w:spacing w:after="0" w:line="360" w:lineRule="auto"/>
        <w:ind w:firstLine="708"/>
        <w:rPr>
          <w:rFonts w:cs="Arial"/>
          <w:spacing w:val="-3"/>
          <w:szCs w:val="24"/>
          <w:lang w:val="es-ES_tradnl"/>
        </w:rPr>
      </w:pPr>
      <w:r w:rsidRPr="00571249">
        <w:rPr>
          <w:rFonts w:cs="Arial"/>
          <w:spacing w:val="-3"/>
          <w:szCs w:val="24"/>
          <w:lang w:val="es-ES_tradnl"/>
        </w:rPr>
        <w:t xml:space="preserve">Dichos </w:t>
      </w:r>
      <w:r w:rsidR="00AA547C" w:rsidRPr="00571249">
        <w:rPr>
          <w:rFonts w:cs="Arial"/>
          <w:spacing w:val="-3"/>
          <w:szCs w:val="24"/>
          <w:lang w:val="es-ES_tradnl"/>
        </w:rPr>
        <w:t>e</w:t>
      </w:r>
      <w:r w:rsidRPr="00571249">
        <w:rPr>
          <w:rFonts w:cs="Arial"/>
          <w:spacing w:val="-3"/>
          <w:szCs w:val="24"/>
          <w:lang w:val="es-ES_tradnl"/>
        </w:rPr>
        <w:t xml:space="preserve">stados </w:t>
      </w:r>
      <w:r w:rsidR="00AA547C" w:rsidRPr="00571249">
        <w:rPr>
          <w:rFonts w:cs="Arial"/>
          <w:spacing w:val="-3"/>
          <w:szCs w:val="24"/>
          <w:lang w:val="es-ES_tradnl"/>
        </w:rPr>
        <w:t xml:space="preserve">financieros </w:t>
      </w:r>
      <w:r w:rsidRPr="00571249">
        <w:rPr>
          <w:rFonts w:cs="Arial"/>
          <w:spacing w:val="-3"/>
          <w:szCs w:val="24"/>
          <w:lang w:val="es-ES_tradnl"/>
        </w:rPr>
        <w:t xml:space="preserve">se presentan de acuerdo a las normas contables adecuadas en </w:t>
      </w:r>
      <w:r w:rsidR="00AA547C" w:rsidRPr="00571249">
        <w:rPr>
          <w:rFonts w:cs="Arial"/>
          <w:spacing w:val="-3"/>
          <w:szCs w:val="24"/>
          <w:lang w:val="es-ES_tradnl"/>
        </w:rPr>
        <w:t xml:space="preserve">el </w:t>
      </w:r>
      <w:r w:rsidRPr="00571249">
        <w:rPr>
          <w:rFonts w:cs="Arial"/>
          <w:spacing w:val="-3"/>
          <w:szCs w:val="24"/>
          <w:lang w:val="es-ES_tradnl"/>
        </w:rPr>
        <w:t>Uruguay, los criterios establecidos por la Ordenanza N° 81 relativ</w:t>
      </w:r>
      <w:r w:rsidR="00AA547C" w:rsidRPr="00571249">
        <w:rPr>
          <w:rFonts w:cs="Arial"/>
          <w:spacing w:val="-3"/>
          <w:szCs w:val="24"/>
          <w:lang w:val="es-ES_tradnl"/>
        </w:rPr>
        <w:t>os</w:t>
      </w:r>
      <w:r w:rsidRPr="00571249">
        <w:rPr>
          <w:rFonts w:cs="Arial"/>
          <w:spacing w:val="-3"/>
          <w:szCs w:val="24"/>
          <w:lang w:val="es-ES_tradnl"/>
        </w:rPr>
        <w:t xml:space="preserve"> a la remisión de los estados financieros consolidados.</w:t>
      </w:r>
    </w:p>
    <w:p w:rsidR="00C47CD1" w:rsidRPr="00571249" w:rsidRDefault="00C47CD1" w:rsidP="005A7331">
      <w:pPr>
        <w:keepNext/>
        <w:widowControl w:val="0"/>
        <w:spacing w:after="0" w:line="360" w:lineRule="auto"/>
        <w:ind w:firstLine="708"/>
        <w:rPr>
          <w:rFonts w:cs="Arial"/>
          <w:spacing w:val="-3"/>
          <w:szCs w:val="24"/>
          <w:lang w:val="es-ES_tradnl"/>
        </w:rPr>
      </w:pPr>
      <w:r w:rsidRPr="00571249">
        <w:rPr>
          <w:rFonts w:cs="Arial"/>
          <w:spacing w:val="-3"/>
          <w:szCs w:val="24"/>
          <w:lang w:val="es-ES_tradnl"/>
        </w:rPr>
        <w:t xml:space="preserve">Los estados financieros de ANCAP al 31 de diciembre de 2015 fueron consolidados con los correspondientes a sus subsidiarias </w:t>
      </w:r>
      <w:proofErr w:type="spellStart"/>
      <w:r w:rsidR="0046744B">
        <w:rPr>
          <w:rFonts w:cs="Arial"/>
          <w:szCs w:val="24"/>
        </w:rPr>
        <w:t>Petrouruguay</w:t>
      </w:r>
      <w:proofErr w:type="spellEnd"/>
      <w:r w:rsidR="0046744B">
        <w:rPr>
          <w:rFonts w:cs="Arial"/>
          <w:szCs w:val="24"/>
        </w:rPr>
        <w:t xml:space="preserve"> S</w:t>
      </w:r>
      <w:r w:rsidRPr="00571249">
        <w:rPr>
          <w:rFonts w:cs="Arial"/>
          <w:szCs w:val="24"/>
        </w:rPr>
        <w:t xml:space="preserve">A, CABA SA, </w:t>
      </w:r>
      <w:proofErr w:type="spellStart"/>
      <w:r w:rsidRPr="00571249">
        <w:rPr>
          <w:rFonts w:cs="Arial"/>
          <w:szCs w:val="24"/>
        </w:rPr>
        <w:t>Pamacor</w:t>
      </w:r>
      <w:proofErr w:type="spellEnd"/>
      <w:r w:rsidRPr="00571249">
        <w:rPr>
          <w:rFonts w:cs="Arial"/>
          <w:szCs w:val="24"/>
        </w:rPr>
        <w:t xml:space="preserve"> SA, DUCSA, ALUR SA, Cementos del Plata SA, ANCSOL SA y </w:t>
      </w:r>
      <w:r w:rsidRPr="00571249">
        <w:rPr>
          <w:rFonts w:cs="Arial"/>
          <w:spacing w:val="-3"/>
          <w:szCs w:val="24"/>
          <w:lang w:val="es-ES_tradnl"/>
        </w:rPr>
        <w:t xml:space="preserve"> ATS SA.</w:t>
      </w:r>
    </w:p>
    <w:p w:rsidR="00950602" w:rsidRPr="00571249" w:rsidRDefault="00950602" w:rsidP="005A7331">
      <w:pPr>
        <w:keepNext/>
        <w:widowControl w:val="0"/>
        <w:autoSpaceDE w:val="0"/>
        <w:autoSpaceDN w:val="0"/>
        <w:adjustRightInd w:val="0"/>
        <w:spacing w:after="0" w:line="360" w:lineRule="auto"/>
        <w:rPr>
          <w:rFonts w:eastAsiaTheme="minorHAnsi" w:cs="Arial"/>
          <w:szCs w:val="24"/>
        </w:rPr>
      </w:pPr>
    </w:p>
    <w:p w:rsidR="00C47CD1" w:rsidRPr="00571249" w:rsidRDefault="000F1F50" w:rsidP="005A7331">
      <w:pPr>
        <w:keepNext/>
        <w:widowControl w:val="0"/>
        <w:spacing w:after="0" w:line="360" w:lineRule="auto"/>
        <w:rPr>
          <w:rFonts w:cs="Arial"/>
          <w:b/>
          <w:szCs w:val="24"/>
        </w:rPr>
      </w:pPr>
      <w:r>
        <w:rPr>
          <w:rFonts w:cs="Arial"/>
          <w:b/>
          <w:spacing w:val="-3"/>
          <w:szCs w:val="24"/>
          <w:lang w:val="es-ES_tradnl"/>
        </w:rPr>
        <w:t>2</w:t>
      </w:r>
      <w:r w:rsidR="0021016E" w:rsidRPr="00571249">
        <w:rPr>
          <w:rFonts w:cs="Arial"/>
          <w:b/>
          <w:spacing w:val="-3"/>
          <w:szCs w:val="24"/>
          <w:lang w:val="es-ES_tradnl"/>
        </w:rPr>
        <w:t xml:space="preserve"> </w:t>
      </w:r>
      <w:r w:rsidR="00C47CD1" w:rsidRPr="00571249">
        <w:rPr>
          <w:rFonts w:cs="Arial"/>
          <w:b/>
          <w:szCs w:val="24"/>
        </w:rPr>
        <w:t>Evaluación de control interno</w:t>
      </w:r>
    </w:p>
    <w:p w:rsidR="00C47CD1" w:rsidRPr="001D7C04" w:rsidRDefault="00C47CD1" w:rsidP="005A7331">
      <w:pPr>
        <w:pStyle w:val="Textoindependiente"/>
        <w:keepNext/>
        <w:widowControl w:val="0"/>
        <w:spacing w:line="360" w:lineRule="auto"/>
        <w:ind w:firstLine="708"/>
        <w:rPr>
          <w:rFonts w:ascii="Arial" w:hAnsi="Arial" w:cs="Arial"/>
          <w:sz w:val="24"/>
          <w:szCs w:val="24"/>
        </w:rPr>
      </w:pPr>
      <w:r w:rsidRPr="001D7C04">
        <w:rPr>
          <w:rFonts w:ascii="Arial" w:hAnsi="Arial" w:cs="Arial"/>
          <w:sz w:val="24"/>
          <w:szCs w:val="24"/>
        </w:rPr>
        <w:t xml:space="preserve">El examen de los aspectos de control interno relevantes para la preparación y presentación razonable de los estados financieros, permitió constatar las siguientes debilidades en relación a las actividades de control, información financiera y cumplimiento de normas legales, si bien </w:t>
      </w:r>
      <w:r w:rsidRPr="001D7C04">
        <w:rPr>
          <w:rFonts w:ascii="Arial" w:hAnsi="Arial" w:cs="Arial"/>
          <w:bCs/>
          <w:sz w:val="24"/>
          <w:szCs w:val="24"/>
        </w:rPr>
        <w:t>no significan una opinión sobre la eficiencia del sistema de control interno</w:t>
      </w:r>
      <w:r w:rsidRPr="001D7C04">
        <w:rPr>
          <w:rFonts w:ascii="Arial" w:hAnsi="Arial" w:cs="Arial"/>
          <w:sz w:val="24"/>
          <w:szCs w:val="24"/>
        </w:rPr>
        <w:t>:</w:t>
      </w:r>
    </w:p>
    <w:p w:rsidR="00C47CD1" w:rsidRPr="00571249" w:rsidRDefault="000F1F50" w:rsidP="005A7331">
      <w:pPr>
        <w:keepNext/>
        <w:widowControl w:val="0"/>
        <w:spacing w:after="0" w:line="360" w:lineRule="auto"/>
        <w:rPr>
          <w:rFonts w:cs="Arial"/>
          <w:b/>
          <w:szCs w:val="24"/>
        </w:rPr>
      </w:pPr>
      <w:r>
        <w:rPr>
          <w:rFonts w:cs="Arial"/>
          <w:b/>
          <w:bCs/>
          <w:szCs w:val="24"/>
        </w:rPr>
        <w:t>2</w:t>
      </w:r>
      <w:r w:rsidR="00C47CD1" w:rsidRPr="00571249">
        <w:rPr>
          <w:rFonts w:cs="Arial"/>
          <w:b/>
          <w:bCs/>
          <w:szCs w:val="24"/>
        </w:rPr>
        <w:t>.1</w:t>
      </w:r>
      <w:r w:rsidR="00C47CD1" w:rsidRPr="00571249">
        <w:rPr>
          <w:rFonts w:cs="Arial"/>
          <w:bCs/>
          <w:szCs w:val="24"/>
        </w:rPr>
        <w:t xml:space="preserve"> </w:t>
      </w:r>
      <w:r w:rsidR="00621628" w:rsidRPr="00571249">
        <w:rPr>
          <w:rFonts w:cs="Arial"/>
          <w:b/>
          <w:szCs w:val="24"/>
        </w:rPr>
        <w:t>Inversiones en empresas: subsidiarias, asociadas, negocios conjuntos.</w:t>
      </w:r>
    </w:p>
    <w:p w:rsidR="00BC43FE" w:rsidRPr="00571249" w:rsidRDefault="00C47CD1" w:rsidP="005A7331">
      <w:pPr>
        <w:keepNext/>
        <w:widowControl w:val="0"/>
        <w:spacing w:after="0" w:line="360" w:lineRule="auto"/>
        <w:ind w:firstLine="284"/>
        <w:rPr>
          <w:rFonts w:cs="Arial"/>
          <w:szCs w:val="24"/>
        </w:rPr>
      </w:pPr>
      <w:r w:rsidRPr="00571249">
        <w:rPr>
          <w:rFonts w:cs="Arial"/>
          <w:szCs w:val="24"/>
        </w:rPr>
        <w:t>De acuerdo a l</w:t>
      </w:r>
      <w:r w:rsidR="00BE3443" w:rsidRPr="00571249">
        <w:rPr>
          <w:rFonts w:cs="Arial"/>
          <w:szCs w:val="24"/>
        </w:rPr>
        <w:t xml:space="preserve">a información revelada en los </w:t>
      </w:r>
      <w:r w:rsidR="009F6A2E" w:rsidRPr="00571249">
        <w:rPr>
          <w:rFonts w:cs="Arial"/>
          <w:szCs w:val="24"/>
        </w:rPr>
        <w:t>e</w:t>
      </w:r>
      <w:r w:rsidR="00BE3443" w:rsidRPr="00571249">
        <w:rPr>
          <w:rFonts w:cs="Arial"/>
          <w:szCs w:val="24"/>
        </w:rPr>
        <w:t xml:space="preserve">stados </w:t>
      </w:r>
      <w:r w:rsidR="009F6A2E" w:rsidRPr="00571249">
        <w:rPr>
          <w:rFonts w:cs="Arial"/>
          <w:szCs w:val="24"/>
        </w:rPr>
        <w:t>financieros</w:t>
      </w:r>
      <w:r w:rsidR="00BE3443" w:rsidRPr="00571249">
        <w:rPr>
          <w:rFonts w:cs="Arial"/>
          <w:szCs w:val="24"/>
        </w:rPr>
        <w:t xml:space="preserve"> </w:t>
      </w:r>
      <w:r w:rsidR="005F6B0F" w:rsidRPr="00571249">
        <w:rPr>
          <w:rFonts w:cs="Arial"/>
          <w:szCs w:val="24"/>
        </w:rPr>
        <w:t xml:space="preserve">auditados </w:t>
      </w:r>
      <w:r w:rsidR="00BC43FE" w:rsidRPr="00571249">
        <w:rPr>
          <w:rFonts w:cs="Arial"/>
          <w:szCs w:val="24"/>
        </w:rPr>
        <w:t xml:space="preserve">con relación a los deterioros </w:t>
      </w:r>
      <w:r w:rsidR="009F6A2E" w:rsidRPr="00571249">
        <w:rPr>
          <w:rFonts w:cs="Arial"/>
          <w:szCs w:val="24"/>
        </w:rPr>
        <w:t>del valor de los activos en estas empresas</w:t>
      </w:r>
      <w:r w:rsidR="00BC43FE" w:rsidRPr="00571249">
        <w:rPr>
          <w:rFonts w:cs="Arial"/>
          <w:szCs w:val="24"/>
        </w:rPr>
        <w:t>:</w:t>
      </w:r>
    </w:p>
    <w:p w:rsidR="005F6B0F" w:rsidRPr="001D7C04" w:rsidRDefault="00BC43FE" w:rsidP="005A7331">
      <w:pPr>
        <w:pStyle w:val="Prrafodelista"/>
        <w:keepNext/>
        <w:widowControl w:val="0"/>
        <w:numPr>
          <w:ilvl w:val="0"/>
          <w:numId w:val="27"/>
        </w:numPr>
        <w:spacing w:line="360" w:lineRule="auto"/>
        <w:ind w:left="284" w:hanging="284"/>
        <w:rPr>
          <w:rFonts w:cs="Arial"/>
          <w:szCs w:val="24"/>
        </w:rPr>
      </w:pPr>
      <w:r w:rsidRPr="00571249">
        <w:rPr>
          <w:rFonts w:ascii="Arial" w:hAnsi="Arial" w:cs="Arial"/>
          <w:sz w:val="24"/>
          <w:szCs w:val="24"/>
        </w:rPr>
        <w:t>Se</w:t>
      </w:r>
      <w:r w:rsidR="00C47CD1" w:rsidRPr="00571249">
        <w:rPr>
          <w:rFonts w:ascii="Arial" w:hAnsi="Arial" w:cs="Arial"/>
          <w:sz w:val="24"/>
          <w:szCs w:val="24"/>
        </w:rPr>
        <w:t xml:space="preserve"> </w:t>
      </w:r>
      <w:r w:rsidR="00BE3443" w:rsidRPr="00571249">
        <w:rPr>
          <w:rFonts w:ascii="Arial" w:hAnsi="Arial" w:cs="Arial"/>
          <w:sz w:val="24"/>
          <w:szCs w:val="24"/>
        </w:rPr>
        <w:t xml:space="preserve">reconocieron y contabilizaron </w:t>
      </w:r>
      <w:r w:rsidR="005F6B0F" w:rsidRPr="00571249">
        <w:rPr>
          <w:rFonts w:ascii="Arial" w:hAnsi="Arial" w:cs="Arial"/>
          <w:sz w:val="24"/>
          <w:szCs w:val="24"/>
        </w:rPr>
        <w:t xml:space="preserve">los siguientes </w:t>
      </w:r>
      <w:r w:rsidR="00C47CD1" w:rsidRPr="00571249">
        <w:rPr>
          <w:rFonts w:ascii="Arial" w:hAnsi="Arial" w:cs="Arial"/>
          <w:sz w:val="24"/>
          <w:szCs w:val="24"/>
        </w:rPr>
        <w:t>deterioro</w:t>
      </w:r>
      <w:r w:rsidR="005F6B0F" w:rsidRPr="00571249">
        <w:rPr>
          <w:rFonts w:ascii="Arial" w:hAnsi="Arial" w:cs="Arial"/>
          <w:sz w:val="24"/>
          <w:szCs w:val="24"/>
        </w:rPr>
        <w:t>s:</w:t>
      </w:r>
    </w:p>
    <w:p w:rsidR="005F6B0F" w:rsidRPr="001D7C04" w:rsidRDefault="00BC43FE" w:rsidP="005A7331">
      <w:pPr>
        <w:pStyle w:val="Prrafodelista"/>
        <w:keepNext/>
        <w:widowControl w:val="0"/>
        <w:numPr>
          <w:ilvl w:val="0"/>
          <w:numId w:val="20"/>
        </w:numPr>
        <w:spacing w:line="360" w:lineRule="auto"/>
        <w:rPr>
          <w:rFonts w:cs="Arial"/>
          <w:szCs w:val="24"/>
        </w:rPr>
      </w:pPr>
      <w:r w:rsidRPr="00571249">
        <w:rPr>
          <w:rFonts w:ascii="Arial" w:hAnsi="Arial" w:cs="Arial"/>
          <w:sz w:val="24"/>
          <w:szCs w:val="24"/>
        </w:rPr>
        <w:t xml:space="preserve">en ANCAP, </w:t>
      </w:r>
      <w:r w:rsidR="00BE3443" w:rsidRPr="00571249">
        <w:rPr>
          <w:rFonts w:ascii="Arial" w:hAnsi="Arial" w:cs="Arial"/>
          <w:sz w:val="24"/>
          <w:szCs w:val="24"/>
        </w:rPr>
        <w:t>con r</w:t>
      </w:r>
      <w:r w:rsidRPr="00571249">
        <w:rPr>
          <w:rFonts w:ascii="Arial" w:hAnsi="Arial" w:cs="Arial"/>
          <w:sz w:val="24"/>
          <w:szCs w:val="24"/>
        </w:rPr>
        <w:t xml:space="preserve">elación al Negocio del Portland, </w:t>
      </w:r>
      <w:r w:rsidR="005F6B0F" w:rsidRPr="00571249">
        <w:rPr>
          <w:rFonts w:ascii="Arial" w:hAnsi="Arial" w:cs="Arial"/>
          <w:sz w:val="24"/>
          <w:szCs w:val="24"/>
        </w:rPr>
        <w:t>por $ 4.043:000.000;</w:t>
      </w:r>
    </w:p>
    <w:p w:rsidR="00BC43FE" w:rsidRPr="001D7C04" w:rsidRDefault="00BC43FE" w:rsidP="005A7331">
      <w:pPr>
        <w:pStyle w:val="Prrafodelista"/>
        <w:keepNext/>
        <w:widowControl w:val="0"/>
        <w:numPr>
          <w:ilvl w:val="0"/>
          <w:numId w:val="20"/>
        </w:numPr>
        <w:spacing w:line="360" w:lineRule="auto"/>
        <w:rPr>
          <w:rFonts w:cs="Arial"/>
          <w:szCs w:val="24"/>
        </w:rPr>
      </w:pPr>
      <w:r w:rsidRPr="001D7C04">
        <w:rPr>
          <w:rFonts w:ascii="Arial" w:hAnsi="Arial" w:cs="Arial"/>
          <w:sz w:val="24"/>
          <w:szCs w:val="24"/>
        </w:rPr>
        <w:t xml:space="preserve">en </w:t>
      </w:r>
      <w:r w:rsidR="005F6B0F" w:rsidRPr="001D7C04">
        <w:rPr>
          <w:rFonts w:ascii="Arial" w:hAnsi="Arial" w:cs="Arial"/>
          <w:sz w:val="24"/>
          <w:szCs w:val="24"/>
        </w:rPr>
        <w:t>Cementos del Plata S.A. (</w:t>
      </w:r>
      <w:r w:rsidR="00BE3443" w:rsidRPr="00571249">
        <w:rPr>
          <w:rFonts w:ascii="Arial" w:hAnsi="Arial" w:cs="Arial"/>
          <w:sz w:val="24"/>
          <w:szCs w:val="24"/>
        </w:rPr>
        <w:t xml:space="preserve">empresa </w:t>
      </w:r>
      <w:r w:rsidR="005F6B0F" w:rsidRPr="00571249">
        <w:rPr>
          <w:rFonts w:ascii="Arial" w:hAnsi="Arial" w:cs="Arial"/>
          <w:sz w:val="24"/>
          <w:szCs w:val="24"/>
        </w:rPr>
        <w:t>subsidiaria cuyo capital accionario</w:t>
      </w:r>
      <w:r w:rsidRPr="00571249">
        <w:rPr>
          <w:rFonts w:ascii="Arial" w:hAnsi="Arial" w:cs="Arial"/>
          <w:sz w:val="24"/>
          <w:szCs w:val="24"/>
        </w:rPr>
        <w:t xml:space="preserve"> pertenece en un 99,8% a ANCAP), $ 1.441:705.926 correspondientes </w:t>
      </w:r>
      <w:proofErr w:type="gramStart"/>
      <w:r w:rsidRPr="00571249">
        <w:rPr>
          <w:rFonts w:ascii="Arial" w:hAnsi="Arial" w:cs="Arial"/>
          <w:sz w:val="24"/>
          <w:szCs w:val="24"/>
        </w:rPr>
        <w:t>a</w:t>
      </w:r>
      <w:r w:rsidR="005F6B0F" w:rsidRPr="00571249">
        <w:rPr>
          <w:rFonts w:ascii="Arial" w:hAnsi="Arial" w:cs="Arial"/>
          <w:sz w:val="24"/>
          <w:szCs w:val="24"/>
        </w:rPr>
        <w:t>l</w:t>
      </w:r>
      <w:proofErr w:type="gramEnd"/>
      <w:r w:rsidR="005F6B0F" w:rsidRPr="00571249">
        <w:rPr>
          <w:rFonts w:ascii="Arial" w:hAnsi="Arial" w:cs="Arial"/>
          <w:sz w:val="24"/>
          <w:szCs w:val="24"/>
        </w:rPr>
        <w:t xml:space="preserve"> </w:t>
      </w:r>
      <w:r w:rsidR="00C47CD1" w:rsidRPr="00571249">
        <w:rPr>
          <w:rFonts w:ascii="Arial" w:hAnsi="Arial" w:cs="Arial"/>
          <w:sz w:val="24"/>
          <w:szCs w:val="24"/>
        </w:rPr>
        <w:t xml:space="preserve">Negocios </w:t>
      </w:r>
      <w:r w:rsidR="005F6B0F" w:rsidRPr="00571249">
        <w:rPr>
          <w:rFonts w:ascii="Arial" w:hAnsi="Arial" w:cs="Arial"/>
          <w:sz w:val="24"/>
          <w:szCs w:val="24"/>
        </w:rPr>
        <w:t>de</w:t>
      </w:r>
      <w:r w:rsidR="00C47CD1" w:rsidRPr="00571249">
        <w:rPr>
          <w:rFonts w:ascii="Arial" w:hAnsi="Arial" w:cs="Arial"/>
          <w:sz w:val="24"/>
          <w:szCs w:val="24"/>
        </w:rPr>
        <w:t xml:space="preserve"> Cal</w:t>
      </w:r>
      <w:r w:rsidR="00DA7500">
        <w:rPr>
          <w:rFonts w:ascii="Arial" w:hAnsi="Arial" w:cs="Arial"/>
          <w:sz w:val="24"/>
          <w:szCs w:val="24"/>
        </w:rPr>
        <w:t>.</w:t>
      </w:r>
    </w:p>
    <w:p w:rsidR="00BC43FE" w:rsidRPr="001D7C04" w:rsidRDefault="00BC43FE" w:rsidP="005A7331">
      <w:pPr>
        <w:pStyle w:val="Prrafodelista"/>
        <w:keepNext/>
        <w:widowControl w:val="0"/>
        <w:numPr>
          <w:ilvl w:val="0"/>
          <w:numId w:val="27"/>
        </w:numPr>
        <w:spacing w:line="360" w:lineRule="auto"/>
        <w:ind w:left="284" w:hanging="284"/>
        <w:jc w:val="both"/>
        <w:rPr>
          <w:rFonts w:cs="Arial"/>
          <w:szCs w:val="24"/>
        </w:rPr>
      </w:pPr>
      <w:r w:rsidRPr="00571249">
        <w:rPr>
          <w:rFonts w:ascii="Arial" w:hAnsi="Arial" w:cs="Arial"/>
          <w:sz w:val="24"/>
          <w:szCs w:val="24"/>
        </w:rPr>
        <w:t>Se revelaron análisis de posibles deterioros que no dieron lugar a ajustes en los casos de DUCSA SA</w:t>
      </w:r>
      <w:r w:rsidR="008A4566">
        <w:rPr>
          <w:rFonts w:ascii="Arial" w:hAnsi="Arial" w:cs="Arial"/>
          <w:sz w:val="24"/>
          <w:szCs w:val="24"/>
        </w:rPr>
        <w:t>, Gasoducto Cruz del Sur</w:t>
      </w:r>
      <w:r w:rsidR="00DA7500">
        <w:rPr>
          <w:rFonts w:ascii="Arial" w:hAnsi="Arial" w:cs="Arial"/>
          <w:sz w:val="24"/>
          <w:szCs w:val="24"/>
        </w:rPr>
        <w:t xml:space="preserve"> SA,</w:t>
      </w:r>
    </w:p>
    <w:p w:rsidR="00BC43FE" w:rsidRPr="001D7C04" w:rsidRDefault="00BC43FE" w:rsidP="005A7331">
      <w:pPr>
        <w:pStyle w:val="Prrafodelista"/>
        <w:keepNext/>
        <w:widowControl w:val="0"/>
        <w:numPr>
          <w:ilvl w:val="0"/>
          <w:numId w:val="27"/>
        </w:numPr>
        <w:spacing w:line="360" w:lineRule="auto"/>
        <w:ind w:left="284" w:hanging="284"/>
        <w:jc w:val="both"/>
        <w:rPr>
          <w:rFonts w:cs="Arial"/>
          <w:szCs w:val="24"/>
        </w:rPr>
      </w:pPr>
      <w:r w:rsidRPr="00571249">
        <w:rPr>
          <w:rFonts w:ascii="Arial" w:hAnsi="Arial" w:cs="Arial"/>
          <w:sz w:val="24"/>
          <w:szCs w:val="24"/>
        </w:rPr>
        <w:t xml:space="preserve">No se revelaron en Notas </w:t>
      </w:r>
      <w:r w:rsidR="00B3346A" w:rsidRPr="001D7C04">
        <w:rPr>
          <w:rFonts w:ascii="Arial" w:hAnsi="Arial" w:cs="Arial"/>
          <w:sz w:val="24"/>
          <w:szCs w:val="24"/>
        </w:rPr>
        <w:t>a</w:t>
      </w:r>
      <w:r w:rsidRPr="00571249">
        <w:rPr>
          <w:rFonts w:ascii="Arial" w:hAnsi="Arial" w:cs="Arial"/>
          <w:sz w:val="24"/>
          <w:szCs w:val="24"/>
        </w:rPr>
        <w:t xml:space="preserve"> los </w:t>
      </w:r>
      <w:r w:rsidR="00B3346A" w:rsidRPr="001D7C04">
        <w:rPr>
          <w:rFonts w:ascii="Arial" w:hAnsi="Arial" w:cs="Arial"/>
          <w:sz w:val="24"/>
          <w:szCs w:val="24"/>
        </w:rPr>
        <w:t>e</w:t>
      </w:r>
      <w:r w:rsidRPr="00571249">
        <w:rPr>
          <w:rFonts w:ascii="Arial" w:hAnsi="Arial" w:cs="Arial"/>
          <w:sz w:val="24"/>
          <w:szCs w:val="24"/>
        </w:rPr>
        <w:t xml:space="preserve">stados </w:t>
      </w:r>
      <w:r w:rsidR="00B3346A" w:rsidRPr="001D7C04">
        <w:rPr>
          <w:rFonts w:ascii="Arial" w:hAnsi="Arial" w:cs="Arial"/>
          <w:sz w:val="24"/>
          <w:szCs w:val="24"/>
        </w:rPr>
        <w:t xml:space="preserve">financieros </w:t>
      </w:r>
      <w:r w:rsidRPr="00571249">
        <w:rPr>
          <w:rFonts w:ascii="Arial" w:hAnsi="Arial" w:cs="Arial"/>
          <w:sz w:val="24"/>
          <w:szCs w:val="24"/>
        </w:rPr>
        <w:t xml:space="preserve">de ANCAP </w:t>
      </w:r>
      <w:r w:rsidR="007F747F" w:rsidRPr="00571249">
        <w:rPr>
          <w:rFonts w:ascii="Arial" w:hAnsi="Arial" w:cs="Arial"/>
          <w:sz w:val="24"/>
          <w:szCs w:val="24"/>
        </w:rPr>
        <w:t xml:space="preserve">ajustes al valor en libros de la Planta </w:t>
      </w:r>
      <w:proofErr w:type="spellStart"/>
      <w:r w:rsidR="002B4A92" w:rsidRPr="00571249">
        <w:rPr>
          <w:rFonts w:ascii="Arial" w:hAnsi="Arial" w:cs="Arial"/>
          <w:sz w:val="24"/>
          <w:szCs w:val="24"/>
        </w:rPr>
        <w:t>R</w:t>
      </w:r>
      <w:r w:rsidR="007F747F" w:rsidRPr="00571249">
        <w:rPr>
          <w:rFonts w:ascii="Arial" w:hAnsi="Arial" w:cs="Arial"/>
          <w:sz w:val="24"/>
          <w:szCs w:val="24"/>
        </w:rPr>
        <w:t>egasifica</w:t>
      </w:r>
      <w:r w:rsidR="00670510">
        <w:rPr>
          <w:rFonts w:ascii="Arial" w:hAnsi="Arial" w:cs="Arial"/>
          <w:sz w:val="24"/>
          <w:szCs w:val="24"/>
        </w:rPr>
        <w:t>dora</w:t>
      </w:r>
      <w:proofErr w:type="spellEnd"/>
      <w:r w:rsidR="00670510">
        <w:rPr>
          <w:rFonts w:ascii="Arial" w:hAnsi="Arial" w:cs="Arial"/>
          <w:sz w:val="24"/>
          <w:szCs w:val="24"/>
        </w:rPr>
        <w:t xml:space="preserve"> de Conecta SA por $</w:t>
      </w:r>
      <w:r w:rsidR="008A4566">
        <w:rPr>
          <w:rFonts w:ascii="Arial" w:hAnsi="Arial" w:cs="Arial"/>
          <w:sz w:val="24"/>
          <w:szCs w:val="24"/>
        </w:rPr>
        <w:t xml:space="preserve"> </w:t>
      </w:r>
      <w:r w:rsidR="00670510">
        <w:rPr>
          <w:rFonts w:ascii="Arial" w:hAnsi="Arial" w:cs="Arial"/>
          <w:sz w:val="24"/>
          <w:szCs w:val="24"/>
        </w:rPr>
        <w:t>219:7</w:t>
      </w:r>
      <w:r w:rsidR="008A4566">
        <w:rPr>
          <w:rFonts w:ascii="Arial" w:hAnsi="Arial" w:cs="Arial"/>
          <w:sz w:val="24"/>
          <w:szCs w:val="24"/>
        </w:rPr>
        <w:t>85.747</w:t>
      </w:r>
      <w:r w:rsidR="007F747F" w:rsidRPr="00571249">
        <w:rPr>
          <w:rFonts w:ascii="Arial" w:hAnsi="Arial" w:cs="Arial"/>
          <w:sz w:val="24"/>
          <w:szCs w:val="24"/>
        </w:rPr>
        <w:t xml:space="preserve"> realizados a partir de</w:t>
      </w:r>
      <w:r w:rsidR="00B3346A" w:rsidRPr="001D7C04">
        <w:rPr>
          <w:rFonts w:ascii="Arial" w:hAnsi="Arial" w:cs="Arial"/>
          <w:sz w:val="24"/>
          <w:szCs w:val="24"/>
        </w:rPr>
        <w:t>l</w:t>
      </w:r>
      <w:r w:rsidRPr="00571249">
        <w:rPr>
          <w:rFonts w:ascii="Arial" w:hAnsi="Arial" w:cs="Arial"/>
          <w:sz w:val="24"/>
          <w:szCs w:val="24"/>
        </w:rPr>
        <w:t xml:space="preserve"> análisis de</w:t>
      </w:r>
      <w:r w:rsidR="00B3346A" w:rsidRPr="001D7C04">
        <w:rPr>
          <w:rFonts w:ascii="Arial" w:hAnsi="Arial" w:cs="Arial"/>
          <w:sz w:val="24"/>
          <w:szCs w:val="24"/>
        </w:rPr>
        <w:t>l valor recuperable de dichos activos</w:t>
      </w:r>
      <w:r w:rsidR="00D9730E" w:rsidRPr="00571249">
        <w:rPr>
          <w:rFonts w:ascii="Arial" w:hAnsi="Arial" w:cs="Arial"/>
          <w:sz w:val="24"/>
          <w:szCs w:val="24"/>
        </w:rPr>
        <w:t xml:space="preserve">. </w:t>
      </w:r>
      <w:r w:rsidRPr="00571249">
        <w:rPr>
          <w:rFonts w:ascii="Arial" w:hAnsi="Arial" w:cs="Arial"/>
          <w:sz w:val="24"/>
          <w:szCs w:val="24"/>
        </w:rPr>
        <w:t xml:space="preserve">ANCAP es </w:t>
      </w:r>
      <w:r w:rsidR="00D55CFE" w:rsidRPr="00571249">
        <w:rPr>
          <w:rFonts w:ascii="Arial" w:hAnsi="Arial" w:cs="Arial"/>
          <w:sz w:val="24"/>
          <w:szCs w:val="24"/>
        </w:rPr>
        <w:t>propietari</w:t>
      </w:r>
      <w:r w:rsidR="00B3346A" w:rsidRPr="001D7C04">
        <w:rPr>
          <w:rFonts w:ascii="Arial" w:hAnsi="Arial" w:cs="Arial"/>
          <w:sz w:val="24"/>
          <w:szCs w:val="24"/>
        </w:rPr>
        <w:t xml:space="preserve">a </w:t>
      </w:r>
      <w:r w:rsidRPr="00571249">
        <w:rPr>
          <w:rFonts w:ascii="Arial" w:hAnsi="Arial" w:cs="Arial"/>
          <w:sz w:val="24"/>
          <w:szCs w:val="24"/>
        </w:rPr>
        <w:t>del 45% del capital accionario, tratándose de un negocio conjunto con Petrobras Uruguay S.A. propietario del restante 55%</w:t>
      </w:r>
      <w:r w:rsidR="00336197" w:rsidRPr="00571249">
        <w:rPr>
          <w:rFonts w:ascii="Arial" w:hAnsi="Arial" w:cs="Arial"/>
          <w:sz w:val="24"/>
          <w:szCs w:val="24"/>
        </w:rPr>
        <w:t>;</w:t>
      </w:r>
    </w:p>
    <w:p w:rsidR="0016364D" w:rsidRPr="001D7C04" w:rsidRDefault="004C11F9" w:rsidP="005A7331">
      <w:pPr>
        <w:pStyle w:val="Prrafodelista"/>
        <w:keepNext/>
        <w:widowControl w:val="0"/>
        <w:numPr>
          <w:ilvl w:val="0"/>
          <w:numId w:val="27"/>
        </w:numPr>
        <w:spacing w:line="360" w:lineRule="auto"/>
        <w:ind w:left="284" w:hanging="284"/>
        <w:jc w:val="both"/>
        <w:rPr>
          <w:rFonts w:cs="Arial"/>
          <w:szCs w:val="24"/>
        </w:rPr>
      </w:pPr>
      <w:r w:rsidRPr="00571249">
        <w:rPr>
          <w:rFonts w:ascii="Arial" w:hAnsi="Arial" w:cs="Arial"/>
          <w:sz w:val="24"/>
          <w:szCs w:val="24"/>
        </w:rPr>
        <w:t>C</w:t>
      </w:r>
      <w:r w:rsidR="00C47CD1" w:rsidRPr="00571249">
        <w:rPr>
          <w:rFonts w:ascii="Arial" w:hAnsi="Arial" w:cs="Arial"/>
          <w:sz w:val="24"/>
          <w:szCs w:val="24"/>
        </w:rPr>
        <w:t xml:space="preserve">on relación a </w:t>
      </w:r>
      <w:r w:rsidR="005F6B0F" w:rsidRPr="00571249">
        <w:rPr>
          <w:rFonts w:ascii="Arial" w:hAnsi="Arial" w:cs="Arial"/>
          <w:sz w:val="24"/>
          <w:szCs w:val="24"/>
        </w:rPr>
        <w:t xml:space="preserve">otros </w:t>
      </w:r>
      <w:r w:rsidR="00C47CD1" w:rsidRPr="00571249">
        <w:rPr>
          <w:rFonts w:ascii="Arial" w:hAnsi="Arial" w:cs="Arial"/>
          <w:sz w:val="24"/>
          <w:szCs w:val="24"/>
        </w:rPr>
        <w:t xml:space="preserve">activos </w:t>
      </w:r>
      <w:r w:rsidR="005F6B0F" w:rsidRPr="00571249">
        <w:rPr>
          <w:rFonts w:ascii="Arial" w:hAnsi="Arial" w:cs="Arial"/>
          <w:sz w:val="24"/>
          <w:szCs w:val="24"/>
        </w:rPr>
        <w:t xml:space="preserve">correspondientes a inversiones en empresas o negocios conjuntos que exponen indicios de deterioro no se </w:t>
      </w:r>
      <w:r w:rsidRPr="00571249">
        <w:rPr>
          <w:rFonts w:ascii="Arial" w:hAnsi="Arial" w:cs="Arial"/>
          <w:sz w:val="24"/>
          <w:szCs w:val="24"/>
        </w:rPr>
        <w:t>informa</w:t>
      </w:r>
      <w:r w:rsidR="00D9730E" w:rsidRPr="00571249">
        <w:rPr>
          <w:rFonts w:ascii="Arial" w:hAnsi="Arial" w:cs="Arial"/>
          <w:sz w:val="24"/>
          <w:szCs w:val="24"/>
        </w:rPr>
        <w:t xml:space="preserve"> en </w:t>
      </w:r>
      <w:r w:rsidR="002B4A92" w:rsidRPr="00571249">
        <w:rPr>
          <w:rFonts w:ascii="Arial" w:hAnsi="Arial" w:cs="Arial"/>
          <w:sz w:val="24"/>
          <w:szCs w:val="24"/>
        </w:rPr>
        <w:t>N</w:t>
      </w:r>
      <w:r w:rsidR="00D9730E" w:rsidRPr="00571249">
        <w:rPr>
          <w:rFonts w:ascii="Arial" w:hAnsi="Arial" w:cs="Arial"/>
          <w:sz w:val="24"/>
          <w:szCs w:val="24"/>
        </w:rPr>
        <w:t>otas</w:t>
      </w:r>
      <w:r w:rsidRPr="00571249">
        <w:rPr>
          <w:rFonts w:ascii="Arial" w:hAnsi="Arial" w:cs="Arial"/>
          <w:sz w:val="24"/>
          <w:szCs w:val="24"/>
        </w:rPr>
        <w:t xml:space="preserve"> </w:t>
      </w:r>
      <w:r w:rsidR="002B4A92" w:rsidRPr="00571249">
        <w:rPr>
          <w:rFonts w:ascii="Arial" w:hAnsi="Arial" w:cs="Arial"/>
          <w:sz w:val="24"/>
          <w:szCs w:val="24"/>
        </w:rPr>
        <w:t xml:space="preserve">los </w:t>
      </w:r>
      <w:r w:rsidR="005F6B0F" w:rsidRPr="00571249">
        <w:rPr>
          <w:rFonts w:ascii="Arial" w:hAnsi="Arial" w:cs="Arial"/>
          <w:sz w:val="24"/>
          <w:szCs w:val="24"/>
        </w:rPr>
        <w:t>análisis</w:t>
      </w:r>
      <w:r w:rsidRPr="00571249">
        <w:rPr>
          <w:rFonts w:ascii="Arial" w:hAnsi="Arial" w:cs="Arial"/>
          <w:sz w:val="24"/>
          <w:szCs w:val="24"/>
        </w:rPr>
        <w:t xml:space="preserve"> que eventualmente se </w:t>
      </w:r>
      <w:r w:rsidR="00D9730E" w:rsidRPr="00571249">
        <w:rPr>
          <w:rFonts w:ascii="Arial" w:hAnsi="Arial" w:cs="Arial"/>
          <w:sz w:val="24"/>
          <w:szCs w:val="24"/>
        </w:rPr>
        <w:t>realizaron en las siguientes empresas</w:t>
      </w:r>
      <w:r w:rsidR="005F6B0F" w:rsidRPr="00571249">
        <w:rPr>
          <w:rFonts w:ascii="Arial" w:hAnsi="Arial" w:cs="Arial"/>
          <w:sz w:val="24"/>
          <w:szCs w:val="24"/>
        </w:rPr>
        <w:t>:</w:t>
      </w:r>
      <w:r w:rsidR="00D9730E" w:rsidRPr="00571249">
        <w:rPr>
          <w:rFonts w:ascii="Arial" w:hAnsi="Arial" w:cs="Arial"/>
          <w:sz w:val="24"/>
          <w:szCs w:val="24"/>
        </w:rPr>
        <w:t xml:space="preserve"> </w:t>
      </w:r>
      <w:r w:rsidR="004F7E21" w:rsidRPr="00571249">
        <w:rPr>
          <w:rFonts w:ascii="Arial" w:hAnsi="Arial" w:cs="Arial"/>
          <w:sz w:val="24"/>
          <w:szCs w:val="24"/>
        </w:rPr>
        <w:t xml:space="preserve">CABA SA, ATS SA, </w:t>
      </w:r>
      <w:proofErr w:type="spellStart"/>
      <w:r w:rsidR="004F7E21" w:rsidRPr="00571249">
        <w:rPr>
          <w:rFonts w:ascii="Arial" w:hAnsi="Arial" w:cs="Arial"/>
          <w:sz w:val="24"/>
          <w:szCs w:val="24"/>
        </w:rPr>
        <w:t>Pamacor</w:t>
      </w:r>
      <w:proofErr w:type="spellEnd"/>
      <w:r w:rsidR="004F7E21" w:rsidRPr="00571249">
        <w:rPr>
          <w:rFonts w:ascii="Arial" w:hAnsi="Arial" w:cs="Arial"/>
          <w:sz w:val="24"/>
          <w:szCs w:val="24"/>
        </w:rPr>
        <w:t xml:space="preserve"> SA</w:t>
      </w:r>
      <w:r w:rsidR="002B4A92" w:rsidRPr="00571249">
        <w:rPr>
          <w:rFonts w:ascii="Arial" w:hAnsi="Arial" w:cs="Arial"/>
          <w:sz w:val="24"/>
          <w:szCs w:val="24"/>
        </w:rPr>
        <w:t xml:space="preserve"> y</w:t>
      </w:r>
      <w:r w:rsidR="004F7E21" w:rsidRPr="00571249">
        <w:rPr>
          <w:rFonts w:ascii="Arial" w:hAnsi="Arial" w:cs="Arial"/>
          <w:sz w:val="24"/>
          <w:szCs w:val="24"/>
        </w:rPr>
        <w:t xml:space="preserve"> ANCSOL SA por su inversión en </w:t>
      </w:r>
      <w:proofErr w:type="spellStart"/>
      <w:r w:rsidR="004F7E21" w:rsidRPr="00571249">
        <w:rPr>
          <w:rFonts w:ascii="Arial" w:hAnsi="Arial" w:cs="Arial"/>
          <w:sz w:val="24"/>
          <w:szCs w:val="24"/>
        </w:rPr>
        <w:t>Carboclor</w:t>
      </w:r>
      <w:proofErr w:type="spellEnd"/>
      <w:r w:rsidR="004F7E21" w:rsidRPr="00571249">
        <w:rPr>
          <w:rFonts w:ascii="Arial" w:hAnsi="Arial" w:cs="Arial"/>
          <w:sz w:val="24"/>
          <w:szCs w:val="24"/>
        </w:rPr>
        <w:t xml:space="preserve"> SA</w:t>
      </w:r>
      <w:r w:rsidRPr="00571249">
        <w:rPr>
          <w:rFonts w:ascii="Arial" w:hAnsi="Arial" w:cs="Arial"/>
          <w:sz w:val="24"/>
          <w:szCs w:val="24"/>
        </w:rPr>
        <w:t>;</w:t>
      </w:r>
      <w:r w:rsidR="00336197" w:rsidRPr="00571249">
        <w:rPr>
          <w:rFonts w:ascii="Arial" w:hAnsi="Arial" w:cs="Arial"/>
          <w:sz w:val="24"/>
          <w:szCs w:val="24"/>
        </w:rPr>
        <w:t xml:space="preserve"> </w:t>
      </w:r>
      <w:r w:rsidR="00D9730E" w:rsidRPr="00571249">
        <w:rPr>
          <w:rFonts w:ascii="Arial" w:hAnsi="Arial" w:cs="Arial"/>
          <w:sz w:val="24"/>
          <w:szCs w:val="24"/>
        </w:rPr>
        <w:t>y</w:t>
      </w:r>
    </w:p>
    <w:p w:rsidR="004F7E21" w:rsidRPr="001D7C04" w:rsidRDefault="00A26573" w:rsidP="005A7331">
      <w:pPr>
        <w:pStyle w:val="Prrafodelista"/>
        <w:keepNext/>
        <w:widowControl w:val="0"/>
        <w:numPr>
          <w:ilvl w:val="0"/>
          <w:numId w:val="27"/>
        </w:numPr>
        <w:spacing w:after="0" w:line="360" w:lineRule="auto"/>
        <w:ind w:left="284" w:hanging="284"/>
        <w:jc w:val="both"/>
        <w:rPr>
          <w:rFonts w:cs="Arial"/>
          <w:szCs w:val="24"/>
        </w:rPr>
      </w:pPr>
      <w:r w:rsidRPr="00C51528">
        <w:rPr>
          <w:rFonts w:ascii="Arial" w:hAnsi="Arial" w:cs="Arial"/>
          <w:sz w:val="24"/>
          <w:szCs w:val="24"/>
        </w:rPr>
        <w:t>Se revela la</w:t>
      </w:r>
      <w:r w:rsidR="004C11F9" w:rsidRPr="00C51528">
        <w:rPr>
          <w:rFonts w:ascii="Arial" w:hAnsi="Arial" w:cs="Arial"/>
          <w:sz w:val="24"/>
          <w:szCs w:val="24"/>
        </w:rPr>
        <w:t xml:space="preserve"> situación </w:t>
      </w:r>
      <w:r w:rsidR="00D9730E" w:rsidRPr="00C51528">
        <w:rPr>
          <w:rFonts w:ascii="Arial" w:hAnsi="Arial" w:cs="Arial"/>
          <w:sz w:val="24"/>
          <w:szCs w:val="24"/>
        </w:rPr>
        <w:t>de incertidumbre inherente a las decisiones futuras a</w:t>
      </w:r>
      <w:r w:rsidR="00D9730E" w:rsidRPr="001D7C04">
        <w:rPr>
          <w:rFonts w:ascii="Arial" w:hAnsi="Arial" w:cs="Arial"/>
          <w:sz w:val="24"/>
          <w:szCs w:val="24"/>
        </w:rPr>
        <w:t xml:space="preserve"> adoptar para la empresa Gas Sayago SA que  podrían impactar en el valor de la inversión que mantiene ANCAP, propietaria del 20.65% del capital accionario de dicha empresa </w:t>
      </w:r>
      <w:r w:rsidR="00331296" w:rsidRPr="001D7C04">
        <w:rPr>
          <w:rFonts w:ascii="Arial" w:hAnsi="Arial" w:cs="Arial"/>
          <w:sz w:val="24"/>
          <w:szCs w:val="24"/>
        </w:rPr>
        <w:t>cuyo valor patr</w:t>
      </w:r>
      <w:r w:rsidR="00AD4291">
        <w:rPr>
          <w:rFonts w:ascii="Arial" w:hAnsi="Arial" w:cs="Arial"/>
          <w:sz w:val="24"/>
          <w:szCs w:val="24"/>
        </w:rPr>
        <w:t xml:space="preserve">imonial proporcional totaliza </w:t>
      </w:r>
      <w:r w:rsidR="008A4566">
        <w:rPr>
          <w:rFonts w:ascii="Arial" w:hAnsi="Arial" w:cs="Arial"/>
          <w:sz w:val="24"/>
          <w:szCs w:val="24"/>
        </w:rPr>
        <w:t xml:space="preserve">      </w:t>
      </w:r>
      <w:r w:rsidR="00AD4291">
        <w:rPr>
          <w:rFonts w:ascii="Arial" w:hAnsi="Arial" w:cs="Arial"/>
          <w:sz w:val="24"/>
          <w:szCs w:val="24"/>
        </w:rPr>
        <w:t>$</w:t>
      </w:r>
      <w:r w:rsidR="008A4566">
        <w:rPr>
          <w:rFonts w:ascii="Arial" w:hAnsi="Arial" w:cs="Arial"/>
          <w:sz w:val="24"/>
          <w:szCs w:val="24"/>
        </w:rPr>
        <w:t xml:space="preserve"> </w:t>
      </w:r>
      <w:r w:rsidR="00D9730E" w:rsidRPr="001D7C04">
        <w:rPr>
          <w:rFonts w:ascii="Arial" w:hAnsi="Arial" w:cs="Arial"/>
          <w:sz w:val="24"/>
          <w:szCs w:val="24"/>
        </w:rPr>
        <w:t>197:452.727</w:t>
      </w:r>
      <w:r w:rsidR="00331296" w:rsidRPr="001D7C04">
        <w:rPr>
          <w:rFonts w:ascii="Arial" w:hAnsi="Arial" w:cs="Arial"/>
          <w:sz w:val="24"/>
          <w:szCs w:val="24"/>
        </w:rPr>
        <w:t xml:space="preserve">. </w:t>
      </w:r>
      <w:r w:rsidR="008A4566">
        <w:rPr>
          <w:rFonts w:ascii="Arial" w:hAnsi="Arial" w:cs="Arial"/>
          <w:sz w:val="24"/>
          <w:szCs w:val="24"/>
        </w:rPr>
        <w:t xml:space="preserve"> </w:t>
      </w:r>
      <w:r w:rsidR="00331296" w:rsidRPr="001D7C04">
        <w:rPr>
          <w:rFonts w:ascii="Arial" w:hAnsi="Arial" w:cs="Arial"/>
          <w:sz w:val="24"/>
          <w:szCs w:val="24"/>
        </w:rPr>
        <w:t xml:space="preserve">Esta </w:t>
      </w:r>
      <w:r w:rsidR="00D9730E" w:rsidRPr="001D7C04">
        <w:rPr>
          <w:rFonts w:ascii="Arial" w:hAnsi="Arial" w:cs="Arial"/>
          <w:sz w:val="24"/>
          <w:szCs w:val="24"/>
        </w:rPr>
        <w:t xml:space="preserve">situación no ha sido </w:t>
      </w:r>
      <w:r w:rsidR="00331296" w:rsidRPr="001D7C04">
        <w:rPr>
          <w:rFonts w:ascii="Arial" w:hAnsi="Arial" w:cs="Arial"/>
          <w:sz w:val="24"/>
          <w:szCs w:val="24"/>
        </w:rPr>
        <w:t>evaluada por Gas Sayago SA en la que existen indicios de deterioro de sus activos al 31 de diciembre de 2015 y po</w:t>
      </w:r>
      <w:r w:rsidR="0063006C" w:rsidRPr="001D7C04">
        <w:rPr>
          <w:rFonts w:ascii="Arial" w:hAnsi="Arial" w:cs="Arial"/>
          <w:sz w:val="24"/>
          <w:szCs w:val="24"/>
        </w:rPr>
        <w:t>r</w:t>
      </w:r>
      <w:r w:rsidR="00331296" w:rsidRPr="001D7C04">
        <w:rPr>
          <w:rFonts w:ascii="Arial" w:hAnsi="Arial" w:cs="Arial"/>
          <w:sz w:val="24"/>
          <w:szCs w:val="24"/>
        </w:rPr>
        <w:t xml:space="preserve"> lo tanto ha sido </w:t>
      </w:r>
      <w:r w:rsidR="0063006C" w:rsidRPr="001D7C04">
        <w:rPr>
          <w:rFonts w:ascii="Arial" w:hAnsi="Arial" w:cs="Arial"/>
          <w:sz w:val="24"/>
          <w:szCs w:val="24"/>
        </w:rPr>
        <w:t>verificado si los valores en libros de sus activos incluidos en sus estados financieros se ajustan al valor recuperable</w:t>
      </w:r>
      <w:r w:rsidR="00D9730E" w:rsidRPr="001D7C04">
        <w:rPr>
          <w:rFonts w:ascii="Arial" w:hAnsi="Arial" w:cs="Arial"/>
          <w:sz w:val="24"/>
          <w:szCs w:val="24"/>
        </w:rPr>
        <w:t xml:space="preserve">, aspecto establecido en </w:t>
      </w:r>
      <w:r w:rsidR="004C11F9" w:rsidRPr="00571249">
        <w:rPr>
          <w:rFonts w:ascii="Arial" w:hAnsi="Arial" w:cs="Arial"/>
          <w:sz w:val="24"/>
          <w:szCs w:val="24"/>
        </w:rPr>
        <w:t>Nota 19.1 de los estados individuales y Nota 21 de los consolidados</w:t>
      </w:r>
      <w:r w:rsidR="0016364D" w:rsidRPr="00571249">
        <w:rPr>
          <w:rFonts w:ascii="Arial" w:hAnsi="Arial" w:cs="Arial"/>
          <w:sz w:val="24"/>
          <w:szCs w:val="24"/>
        </w:rPr>
        <w:t>.</w:t>
      </w:r>
    </w:p>
    <w:p w:rsidR="0063006C" w:rsidRPr="00571249" w:rsidRDefault="000F1F50" w:rsidP="005A7331">
      <w:pPr>
        <w:keepNext/>
        <w:widowControl w:val="0"/>
        <w:spacing w:after="0" w:line="360" w:lineRule="auto"/>
        <w:rPr>
          <w:rFonts w:cs="Arial"/>
          <w:b/>
          <w:bCs/>
          <w:szCs w:val="24"/>
        </w:rPr>
      </w:pPr>
      <w:r>
        <w:rPr>
          <w:rFonts w:cs="Arial"/>
          <w:b/>
          <w:bCs/>
          <w:szCs w:val="24"/>
        </w:rPr>
        <w:t>2</w:t>
      </w:r>
      <w:r w:rsidR="0063006C" w:rsidRPr="00571249">
        <w:rPr>
          <w:rFonts w:cs="Arial"/>
          <w:b/>
          <w:bCs/>
          <w:szCs w:val="24"/>
        </w:rPr>
        <w:t xml:space="preserve">.2 </w:t>
      </w:r>
      <w:r w:rsidR="003D6E03">
        <w:rPr>
          <w:rFonts w:cs="Arial"/>
          <w:b/>
          <w:bCs/>
          <w:szCs w:val="24"/>
        </w:rPr>
        <w:t>Garantías otorgadas</w:t>
      </w:r>
    </w:p>
    <w:p w:rsidR="00C47CD1" w:rsidRDefault="0063006C" w:rsidP="005A7331">
      <w:pPr>
        <w:pStyle w:val="Prrafodelista"/>
        <w:keepNext/>
        <w:widowControl w:val="0"/>
        <w:spacing w:after="0" w:line="360" w:lineRule="auto"/>
        <w:ind w:left="0" w:firstLine="708"/>
        <w:jc w:val="both"/>
        <w:rPr>
          <w:rFonts w:ascii="Arial" w:hAnsi="Arial" w:cs="Arial"/>
          <w:sz w:val="24"/>
          <w:szCs w:val="24"/>
        </w:rPr>
      </w:pPr>
      <w:r w:rsidRPr="00571249">
        <w:rPr>
          <w:rFonts w:ascii="Arial" w:hAnsi="Arial" w:cs="Arial"/>
          <w:sz w:val="24"/>
          <w:szCs w:val="24"/>
        </w:rPr>
        <w:t>Según</w:t>
      </w:r>
      <w:r w:rsidR="00C47CD1" w:rsidRPr="00571249">
        <w:rPr>
          <w:rFonts w:ascii="Arial" w:hAnsi="Arial" w:cs="Arial"/>
          <w:sz w:val="24"/>
          <w:szCs w:val="24"/>
        </w:rPr>
        <w:t xml:space="preserve"> la información del Expediente N° 242.587/21 de Servicios Jurídicos de ANCAP</w:t>
      </w:r>
      <w:r w:rsidRPr="00571249">
        <w:rPr>
          <w:rFonts w:ascii="Arial" w:hAnsi="Arial" w:cs="Arial"/>
          <w:sz w:val="24"/>
          <w:szCs w:val="24"/>
        </w:rPr>
        <w:t>,</w:t>
      </w:r>
      <w:r w:rsidR="00C47CD1" w:rsidRPr="00571249">
        <w:rPr>
          <w:rFonts w:ascii="Arial" w:hAnsi="Arial" w:cs="Arial"/>
          <w:sz w:val="24"/>
          <w:szCs w:val="24"/>
        </w:rPr>
        <w:t xml:space="preserve"> por las Resoluciones SE 407/07 y 29/10</w:t>
      </w:r>
      <w:r w:rsidRPr="00571249">
        <w:rPr>
          <w:rFonts w:ascii="Arial" w:hAnsi="Arial" w:cs="Arial"/>
          <w:sz w:val="24"/>
          <w:szCs w:val="24"/>
        </w:rPr>
        <w:t xml:space="preserve"> </w:t>
      </w:r>
      <w:r w:rsidR="00C47CD1" w:rsidRPr="00571249">
        <w:rPr>
          <w:rFonts w:ascii="Arial" w:hAnsi="Arial" w:cs="Arial"/>
          <w:sz w:val="24"/>
          <w:szCs w:val="24"/>
        </w:rPr>
        <w:t xml:space="preserve">se procedió al registro de PETROURUGUAY SA en los registros de empresas de petróleo y transportistas de la Administración </w:t>
      </w:r>
      <w:r w:rsidRPr="00571249">
        <w:rPr>
          <w:rFonts w:ascii="Arial" w:hAnsi="Arial" w:cs="Arial"/>
          <w:sz w:val="24"/>
          <w:szCs w:val="24"/>
        </w:rPr>
        <w:t>P</w:t>
      </w:r>
      <w:r w:rsidR="00C47CD1" w:rsidRPr="00571249">
        <w:rPr>
          <w:rFonts w:ascii="Arial" w:hAnsi="Arial" w:cs="Arial"/>
          <w:sz w:val="24"/>
          <w:szCs w:val="24"/>
        </w:rPr>
        <w:t xml:space="preserve">ública </w:t>
      </w:r>
      <w:r w:rsidRPr="00571249">
        <w:rPr>
          <w:rFonts w:ascii="Arial" w:hAnsi="Arial" w:cs="Arial"/>
          <w:sz w:val="24"/>
          <w:szCs w:val="24"/>
        </w:rPr>
        <w:t>N</w:t>
      </w:r>
      <w:r w:rsidR="00C47CD1" w:rsidRPr="00571249">
        <w:rPr>
          <w:rFonts w:ascii="Arial" w:hAnsi="Arial" w:cs="Arial"/>
          <w:sz w:val="24"/>
          <w:szCs w:val="24"/>
        </w:rPr>
        <w:t xml:space="preserve">acional de la República Argentina, de acuerdo a  las concesiones del </w:t>
      </w:r>
      <w:r w:rsidRPr="00571249">
        <w:rPr>
          <w:rFonts w:ascii="Arial" w:hAnsi="Arial" w:cs="Arial"/>
          <w:sz w:val="24"/>
          <w:szCs w:val="24"/>
        </w:rPr>
        <w:t>Artículo</w:t>
      </w:r>
      <w:r w:rsidR="00C47CD1" w:rsidRPr="00571249">
        <w:rPr>
          <w:rFonts w:ascii="Arial" w:hAnsi="Arial" w:cs="Arial"/>
          <w:sz w:val="24"/>
          <w:szCs w:val="24"/>
        </w:rPr>
        <w:t xml:space="preserve"> 39 de la Ley 17.319</w:t>
      </w:r>
      <w:r w:rsidRPr="00571249">
        <w:rPr>
          <w:rFonts w:ascii="Arial" w:hAnsi="Arial" w:cs="Arial"/>
          <w:sz w:val="24"/>
          <w:szCs w:val="24"/>
        </w:rPr>
        <w:t xml:space="preserve"> </w:t>
      </w:r>
      <w:r w:rsidR="00AD4291" w:rsidRPr="00AD4291">
        <w:rPr>
          <w:rFonts w:ascii="Arial" w:hAnsi="Arial" w:cs="Arial"/>
          <w:sz w:val="24"/>
          <w:szCs w:val="24"/>
        </w:rPr>
        <w:t>(</w:t>
      </w:r>
      <w:r w:rsidRPr="00AD4291">
        <w:rPr>
          <w:rFonts w:ascii="Arial" w:hAnsi="Arial" w:cs="Arial"/>
          <w:sz w:val="24"/>
          <w:szCs w:val="24"/>
        </w:rPr>
        <w:t>normativa argentina)</w:t>
      </w:r>
      <w:r w:rsidR="00C47CD1" w:rsidRPr="00571249">
        <w:rPr>
          <w:rFonts w:ascii="Arial" w:hAnsi="Arial" w:cs="Arial"/>
          <w:sz w:val="24"/>
          <w:szCs w:val="24"/>
        </w:rPr>
        <w:t>, ajenas al marco regulatorio del gas previsto por la Ley 24.076 y su reglamentaria y complementarias. Sobre tal contexto y atento a los balances presentados por la empresa y la situación financiera que se expone en los mismos, desde el año 2013 la Secretar</w:t>
      </w:r>
      <w:r w:rsidR="00EC2042" w:rsidRPr="00571249">
        <w:rPr>
          <w:rFonts w:ascii="Arial" w:hAnsi="Arial" w:cs="Arial"/>
          <w:sz w:val="24"/>
          <w:szCs w:val="24"/>
        </w:rPr>
        <w:t>í</w:t>
      </w:r>
      <w:r w:rsidR="00C47CD1" w:rsidRPr="00571249">
        <w:rPr>
          <w:rFonts w:ascii="Arial" w:hAnsi="Arial" w:cs="Arial"/>
          <w:sz w:val="24"/>
          <w:szCs w:val="24"/>
        </w:rPr>
        <w:t xml:space="preserve">a de Energía exigió dar observancia al régimen de garantía, conforme términos de la Resolución SE 193/03. El </w:t>
      </w:r>
      <w:r w:rsidR="00EC2042" w:rsidRPr="00571249">
        <w:rPr>
          <w:rFonts w:ascii="Arial" w:hAnsi="Arial" w:cs="Arial"/>
          <w:sz w:val="24"/>
          <w:szCs w:val="24"/>
        </w:rPr>
        <w:t>informe jurídico de ANCAP citado esta</w:t>
      </w:r>
      <w:r w:rsidR="00C47CD1" w:rsidRPr="00571249">
        <w:rPr>
          <w:rFonts w:ascii="Arial" w:hAnsi="Arial" w:cs="Arial"/>
          <w:sz w:val="24"/>
          <w:szCs w:val="24"/>
        </w:rPr>
        <w:t xml:space="preserve">blece: “Desde entonces, ANCAP se constituyó como garante de PETROURUGUAY SA por ante la Administración </w:t>
      </w:r>
      <w:r w:rsidR="00AD4291">
        <w:rPr>
          <w:rFonts w:ascii="Arial" w:hAnsi="Arial" w:cs="Arial"/>
          <w:sz w:val="24"/>
          <w:szCs w:val="24"/>
        </w:rPr>
        <w:t>P</w:t>
      </w:r>
      <w:r w:rsidR="00C47CD1" w:rsidRPr="00571249">
        <w:rPr>
          <w:rFonts w:ascii="Arial" w:hAnsi="Arial" w:cs="Arial"/>
          <w:sz w:val="24"/>
          <w:szCs w:val="24"/>
        </w:rPr>
        <w:t xml:space="preserve">ública </w:t>
      </w:r>
      <w:r w:rsidR="00AD4291">
        <w:rPr>
          <w:rFonts w:ascii="Arial" w:hAnsi="Arial" w:cs="Arial"/>
          <w:sz w:val="24"/>
          <w:szCs w:val="24"/>
        </w:rPr>
        <w:t>N</w:t>
      </w:r>
      <w:r w:rsidR="00C47CD1" w:rsidRPr="00571249">
        <w:rPr>
          <w:rFonts w:ascii="Arial" w:hAnsi="Arial" w:cs="Arial"/>
          <w:sz w:val="24"/>
          <w:szCs w:val="24"/>
        </w:rPr>
        <w:t>acio</w:t>
      </w:r>
      <w:r w:rsidR="003D6E03">
        <w:rPr>
          <w:rFonts w:ascii="Arial" w:hAnsi="Arial" w:cs="Arial"/>
          <w:sz w:val="24"/>
          <w:szCs w:val="24"/>
        </w:rPr>
        <w:t>nal de la República Argentina.”</w:t>
      </w:r>
    </w:p>
    <w:p w:rsidR="003D6E03" w:rsidRPr="00571249" w:rsidRDefault="003D6E03" w:rsidP="005A7331">
      <w:pPr>
        <w:pStyle w:val="Prrafodelista"/>
        <w:keepNext/>
        <w:widowControl w:val="0"/>
        <w:spacing w:after="0" w:line="360" w:lineRule="auto"/>
        <w:ind w:left="0" w:firstLine="708"/>
        <w:jc w:val="both"/>
        <w:rPr>
          <w:rFonts w:ascii="Arial" w:hAnsi="Arial" w:cs="Arial"/>
          <w:sz w:val="24"/>
          <w:szCs w:val="24"/>
        </w:rPr>
      </w:pPr>
    </w:p>
    <w:p w:rsidR="00EC2042" w:rsidRDefault="00EC2042" w:rsidP="005A7331">
      <w:pPr>
        <w:pStyle w:val="Ttulo3"/>
        <w:keepLines w:val="0"/>
        <w:widowControl w:val="0"/>
        <w:shd w:val="clear" w:color="auto" w:fill="FFFFFF"/>
        <w:spacing w:before="0" w:line="360" w:lineRule="auto"/>
        <w:ind w:firstLine="708"/>
        <w:rPr>
          <w:rFonts w:ascii="Arial" w:eastAsia="Calibri" w:hAnsi="Arial" w:cs="Arial"/>
          <w:b w:val="0"/>
          <w:bCs w:val="0"/>
          <w:color w:val="auto"/>
          <w:szCs w:val="24"/>
        </w:rPr>
      </w:pPr>
      <w:r w:rsidRPr="00571249">
        <w:rPr>
          <w:rFonts w:ascii="Arial" w:eastAsia="Calibri" w:hAnsi="Arial" w:cs="Arial"/>
          <w:b w:val="0"/>
          <w:bCs w:val="0"/>
          <w:color w:val="auto"/>
          <w:szCs w:val="24"/>
        </w:rPr>
        <w:t xml:space="preserve">La Situación mencionada no fue revelada en las Notas a los estados financieros individuales de ANCAP al 31/12/2015, según lo establece la NIC 37- </w:t>
      </w:r>
      <w:r w:rsidRPr="00AD4291">
        <w:rPr>
          <w:rFonts w:ascii="Arial" w:eastAsia="Calibri" w:hAnsi="Arial" w:cs="Arial"/>
          <w:b w:val="0"/>
          <w:bCs w:val="0"/>
          <w:color w:val="auto"/>
          <w:szCs w:val="24"/>
        </w:rPr>
        <w:t>Provisiones, Pasivos Cont</w:t>
      </w:r>
      <w:r w:rsidR="00AD4291">
        <w:rPr>
          <w:rFonts w:ascii="Arial" w:eastAsia="Calibri" w:hAnsi="Arial" w:cs="Arial"/>
          <w:b w:val="0"/>
          <w:bCs w:val="0"/>
          <w:color w:val="auto"/>
          <w:szCs w:val="24"/>
        </w:rPr>
        <w:t>ingentes y Activos Contingentes.</w:t>
      </w:r>
    </w:p>
    <w:p w:rsidR="00245364" w:rsidRPr="00571249" w:rsidRDefault="000F1F50" w:rsidP="005A7331">
      <w:pPr>
        <w:keepNext/>
        <w:widowControl w:val="0"/>
        <w:spacing w:after="0" w:line="360" w:lineRule="auto"/>
        <w:rPr>
          <w:rFonts w:cs="Arial"/>
          <w:b/>
          <w:bCs/>
          <w:szCs w:val="24"/>
        </w:rPr>
      </w:pPr>
      <w:r>
        <w:rPr>
          <w:rFonts w:cs="Arial"/>
          <w:b/>
          <w:szCs w:val="24"/>
        </w:rPr>
        <w:t>2</w:t>
      </w:r>
      <w:r w:rsidR="00245364" w:rsidRPr="00571249">
        <w:rPr>
          <w:rFonts w:cs="Arial"/>
          <w:b/>
          <w:bCs/>
          <w:szCs w:val="24"/>
        </w:rPr>
        <w:t>.</w:t>
      </w:r>
      <w:r w:rsidR="00645295" w:rsidRPr="001D7C04">
        <w:rPr>
          <w:rFonts w:cs="Arial"/>
          <w:b/>
          <w:bCs/>
          <w:szCs w:val="24"/>
        </w:rPr>
        <w:t>3</w:t>
      </w:r>
      <w:r w:rsidR="00245364" w:rsidRPr="00571249">
        <w:rPr>
          <w:rFonts w:cs="Arial"/>
          <w:b/>
          <w:bCs/>
          <w:szCs w:val="24"/>
        </w:rPr>
        <w:t xml:space="preserve"> Ajustes a precios de venta</w:t>
      </w:r>
    </w:p>
    <w:p w:rsidR="00C47CD1" w:rsidRPr="00571249" w:rsidRDefault="00AB06BF" w:rsidP="005A7331">
      <w:pPr>
        <w:keepNext/>
        <w:widowControl w:val="0"/>
        <w:spacing w:line="360" w:lineRule="auto"/>
        <w:ind w:firstLine="708"/>
        <w:rPr>
          <w:rFonts w:cs="Arial"/>
          <w:bCs/>
          <w:szCs w:val="24"/>
        </w:rPr>
      </w:pPr>
      <w:r w:rsidRPr="00571249">
        <w:rPr>
          <w:rFonts w:cs="Arial"/>
          <w:bCs/>
          <w:szCs w:val="24"/>
        </w:rPr>
        <w:t xml:space="preserve">Con relación a la operativa con UTE </w:t>
      </w:r>
      <w:r w:rsidR="00245364" w:rsidRPr="00571249">
        <w:rPr>
          <w:rFonts w:cs="Arial"/>
          <w:bCs/>
          <w:szCs w:val="24"/>
        </w:rPr>
        <w:t>s</w:t>
      </w:r>
      <w:r w:rsidR="00C47CD1" w:rsidRPr="00571249">
        <w:rPr>
          <w:rFonts w:cs="Arial"/>
          <w:bCs/>
          <w:szCs w:val="24"/>
        </w:rPr>
        <w:t>e determinaron diferencias en</w:t>
      </w:r>
      <w:r w:rsidRPr="00571249">
        <w:rPr>
          <w:rFonts w:cs="Arial"/>
          <w:bCs/>
          <w:szCs w:val="24"/>
        </w:rPr>
        <w:t xml:space="preserve"> </w:t>
      </w:r>
      <w:r w:rsidR="00245364" w:rsidRPr="00571249">
        <w:rPr>
          <w:rFonts w:cs="Arial"/>
          <w:bCs/>
          <w:szCs w:val="24"/>
        </w:rPr>
        <w:t xml:space="preserve">los </w:t>
      </w:r>
      <w:r w:rsidRPr="00571249">
        <w:rPr>
          <w:rFonts w:cs="Arial"/>
          <w:bCs/>
          <w:szCs w:val="24"/>
        </w:rPr>
        <w:t>precios de v</w:t>
      </w:r>
      <w:r w:rsidR="00C47CD1" w:rsidRPr="00571249">
        <w:rPr>
          <w:rFonts w:cs="Arial"/>
          <w:bCs/>
          <w:szCs w:val="24"/>
        </w:rPr>
        <w:t>entas</w:t>
      </w:r>
      <w:r w:rsidRPr="00571249">
        <w:rPr>
          <w:rFonts w:cs="Arial"/>
          <w:bCs/>
          <w:szCs w:val="24"/>
        </w:rPr>
        <w:t xml:space="preserve"> </w:t>
      </w:r>
      <w:r w:rsidR="00245364" w:rsidRPr="00571249">
        <w:rPr>
          <w:rFonts w:cs="Arial"/>
          <w:bCs/>
          <w:szCs w:val="24"/>
        </w:rPr>
        <w:t xml:space="preserve">registrados </w:t>
      </w:r>
      <w:r w:rsidRPr="00571249">
        <w:rPr>
          <w:rFonts w:cs="Arial"/>
          <w:bCs/>
          <w:szCs w:val="24"/>
        </w:rPr>
        <w:t>con posterioridad al cierre del ejercicio</w:t>
      </w:r>
      <w:r w:rsidR="00645295" w:rsidRPr="001D7C04">
        <w:rPr>
          <w:rFonts w:cs="Arial"/>
          <w:bCs/>
          <w:szCs w:val="24"/>
        </w:rPr>
        <w:t>.</w:t>
      </w:r>
    </w:p>
    <w:p w:rsidR="00AB06BF" w:rsidRPr="001D7C04" w:rsidRDefault="00C47CD1" w:rsidP="005A7331">
      <w:pPr>
        <w:keepNext/>
        <w:widowControl w:val="0"/>
        <w:spacing w:after="0" w:line="360" w:lineRule="auto"/>
        <w:rPr>
          <w:rFonts w:cs="Arial"/>
          <w:szCs w:val="24"/>
          <w:lang w:val="es-ES_tradnl"/>
        </w:rPr>
      </w:pPr>
      <w:r w:rsidRPr="001D7C04">
        <w:rPr>
          <w:rFonts w:cs="Arial"/>
          <w:szCs w:val="24"/>
          <w:lang w:val="es-ES_tradnl"/>
        </w:rPr>
        <w:t>Se examinaron facturas y notas de crédito por ajustes de precios</w:t>
      </w:r>
      <w:r w:rsidR="00AA526E" w:rsidRPr="001D7C04">
        <w:rPr>
          <w:rFonts w:cs="Arial"/>
          <w:szCs w:val="24"/>
          <w:lang w:val="es-ES_tradnl"/>
        </w:rPr>
        <w:t xml:space="preserve"> correspondientes al rubro contable  </w:t>
      </w:r>
      <w:r w:rsidR="00AA526E" w:rsidRPr="00571249">
        <w:rPr>
          <w:rFonts w:cs="Arial"/>
          <w:color w:val="000000"/>
          <w:szCs w:val="24"/>
          <w:lang w:eastAsia="es-UY"/>
        </w:rPr>
        <w:t>611121010: “VTA. PLAZA OFICIALES UTE generación”:</w:t>
      </w:r>
    </w:p>
    <w:p w:rsidR="00C47CD1" w:rsidRPr="001D7C04" w:rsidRDefault="00AB06BF" w:rsidP="005A7331">
      <w:pPr>
        <w:pStyle w:val="Prrafodelista"/>
        <w:keepNext/>
        <w:widowControl w:val="0"/>
        <w:numPr>
          <w:ilvl w:val="0"/>
          <w:numId w:val="5"/>
        </w:numPr>
        <w:spacing w:after="0" w:line="360" w:lineRule="auto"/>
        <w:jc w:val="both"/>
        <w:rPr>
          <w:rFonts w:ascii="Arial" w:hAnsi="Arial" w:cs="Arial"/>
          <w:sz w:val="24"/>
          <w:szCs w:val="24"/>
          <w:lang w:val="es-ES_tradnl"/>
        </w:rPr>
      </w:pPr>
      <w:r w:rsidRPr="001D7C04">
        <w:rPr>
          <w:rFonts w:ascii="Arial" w:hAnsi="Arial" w:cs="Arial"/>
          <w:sz w:val="24"/>
          <w:szCs w:val="24"/>
          <w:lang w:val="es-ES_tradnl"/>
        </w:rPr>
        <w:t xml:space="preserve">En el saldo de ventas del ejercicio 2015 se </w:t>
      </w:r>
      <w:r w:rsidR="00AA526E" w:rsidRPr="001D7C04">
        <w:rPr>
          <w:rFonts w:ascii="Arial" w:hAnsi="Arial" w:cs="Arial"/>
          <w:sz w:val="24"/>
          <w:szCs w:val="24"/>
          <w:lang w:val="es-ES_tradnl"/>
        </w:rPr>
        <w:t xml:space="preserve">contabilizaron documentos de </w:t>
      </w:r>
      <w:r w:rsidR="005D6618" w:rsidRPr="001D7C04">
        <w:rPr>
          <w:rFonts w:ascii="Arial" w:hAnsi="Arial" w:cs="Arial"/>
          <w:sz w:val="24"/>
          <w:szCs w:val="24"/>
          <w:lang w:val="es-ES_tradnl"/>
        </w:rPr>
        <w:t xml:space="preserve">ajustes del ejercicio 2014 </w:t>
      </w:r>
      <w:r w:rsidR="00C47CD1" w:rsidRPr="001D7C04">
        <w:rPr>
          <w:rFonts w:ascii="Arial" w:hAnsi="Arial" w:cs="Arial"/>
          <w:sz w:val="24"/>
          <w:szCs w:val="24"/>
          <w:lang w:val="es-ES_tradnl"/>
        </w:rPr>
        <w:t>por un importe neto negativo de</w:t>
      </w:r>
      <w:r w:rsidR="005D6618" w:rsidRPr="001D7C04">
        <w:rPr>
          <w:rFonts w:ascii="Arial" w:hAnsi="Arial" w:cs="Arial"/>
          <w:sz w:val="24"/>
          <w:szCs w:val="24"/>
          <w:lang w:val="es-ES_tradnl"/>
        </w:rPr>
        <w:t xml:space="preserve"> U$S</w:t>
      </w:r>
      <w:r w:rsidR="00AA526E" w:rsidRPr="001D7C04">
        <w:rPr>
          <w:rFonts w:ascii="Arial" w:hAnsi="Arial" w:cs="Arial"/>
          <w:sz w:val="24"/>
          <w:szCs w:val="24"/>
          <w:lang w:val="es-ES_tradnl"/>
        </w:rPr>
        <w:t>5.423.306</w:t>
      </w:r>
      <w:r w:rsidR="00DE779A" w:rsidRPr="001D7C04">
        <w:rPr>
          <w:rFonts w:ascii="Arial" w:hAnsi="Arial" w:cs="Arial"/>
          <w:sz w:val="24"/>
          <w:szCs w:val="24"/>
          <w:lang w:val="es-ES_tradnl"/>
        </w:rPr>
        <w:t>, equivalentes a $ 148:002.021</w:t>
      </w:r>
      <w:r w:rsidR="005D6618" w:rsidRPr="001D7C04">
        <w:rPr>
          <w:rFonts w:ascii="Arial" w:hAnsi="Arial" w:cs="Arial"/>
          <w:sz w:val="24"/>
          <w:szCs w:val="24"/>
          <w:lang w:val="es-ES_tradnl"/>
        </w:rPr>
        <w:t>.</w:t>
      </w:r>
    </w:p>
    <w:p w:rsidR="00AA526E" w:rsidRPr="001D7C04" w:rsidRDefault="00C47CD1" w:rsidP="005A7331">
      <w:pPr>
        <w:pStyle w:val="Prrafodelista"/>
        <w:keepNext/>
        <w:widowControl w:val="0"/>
        <w:numPr>
          <w:ilvl w:val="0"/>
          <w:numId w:val="5"/>
        </w:numPr>
        <w:spacing w:line="360" w:lineRule="auto"/>
        <w:jc w:val="both"/>
        <w:rPr>
          <w:rFonts w:ascii="Arial" w:hAnsi="Arial" w:cs="Arial"/>
          <w:sz w:val="24"/>
          <w:szCs w:val="24"/>
          <w:lang w:val="es-ES_tradnl"/>
        </w:rPr>
      </w:pPr>
      <w:r w:rsidRPr="00571249">
        <w:rPr>
          <w:rFonts w:ascii="Arial" w:hAnsi="Arial" w:cs="Arial"/>
          <w:sz w:val="24"/>
          <w:szCs w:val="24"/>
          <w:lang w:val="es-ES_tradnl"/>
        </w:rPr>
        <w:t>Asimismo</w:t>
      </w:r>
      <w:r w:rsidR="005D6618" w:rsidRPr="00571249">
        <w:rPr>
          <w:rFonts w:ascii="Arial" w:hAnsi="Arial" w:cs="Arial"/>
          <w:sz w:val="24"/>
          <w:szCs w:val="24"/>
          <w:lang w:val="es-ES_tradnl"/>
        </w:rPr>
        <w:t>, el saldo de ventas del ejercicio 2015 no incluye:</w:t>
      </w:r>
    </w:p>
    <w:p w:rsidR="00AA526E" w:rsidRPr="00757660" w:rsidRDefault="005D6618" w:rsidP="005A7331">
      <w:pPr>
        <w:pStyle w:val="Prrafodelista"/>
        <w:keepNext/>
        <w:widowControl w:val="0"/>
        <w:numPr>
          <w:ilvl w:val="0"/>
          <w:numId w:val="13"/>
        </w:numPr>
        <w:spacing w:line="360" w:lineRule="auto"/>
        <w:ind w:left="1080"/>
        <w:jc w:val="both"/>
        <w:rPr>
          <w:rFonts w:ascii="Arial" w:hAnsi="Arial" w:cs="Arial"/>
          <w:sz w:val="24"/>
          <w:szCs w:val="24"/>
          <w:lang w:val="es-ES_tradnl"/>
        </w:rPr>
      </w:pPr>
      <w:r w:rsidRPr="00AD4291">
        <w:rPr>
          <w:rFonts w:ascii="Arial" w:hAnsi="Arial" w:cs="Arial"/>
          <w:sz w:val="24"/>
          <w:szCs w:val="24"/>
          <w:lang w:val="es-ES_tradnl"/>
        </w:rPr>
        <w:t>l</w:t>
      </w:r>
      <w:r w:rsidR="00C47CD1" w:rsidRPr="00AD4291">
        <w:rPr>
          <w:rFonts w:ascii="Arial" w:hAnsi="Arial" w:cs="Arial"/>
          <w:sz w:val="24"/>
          <w:szCs w:val="24"/>
          <w:lang w:val="es-ES_tradnl"/>
        </w:rPr>
        <w:t>a Nota de Crédito (N/C 29.357) de fecha 30/5/2016 que corresponde a un ajuste de precio del ejercicio 2015 por U$S1.283.302</w:t>
      </w:r>
      <w:r w:rsidR="00F96D71" w:rsidRPr="00AD4291">
        <w:rPr>
          <w:rFonts w:ascii="Arial" w:hAnsi="Arial" w:cs="Arial"/>
          <w:sz w:val="24"/>
          <w:szCs w:val="24"/>
          <w:lang w:val="es-ES_tradnl"/>
        </w:rPr>
        <w:t xml:space="preserve">, equivalentes a $ </w:t>
      </w:r>
      <w:r w:rsidR="007A3043" w:rsidRPr="00AD4291">
        <w:rPr>
          <w:rFonts w:ascii="Arial" w:hAnsi="Arial" w:cs="Arial"/>
          <w:sz w:val="24"/>
          <w:szCs w:val="24"/>
          <w:lang w:val="es-ES_tradnl"/>
        </w:rPr>
        <w:t>39:985.116</w:t>
      </w:r>
      <w:r w:rsidR="00AA526E" w:rsidRPr="00AD4291">
        <w:rPr>
          <w:rFonts w:ascii="Arial" w:hAnsi="Arial" w:cs="Arial"/>
          <w:sz w:val="24"/>
          <w:szCs w:val="24"/>
          <w:lang w:val="es-ES_tradnl"/>
        </w:rPr>
        <w:t xml:space="preserve"> que fue contabilizada en el ejercicio 2016</w:t>
      </w:r>
      <w:r w:rsidR="003D6E03">
        <w:rPr>
          <w:rFonts w:ascii="Arial" w:hAnsi="Arial" w:cs="Arial"/>
          <w:sz w:val="24"/>
          <w:szCs w:val="24"/>
          <w:lang w:val="es-ES_tradnl"/>
        </w:rPr>
        <w:t>.</w:t>
      </w:r>
    </w:p>
    <w:p w:rsidR="00C47CD1" w:rsidRPr="001D7C04" w:rsidRDefault="00AD4291" w:rsidP="005A7331">
      <w:pPr>
        <w:pStyle w:val="Prrafodelista"/>
        <w:keepNext/>
        <w:widowControl w:val="0"/>
        <w:numPr>
          <w:ilvl w:val="0"/>
          <w:numId w:val="13"/>
        </w:numPr>
        <w:spacing w:line="360" w:lineRule="auto"/>
        <w:ind w:left="1080"/>
        <w:jc w:val="both"/>
        <w:rPr>
          <w:rFonts w:ascii="Arial" w:hAnsi="Arial" w:cs="Arial"/>
          <w:sz w:val="24"/>
          <w:szCs w:val="24"/>
          <w:lang w:val="es-ES_tradnl"/>
        </w:rPr>
      </w:pPr>
      <w:r>
        <w:rPr>
          <w:rFonts w:ascii="Arial" w:hAnsi="Arial" w:cs="Arial"/>
          <w:sz w:val="24"/>
          <w:szCs w:val="24"/>
          <w:lang w:val="es-ES_tradnl"/>
        </w:rPr>
        <w:t xml:space="preserve">los </w:t>
      </w:r>
      <w:r w:rsidR="005D6618" w:rsidRPr="001D7C04">
        <w:rPr>
          <w:rFonts w:ascii="Arial" w:hAnsi="Arial" w:cs="Arial"/>
          <w:sz w:val="24"/>
          <w:szCs w:val="24"/>
          <w:lang w:val="es-ES_tradnl"/>
        </w:rPr>
        <w:t xml:space="preserve">ajustes de precios de </w:t>
      </w:r>
      <w:r w:rsidR="00C47CD1" w:rsidRPr="001D7C04">
        <w:rPr>
          <w:rFonts w:ascii="Arial" w:hAnsi="Arial" w:cs="Arial"/>
          <w:sz w:val="24"/>
          <w:szCs w:val="24"/>
          <w:lang w:val="es-ES_tradnl"/>
        </w:rPr>
        <w:t xml:space="preserve">ventas del ejercicio 2015 que permanecían sin </w:t>
      </w:r>
      <w:r w:rsidR="00AB06BF" w:rsidRPr="001D7C04">
        <w:rPr>
          <w:rFonts w:ascii="Arial" w:hAnsi="Arial" w:cs="Arial"/>
          <w:sz w:val="24"/>
          <w:szCs w:val="24"/>
          <w:lang w:val="es-ES_tradnl"/>
        </w:rPr>
        <w:t>documentar ni contabilizar</w:t>
      </w:r>
      <w:r w:rsidR="00C47CD1" w:rsidRPr="001D7C04">
        <w:rPr>
          <w:rFonts w:ascii="Arial" w:hAnsi="Arial" w:cs="Arial"/>
          <w:sz w:val="24"/>
          <w:szCs w:val="24"/>
          <w:lang w:val="es-ES_tradnl"/>
        </w:rPr>
        <w:t xml:space="preserve"> a la fecha de nuestras actuaciones, cuy</w:t>
      </w:r>
      <w:r w:rsidR="00670510">
        <w:rPr>
          <w:rFonts w:ascii="Arial" w:hAnsi="Arial" w:cs="Arial"/>
          <w:sz w:val="24"/>
          <w:szCs w:val="24"/>
          <w:lang w:val="es-ES_tradnl"/>
        </w:rPr>
        <w:t>o valor es de U$S 7:792.323,57, equivalentes a $</w:t>
      </w:r>
      <w:r w:rsidR="008A4566">
        <w:rPr>
          <w:rFonts w:ascii="Arial" w:hAnsi="Arial" w:cs="Arial"/>
          <w:sz w:val="24"/>
          <w:szCs w:val="24"/>
          <w:lang w:val="es-ES_tradnl"/>
        </w:rPr>
        <w:t xml:space="preserve"> </w:t>
      </w:r>
      <w:r w:rsidR="00670510">
        <w:rPr>
          <w:rFonts w:ascii="Arial" w:hAnsi="Arial" w:cs="Arial"/>
          <w:sz w:val="24"/>
          <w:szCs w:val="24"/>
          <w:lang w:val="es-ES_tradnl"/>
        </w:rPr>
        <w:t>212.652.522.</w:t>
      </w:r>
    </w:p>
    <w:tbl>
      <w:tblPr>
        <w:tblW w:w="8589" w:type="dxa"/>
        <w:tblInd w:w="55" w:type="dxa"/>
        <w:tblCellMar>
          <w:left w:w="70" w:type="dxa"/>
          <w:right w:w="70" w:type="dxa"/>
        </w:tblCellMar>
        <w:tblLook w:val="04A0" w:firstRow="1" w:lastRow="0" w:firstColumn="1" w:lastColumn="0" w:noHBand="0" w:noVBand="1"/>
      </w:tblPr>
      <w:tblGrid>
        <w:gridCol w:w="4646"/>
        <w:gridCol w:w="1845"/>
        <w:gridCol w:w="2098"/>
      </w:tblGrid>
      <w:tr w:rsidR="005D6618" w:rsidRPr="001D7C04" w:rsidTr="00571249">
        <w:trPr>
          <w:trHeight w:val="315"/>
        </w:trPr>
        <w:tc>
          <w:tcPr>
            <w:tcW w:w="4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center"/>
              <w:rPr>
                <w:rFonts w:eastAsia="Times New Roman" w:cs="Arial"/>
                <w:b/>
                <w:bCs/>
                <w:color w:val="000000"/>
                <w:szCs w:val="24"/>
                <w:lang w:eastAsia="es-UY"/>
              </w:rPr>
            </w:pPr>
            <w:r w:rsidRPr="00571249">
              <w:rPr>
                <w:rFonts w:eastAsia="Times New Roman" w:cs="Arial"/>
                <w:b/>
                <w:bCs/>
                <w:color w:val="000000"/>
                <w:szCs w:val="24"/>
                <w:lang w:eastAsia="es-UY"/>
              </w:rPr>
              <w:t>Concepto</w:t>
            </w:r>
          </w:p>
        </w:tc>
        <w:tc>
          <w:tcPr>
            <w:tcW w:w="1845" w:type="dxa"/>
            <w:tcBorders>
              <w:top w:val="single" w:sz="8" w:space="0" w:color="auto"/>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center"/>
              <w:rPr>
                <w:rFonts w:eastAsia="Times New Roman" w:cs="Arial"/>
                <w:b/>
                <w:bCs/>
                <w:color w:val="000000"/>
                <w:szCs w:val="24"/>
                <w:lang w:eastAsia="es-UY"/>
              </w:rPr>
            </w:pPr>
            <w:r w:rsidRPr="00571249">
              <w:rPr>
                <w:rFonts w:eastAsia="Times New Roman" w:cs="Arial"/>
                <w:b/>
                <w:bCs/>
                <w:color w:val="000000"/>
                <w:szCs w:val="24"/>
                <w:lang w:eastAsia="es-UY"/>
              </w:rPr>
              <w:t>U$S</w:t>
            </w:r>
          </w:p>
        </w:tc>
        <w:tc>
          <w:tcPr>
            <w:tcW w:w="2098" w:type="dxa"/>
            <w:tcBorders>
              <w:top w:val="single" w:sz="8" w:space="0" w:color="auto"/>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center"/>
              <w:rPr>
                <w:rFonts w:eastAsia="Times New Roman" w:cs="Arial"/>
                <w:b/>
                <w:bCs/>
                <w:color w:val="000000"/>
                <w:szCs w:val="24"/>
                <w:lang w:eastAsia="es-UY"/>
              </w:rPr>
            </w:pPr>
            <w:r w:rsidRPr="00571249">
              <w:rPr>
                <w:rFonts w:eastAsia="Times New Roman" w:cs="Arial"/>
                <w:b/>
                <w:bCs/>
                <w:color w:val="000000"/>
                <w:szCs w:val="24"/>
                <w:lang w:eastAsia="es-UY"/>
              </w:rPr>
              <w:t>$</w:t>
            </w:r>
          </w:p>
        </w:tc>
      </w:tr>
      <w:tr w:rsidR="005D6618" w:rsidRPr="001D7C04" w:rsidTr="00571249">
        <w:trPr>
          <w:trHeight w:val="300"/>
        </w:trPr>
        <w:tc>
          <w:tcPr>
            <w:tcW w:w="4646" w:type="dxa"/>
            <w:tcBorders>
              <w:top w:val="nil"/>
              <w:left w:val="single" w:sz="8" w:space="0" w:color="auto"/>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rPr>
                <w:rFonts w:eastAsia="Times New Roman" w:cs="Arial"/>
                <w:color w:val="000000"/>
                <w:szCs w:val="24"/>
                <w:lang w:eastAsia="es-UY"/>
              </w:rPr>
            </w:pPr>
            <w:r w:rsidRPr="00571249">
              <w:rPr>
                <w:rFonts w:eastAsia="Times New Roman" w:cs="Arial"/>
                <w:color w:val="000000"/>
                <w:szCs w:val="24"/>
                <w:lang w:eastAsia="es-UY"/>
              </w:rPr>
              <w:t xml:space="preserve">Ajustes de precios del año 2014 contabilizados en 2015  </w:t>
            </w:r>
          </w:p>
        </w:tc>
        <w:tc>
          <w:tcPr>
            <w:tcW w:w="1845"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color w:val="000000"/>
                <w:szCs w:val="24"/>
                <w:lang w:eastAsia="es-UY"/>
              </w:rPr>
            </w:pPr>
            <w:r w:rsidRPr="00571249">
              <w:rPr>
                <w:rFonts w:eastAsia="Times New Roman" w:cs="Arial"/>
                <w:color w:val="000000"/>
                <w:szCs w:val="24"/>
                <w:lang w:eastAsia="es-UY"/>
              </w:rPr>
              <w:t>5.423.306</w:t>
            </w:r>
          </w:p>
        </w:tc>
        <w:tc>
          <w:tcPr>
            <w:tcW w:w="2098"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color w:val="000000"/>
                <w:szCs w:val="24"/>
                <w:lang w:eastAsia="es-UY"/>
              </w:rPr>
            </w:pPr>
            <w:r w:rsidRPr="00571249">
              <w:rPr>
                <w:rFonts w:eastAsia="Times New Roman" w:cs="Arial"/>
                <w:color w:val="000000"/>
                <w:szCs w:val="24"/>
                <w:lang w:eastAsia="es-UY"/>
              </w:rPr>
              <w:t>148.002.021</w:t>
            </w:r>
          </w:p>
        </w:tc>
      </w:tr>
      <w:tr w:rsidR="005D6618" w:rsidRPr="001D7C04" w:rsidTr="00571249">
        <w:trPr>
          <w:trHeight w:val="300"/>
        </w:trPr>
        <w:tc>
          <w:tcPr>
            <w:tcW w:w="4646" w:type="dxa"/>
            <w:tcBorders>
              <w:top w:val="nil"/>
              <w:left w:val="single" w:sz="8" w:space="0" w:color="auto"/>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rPr>
                <w:rFonts w:eastAsia="Times New Roman" w:cs="Arial"/>
                <w:color w:val="000000"/>
                <w:szCs w:val="24"/>
                <w:lang w:eastAsia="es-UY"/>
              </w:rPr>
            </w:pPr>
            <w:r w:rsidRPr="00571249">
              <w:rPr>
                <w:rFonts w:eastAsia="Times New Roman" w:cs="Arial"/>
                <w:color w:val="000000"/>
                <w:szCs w:val="24"/>
                <w:lang w:eastAsia="es-UY"/>
              </w:rPr>
              <w:t xml:space="preserve">Ajustes de precios del año 2015 contabilizados en 2016 </w:t>
            </w:r>
          </w:p>
        </w:tc>
        <w:tc>
          <w:tcPr>
            <w:tcW w:w="1845"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color w:val="000000"/>
                <w:szCs w:val="24"/>
                <w:lang w:eastAsia="es-UY"/>
              </w:rPr>
            </w:pPr>
            <w:r w:rsidRPr="00571249">
              <w:rPr>
                <w:rFonts w:eastAsia="Times New Roman" w:cs="Arial"/>
                <w:color w:val="000000"/>
                <w:szCs w:val="24"/>
                <w:lang w:eastAsia="es-UY"/>
              </w:rPr>
              <w:t>-1.283.302</w:t>
            </w:r>
          </w:p>
        </w:tc>
        <w:tc>
          <w:tcPr>
            <w:tcW w:w="2098"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color w:val="000000"/>
                <w:szCs w:val="24"/>
                <w:lang w:eastAsia="es-UY"/>
              </w:rPr>
            </w:pPr>
            <w:r w:rsidRPr="00571249">
              <w:rPr>
                <w:rFonts w:eastAsia="Times New Roman" w:cs="Arial"/>
                <w:color w:val="000000"/>
                <w:szCs w:val="24"/>
                <w:lang w:eastAsia="es-UY"/>
              </w:rPr>
              <w:t>-</w:t>
            </w:r>
            <w:r w:rsidR="007A3043" w:rsidRPr="00571249">
              <w:rPr>
                <w:rFonts w:eastAsia="Times New Roman" w:cs="Arial"/>
                <w:color w:val="000000"/>
                <w:szCs w:val="24"/>
                <w:lang w:eastAsia="es-UY"/>
              </w:rPr>
              <w:t>39.985.116</w:t>
            </w:r>
          </w:p>
        </w:tc>
      </w:tr>
      <w:tr w:rsidR="005D6618" w:rsidRPr="001D7C04" w:rsidTr="00571249">
        <w:trPr>
          <w:trHeight w:val="300"/>
        </w:trPr>
        <w:tc>
          <w:tcPr>
            <w:tcW w:w="4646" w:type="dxa"/>
            <w:tcBorders>
              <w:top w:val="nil"/>
              <w:left w:val="single" w:sz="8" w:space="0" w:color="auto"/>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rPr>
                <w:rFonts w:eastAsia="Times New Roman" w:cs="Arial"/>
                <w:color w:val="000000"/>
                <w:szCs w:val="24"/>
                <w:lang w:eastAsia="es-UY"/>
              </w:rPr>
            </w:pPr>
            <w:r w:rsidRPr="00571249">
              <w:rPr>
                <w:rFonts w:eastAsia="Times New Roman" w:cs="Arial"/>
                <w:color w:val="000000"/>
                <w:szCs w:val="24"/>
                <w:lang w:eastAsia="es-UY"/>
              </w:rPr>
              <w:t>Ajustes de precios del año 2015 no contabilizados a la fecha de las actuaciones (</w:t>
            </w:r>
            <w:proofErr w:type="spellStart"/>
            <w:r w:rsidRPr="00571249">
              <w:rPr>
                <w:rFonts w:eastAsia="Times New Roman" w:cs="Arial"/>
                <w:color w:val="000000"/>
                <w:szCs w:val="24"/>
                <w:lang w:eastAsia="es-UY"/>
              </w:rPr>
              <w:t>cotiz</w:t>
            </w:r>
            <w:proofErr w:type="spellEnd"/>
            <w:r w:rsidRPr="00571249">
              <w:rPr>
                <w:rFonts w:eastAsia="Times New Roman" w:cs="Arial"/>
                <w:color w:val="000000"/>
                <w:szCs w:val="24"/>
                <w:lang w:eastAsia="es-UY"/>
              </w:rPr>
              <w:t xml:space="preserve">. </w:t>
            </w:r>
            <w:proofErr w:type="spellStart"/>
            <w:r w:rsidRPr="00571249">
              <w:rPr>
                <w:rFonts w:eastAsia="Times New Roman" w:cs="Arial"/>
                <w:color w:val="000000"/>
                <w:szCs w:val="24"/>
                <w:lang w:eastAsia="es-UY"/>
              </w:rPr>
              <w:t>prom</w:t>
            </w:r>
            <w:proofErr w:type="spellEnd"/>
            <w:r w:rsidRPr="00571249">
              <w:rPr>
                <w:rFonts w:eastAsia="Times New Roman" w:cs="Arial"/>
                <w:color w:val="000000"/>
                <w:szCs w:val="24"/>
                <w:lang w:eastAsia="es-UY"/>
              </w:rPr>
              <w:t>.)</w:t>
            </w:r>
          </w:p>
        </w:tc>
        <w:tc>
          <w:tcPr>
            <w:tcW w:w="1845"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color w:val="000000"/>
                <w:szCs w:val="24"/>
                <w:lang w:eastAsia="es-UY"/>
              </w:rPr>
            </w:pPr>
            <w:r w:rsidRPr="00571249">
              <w:rPr>
                <w:rFonts w:eastAsia="Times New Roman" w:cs="Arial"/>
                <w:color w:val="000000"/>
                <w:szCs w:val="24"/>
                <w:lang w:eastAsia="es-UY"/>
              </w:rPr>
              <w:t>7.792.324</w:t>
            </w:r>
          </w:p>
        </w:tc>
        <w:tc>
          <w:tcPr>
            <w:tcW w:w="2098"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color w:val="000000"/>
                <w:szCs w:val="24"/>
                <w:lang w:eastAsia="es-UY"/>
              </w:rPr>
            </w:pPr>
            <w:r w:rsidRPr="00571249">
              <w:rPr>
                <w:rFonts w:eastAsia="Times New Roman" w:cs="Arial"/>
                <w:color w:val="000000"/>
                <w:szCs w:val="24"/>
                <w:lang w:eastAsia="es-UY"/>
              </w:rPr>
              <w:t>212.652.522</w:t>
            </w:r>
          </w:p>
        </w:tc>
      </w:tr>
      <w:tr w:rsidR="005D6618" w:rsidRPr="001D7C04" w:rsidTr="00AD4291">
        <w:trPr>
          <w:trHeight w:val="300"/>
        </w:trPr>
        <w:tc>
          <w:tcPr>
            <w:tcW w:w="4646" w:type="dxa"/>
            <w:tcBorders>
              <w:top w:val="nil"/>
              <w:left w:val="single" w:sz="8" w:space="0" w:color="auto"/>
              <w:bottom w:val="single" w:sz="8" w:space="0" w:color="auto"/>
              <w:right w:val="single" w:sz="8" w:space="0" w:color="auto"/>
            </w:tcBorders>
            <w:shd w:val="clear" w:color="auto" w:fill="auto"/>
            <w:noWrap/>
            <w:vAlign w:val="bottom"/>
            <w:hideMark/>
          </w:tcPr>
          <w:p w:rsidR="005D6618" w:rsidRPr="00571249" w:rsidRDefault="005D6618" w:rsidP="005A7331">
            <w:pPr>
              <w:keepNext/>
              <w:widowControl w:val="0"/>
              <w:spacing w:after="0" w:line="240" w:lineRule="auto"/>
              <w:jc w:val="left"/>
              <w:rPr>
                <w:rFonts w:eastAsia="Times New Roman" w:cs="Arial"/>
                <w:b/>
                <w:color w:val="000000"/>
                <w:szCs w:val="24"/>
                <w:lang w:eastAsia="es-UY"/>
              </w:rPr>
            </w:pPr>
            <w:r w:rsidRPr="00571249">
              <w:rPr>
                <w:rFonts w:eastAsia="Times New Roman" w:cs="Arial"/>
                <w:b/>
                <w:color w:val="000000"/>
                <w:szCs w:val="24"/>
                <w:lang w:eastAsia="es-UY"/>
              </w:rPr>
              <w:t>Total subvaluación</w:t>
            </w:r>
            <w:r w:rsidR="007A3043" w:rsidRPr="00571249">
              <w:rPr>
                <w:rFonts w:eastAsia="Times New Roman" w:cs="Arial"/>
                <w:b/>
                <w:color w:val="000000"/>
                <w:szCs w:val="24"/>
                <w:lang w:eastAsia="es-UY"/>
              </w:rPr>
              <w:t xml:space="preserve"> estimativa </w:t>
            </w:r>
            <w:r w:rsidRPr="00571249">
              <w:rPr>
                <w:rFonts w:eastAsia="Times New Roman" w:cs="Arial"/>
                <w:b/>
                <w:color w:val="000000"/>
                <w:szCs w:val="24"/>
                <w:lang w:eastAsia="es-UY"/>
              </w:rPr>
              <w:t xml:space="preserve">de Ventas </w:t>
            </w:r>
            <w:r w:rsidR="007A3043" w:rsidRPr="00571249">
              <w:rPr>
                <w:rFonts w:eastAsia="Times New Roman" w:cs="Arial"/>
                <w:b/>
                <w:color w:val="000000"/>
                <w:szCs w:val="24"/>
                <w:lang w:eastAsia="es-UY"/>
              </w:rPr>
              <w:t xml:space="preserve">del ejercicio </w:t>
            </w:r>
            <w:r w:rsidRPr="00571249">
              <w:rPr>
                <w:rFonts w:eastAsia="Times New Roman" w:cs="Arial"/>
                <w:b/>
                <w:color w:val="000000"/>
                <w:szCs w:val="24"/>
                <w:lang w:eastAsia="es-UY"/>
              </w:rPr>
              <w:t>2015</w:t>
            </w:r>
          </w:p>
        </w:tc>
        <w:tc>
          <w:tcPr>
            <w:tcW w:w="1845" w:type="dxa"/>
            <w:tcBorders>
              <w:top w:val="nil"/>
              <w:left w:val="nil"/>
              <w:bottom w:val="single" w:sz="8" w:space="0" w:color="auto"/>
              <w:right w:val="single" w:sz="8" w:space="0" w:color="auto"/>
            </w:tcBorders>
            <w:shd w:val="clear" w:color="auto" w:fill="auto"/>
            <w:noWrap/>
            <w:vAlign w:val="center"/>
            <w:hideMark/>
          </w:tcPr>
          <w:p w:rsidR="005D6618" w:rsidRPr="00571249" w:rsidRDefault="005D6618" w:rsidP="005A7331">
            <w:pPr>
              <w:keepNext/>
              <w:widowControl w:val="0"/>
              <w:spacing w:after="0" w:line="240" w:lineRule="auto"/>
              <w:jc w:val="right"/>
              <w:rPr>
                <w:rFonts w:eastAsia="Times New Roman" w:cs="Arial"/>
                <w:b/>
                <w:color w:val="000000"/>
                <w:szCs w:val="24"/>
                <w:lang w:eastAsia="es-UY"/>
              </w:rPr>
            </w:pPr>
            <w:r w:rsidRPr="00571249">
              <w:rPr>
                <w:rFonts w:eastAsia="Times New Roman" w:cs="Arial"/>
                <w:b/>
                <w:color w:val="000000"/>
                <w:szCs w:val="24"/>
                <w:lang w:eastAsia="es-UY"/>
              </w:rPr>
              <w:t>11.932.328</w:t>
            </w:r>
          </w:p>
        </w:tc>
        <w:tc>
          <w:tcPr>
            <w:tcW w:w="2098" w:type="dxa"/>
            <w:tcBorders>
              <w:top w:val="nil"/>
              <w:left w:val="nil"/>
              <w:bottom w:val="single" w:sz="8" w:space="0" w:color="auto"/>
              <w:right w:val="single" w:sz="8" w:space="0" w:color="auto"/>
            </w:tcBorders>
            <w:shd w:val="clear" w:color="auto" w:fill="auto"/>
            <w:noWrap/>
            <w:vAlign w:val="center"/>
          </w:tcPr>
          <w:p w:rsidR="005D6618" w:rsidRPr="00571249" w:rsidRDefault="007A3043" w:rsidP="005A7331">
            <w:pPr>
              <w:keepNext/>
              <w:widowControl w:val="0"/>
              <w:spacing w:after="0" w:line="240" w:lineRule="auto"/>
              <w:jc w:val="right"/>
              <w:rPr>
                <w:rFonts w:eastAsia="Times New Roman" w:cs="Arial"/>
                <w:b/>
                <w:color w:val="000000"/>
                <w:szCs w:val="24"/>
                <w:lang w:eastAsia="es-UY"/>
              </w:rPr>
            </w:pPr>
            <w:r w:rsidRPr="00571249">
              <w:rPr>
                <w:rFonts w:eastAsia="Times New Roman" w:cs="Arial"/>
                <w:b/>
                <w:color w:val="000000"/>
                <w:szCs w:val="24"/>
                <w:lang w:eastAsia="es-UY"/>
              </w:rPr>
              <w:t>320.669.427</w:t>
            </w:r>
          </w:p>
        </w:tc>
      </w:tr>
    </w:tbl>
    <w:p w:rsidR="00C47CD1" w:rsidRPr="00571249" w:rsidRDefault="00C47CD1" w:rsidP="005A7331">
      <w:pPr>
        <w:keepNext/>
        <w:widowControl w:val="0"/>
        <w:spacing w:after="0"/>
        <w:rPr>
          <w:rFonts w:cs="Arial"/>
          <w:szCs w:val="24"/>
        </w:rPr>
      </w:pPr>
      <w:r w:rsidRPr="00571249">
        <w:rPr>
          <w:rFonts w:cs="Arial"/>
          <w:szCs w:val="24"/>
        </w:rPr>
        <w:t xml:space="preserve"> </w:t>
      </w:r>
    </w:p>
    <w:p w:rsidR="003D6E03" w:rsidRDefault="003D6E03" w:rsidP="005A7331">
      <w:pPr>
        <w:keepNext/>
        <w:widowControl w:val="0"/>
        <w:tabs>
          <w:tab w:val="left" w:pos="1134"/>
          <w:tab w:val="right" w:pos="5387"/>
          <w:tab w:val="right" w:pos="8222"/>
        </w:tabs>
        <w:spacing w:after="0" w:line="360" w:lineRule="auto"/>
        <w:rPr>
          <w:rFonts w:cs="Arial"/>
          <w:b/>
          <w:bCs/>
          <w:szCs w:val="24"/>
        </w:rPr>
      </w:pPr>
    </w:p>
    <w:p w:rsidR="00C47CD1" w:rsidRPr="00571249" w:rsidRDefault="000F1F50" w:rsidP="005A7331">
      <w:pPr>
        <w:keepNext/>
        <w:widowControl w:val="0"/>
        <w:tabs>
          <w:tab w:val="left" w:pos="1134"/>
          <w:tab w:val="right" w:pos="5387"/>
          <w:tab w:val="right" w:pos="8222"/>
        </w:tabs>
        <w:spacing w:after="0" w:line="360" w:lineRule="auto"/>
        <w:rPr>
          <w:rFonts w:cs="Arial"/>
          <w:b/>
          <w:bCs/>
          <w:szCs w:val="24"/>
        </w:rPr>
      </w:pPr>
      <w:r>
        <w:rPr>
          <w:rFonts w:cs="Arial"/>
          <w:b/>
          <w:bCs/>
          <w:szCs w:val="24"/>
        </w:rPr>
        <w:t>2</w:t>
      </w:r>
      <w:r w:rsidR="00645295" w:rsidRPr="00571249">
        <w:rPr>
          <w:rFonts w:cs="Arial"/>
          <w:b/>
          <w:bCs/>
          <w:szCs w:val="24"/>
        </w:rPr>
        <w:t>.4</w:t>
      </w:r>
      <w:r w:rsidR="00C47CD1" w:rsidRPr="00571249">
        <w:rPr>
          <w:rFonts w:cs="Arial"/>
          <w:b/>
          <w:bCs/>
          <w:szCs w:val="24"/>
        </w:rPr>
        <w:t xml:space="preserve"> Anticipos por compras</w:t>
      </w:r>
    </w:p>
    <w:p w:rsidR="00C47CD1" w:rsidRPr="001D7C04" w:rsidRDefault="00C47CD1" w:rsidP="005A7331">
      <w:pPr>
        <w:pStyle w:val="Prrafodelista"/>
        <w:keepNext/>
        <w:widowControl w:val="0"/>
        <w:numPr>
          <w:ilvl w:val="0"/>
          <w:numId w:val="4"/>
        </w:numPr>
        <w:tabs>
          <w:tab w:val="left" w:pos="1134"/>
          <w:tab w:val="right" w:pos="5387"/>
          <w:tab w:val="right" w:pos="8222"/>
        </w:tabs>
        <w:spacing w:line="360" w:lineRule="auto"/>
        <w:ind w:left="426" w:firstLine="0"/>
        <w:jc w:val="both"/>
        <w:rPr>
          <w:rFonts w:ascii="Arial" w:hAnsi="Arial" w:cs="Arial"/>
          <w:sz w:val="24"/>
          <w:szCs w:val="24"/>
          <w:lang w:val="es-ES_tradnl"/>
        </w:rPr>
      </w:pPr>
      <w:r w:rsidRPr="001D7C04">
        <w:rPr>
          <w:rFonts w:ascii="Arial" w:hAnsi="Arial" w:cs="Arial"/>
          <w:sz w:val="24"/>
          <w:szCs w:val="24"/>
          <w:lang w:val="es-ES_tradnl"/>
        </w:rPr>
        <w:t xml:space="preserve">En el rubro 132011100 se incluyen los anticipos a “BPS-Obras” por un importe de $ 19.877.323,78 el cual está </w:t>
      </w:r>
      <w:r w:rsidR="00AA526E" w:rsidRPr="001D7C04">
        <w:rPr>
          <w:rFonts w:ascii="Arial" w:hAnsi="Arial" w:cs="Arial"/>
          <w:sz w:val="24"/>
          <w:szCs w:val="24"/>
          <w:lang w:val="es-ES_tradnl"/>
        </w:rPr>
        <w:t>integrado</w:t>
      </w:r>
      <w:r w:rsidRPr="001D7C04">
        <w:rPr>
          <w:rFonts w:ascii="Arial" w:hAnsi="Arial" w:cs="Arial"/>
          <w:sz w:val="24"/>
          <w:szCs w:val="24"/>
          <w:lang w:val="es-ES_tradnl"/>
        </w:rPr>
        <w:t xml:space="preserve"> por los anticipos realizados a distintas empresas, observándose que existen partidas con una antigüedad que data del ejercicio 2012 en adelante.</w:t>
      </w:r>
    </w:p>
    <w:p w:rsidR="00C47CD1" w:rsidRPr="001D7C04" w:rsidRDefault="00C47CD1" w:rsidP="005A7331">
      <w:pPr>
        <w:pStyle w:val="Prrafodelista"/>
        <w:keepNext/>
        <w:widowControl w:val="0"/>
        <w:numPr>
          <w:ilvl w:val="0"/>
          <w:numId w:val="4"/>
        </w:numPr>
        <w:tabs>
          <w:tab w:val="left" w:pos="1134"/>
          <w:tab w:val="right" w:pos="5387"/>
          <w:tab w:val="right" w:pos="8222"/>
        </w:tabs>
        <w:spacing w:after="0" w:line="360" w:lineRule="auto"/>
        <w:ind w:left="426" w:firstLine="0"/>
        <w:jc w:val="both"/>
        <w:rPr>
          <w:rFonts w:ascii="Arial" w:hAnsi="Arial" w:cs="Arial"/>
          <w:sz w:val="24"/>
          <w:szCs w:val="24"/>
          <w:lang w:val="es-ES_tradnl"/>
        </w:rPr>
      </w:pPr>
      <w:r w:rsidRPr="001D7C04">
        <w:rPr>
          <w:rFonts w:ascii="Arial" w:hAnsi="Arial" w:cs="Arial"/>
          <w:sz w:val="24"/>
          <w:szCs w:val="24"/>
          <w:lang w:val="es-ES_tradnl"/>
        </w:rPr>
        <w:t xml:space="preserve">Mediante el análisis del rubro 132014100 “Anticipos por seguros” se pudo constatar que el mismo está sobrevaluado en </w:t>
      </w:r>
      <w:r w:rsidR="00F96D71" w:rsidRPr="001D7C04">
        <w:rPr>
          <w:rFonts w:ascii="Arial" w:hAnsi="Arial" w:cs="Arial"/>
          <w:sz w:val="24"/>
          <w:szCs w:val="24"/>
          <w:lang w:val="es-ES_tradnl"/>
        </w:rPr>
        <w:t>un importe de</w:t>
      </w:r>
      <w:r w:rsidR="008A4566">
        <w:rPr>
          <w:rFonts w:ascii="Arial" w:hAnsi="Arial" w:cs="Arial"/>
          <w:sz w:val="24"/>
          <w:szCs w:val="24"/>
          <w:lang w:val="es-ES_tradnl"/>
        </w:rPr>
        <w:t xml:space="preserve">           </w:t>
      </w:r>
      <w:r w:rsidRPr="001D7C04">
        <w:rPr>
          <w:rFonts w:ascii="Arial" w:hAnsi="Arial" w:cs="Arial"/>
          <w:sz w:val="24"/>
          <w:szCs w:val="24"/>
          <w:lang w:val="es-ES_tradnl"/>
        </w:rPr>
        <w:t xml:space="preserve">U$S 1:171.973, </w:t>
      </w:r>
      <w:r w:rsidR="00586334" w:rsidRPr="001D7C04">
        <w:rPr>
          <w:rFonts w:ascii="Arial" w:hAnsi="Arial" w:cs="Arial"/>
          <w:sz w:val="24"/>
          <w:szCs w:val="24"/>
          <w:lang w:val="es-ES_tradnl"/>
        </w:rPr>
        <w:t xml:space="preserve">equivalentes a $ 35:098.239, </w:t>
      </w:r>
      <w:r w:rsidRPr="001D7C04">
        <w:rPr>
          <w:rFonts w:ascii="Arial" w:hAnsi="Arial" w:cs="Arial"/>
          <w:sz w:val="24"/>
          <w:szCs w:val="24"/>
          <w:lang w:val="es-ES_tradnl"/>
        </w:rPr>
        <w:t>correspondiente al importe devengado al 31/12/2015 de un seguro de la División 20 referido a “Todo riesgo operativo, responsabilidad civil y demás seguros de casco”, con una cobertura 2014-2015, que no fue dada de baja correct</w:t>
      </w:r>
      <w:r w:rsidR="003D6E03">
        <w:rPr>
          <w:rFonts w:ascii="Arial" w:hAnsi="Arial" w:cs="Arial"/>
          <w:sz w:val="24"/>
          <w:szCs w:val="24"/>
          <w:lang w:val="es-ES_tradnl"/>
        </w:rPr>
        <w:t>amente al cierre del ejercicio.</w:t>
      </w:r>
    </w:p>
    <w:p w:rsidR="00C47CD1" w:rsidRPr="00571249" w:rsidRDefault="000F1F50" w:rsidP="005A7331">
      <w:pPr>
        <w:keepNext/>
        <w:widowControl w:val="0"/>
        <w:tabs>
          <w:tab w:val="left" w:pos="1134"/>
          <w:tab w:val="right" w:pos="5387"/>
          <w:tab w:val="right" w:pos="8222"/>
        </w:tabs>
        <w:spacing w:after="0" w:line="360" w:lineRule="auto"/>
        <w:rPr>
          <w:rFonts w:cs="Arial"/>
          <w:szCs w:val="24"/>
          <w:lang w:val="es-ES_tradnl"/>
        </w:rPr>
      </w:pPr>
      <w:r>
        <w:rPr>
          <w:rFonts w:cs="Arial"/>
          <w:b/>
          <w:bCs/>
          <w:szCs w:val="24"/>
        </w:rPr>
        <w:t>2</w:t>
      </w:r>
      <w:r w:rsidR="00645295" w:rsidRPr="00571249">
        <w:rPr>
          <w:rFonts w:cs="Arial"/>
          <w:b/>
          <w:bCs/>
          <w:szCs w:val="24"/>
        </w:rPr>
        <w:t>.</w:t>
      </w:r>
      <w:r w:rsidR="0017703D">
        <w:rPr>
          <w:rFonts w:cs="Arial"/>
          <w:b/>
          <w:bCs/>
          <w:szCs w:val="24"/>
        </w:rPr>
        <w:t>5</w:t>
      </w:r>
      <w:r w:rsidR="00C47CD1" w:rsidRPr="00571249">
        <w:rPr>
          <w:rFonts w:cs="Arial"/>
          <w:b/>
          <w:bCs/>
          <w:szCs w:val="24"/>
        </w:rPr>
        <w:t xml:space="preserve"> Gestión de Riesgos</w:t>
      </w:r>
    </w:p>
    <w:p w:rsidR="00C47CD1" w:rsidRPr="00571249" w:rsidRDefault="008A4566" w:rsidP="005A7331">
      <w:pPr>
        <w:keepNext/>
        <w:widowControl w:val="0"/>
        <w:tabs>
          <w:tab w:val="left" w:pos="1134"/>
          <w:tab w:val="right" w:pos="5387"/>
          <w:tab w:val="right" w:pos="8222"/>
        </w:tabs>
        <w:spacing w:after="0" w:line="360" w:lineRule="auto"/>
        <w:rPr>
          <w:rFonts w:cs="Arial"/>
          <w:szCs w:val="24"/>
          <w:lang w:val="es-ES_tradnl"/>
        </w:rPr>
      </w:pPr>
      <w:r>
        <w:rPr>
          <w:rFonts w:cs="Arial"/>
          <w:szCs w:val="24"/>
          <w:lang w:val="es-ES_tradnl"/>
        </w:rPr>
        <w:tab/>
      </w:r>
      <w:r w:rsidR="00C47CD1" w:rsidRPr="00571249">
        <w:rPr>
          <w:rFonts w:cs="Arial"/>
          <w:szCs w:val="24"/>
          <w:lang w:val="es-ES_tradnl"/>
        </w:rPr>
        <w:t>ANCAP no incluye entre sus objetivos de gestión Integral de riesgos los derivados de la suscripción de fianzas, avales y garantías reales y otras genéricas.</w:t>
      </w:r>
    </w:p>
    <w:p w:rsidR="00C47CD1" w:rsidRPr="00571249" w:rsidRDefault="008A4566" w:rsidP="005A7331">
      <w:pPr>
        <w:keepNext/>
        <w:widowControl w:val="0"/>
        <w:tabs>
          <w:tab w:val="left" w:pos="1134"/>
          <w:tab w:val="right" w:pos="5387"/>
          <w:tab w:val="right" w:pos="8222"/>
        </w:tabs>
        <w:spacing w:after="0" w:line="360" w:lineRule="auto"/>
        <w:rPr>
          <w:rFonts w:cs="Arial"/>
          <w:szCs w:val="24"/>
          <w:lang w:val="es-ES_tradnl"/>
        </w:rPr>
      </w:pPr>
      <w:r>
        <w:rPr>
          <w:rFonts w:cs="Arial"/>
          <w:szCs w:val="24"/>
          <w:lang w:val="es-ES_tradnl"/>
        </w:rPr>
        <w:tab/>
      </w:r>
      <w:r w:rsidR="00C47CD1" w:rsidRPr="00571249">
        <w:rPr>
          <w:rFonts w:cs="Arial"/>
          <w:szCs w:val="24"/>
          <w:lang w:val="es-ES_tradnl"/>
        </w:rPr>
        <w:t xml:space="preserve">El Sector Riesgos no cuenta con un </w:t>
      </w:r>
      <w:r w:rsidR="00AB3093" w:rsidRPr="00571249">
        <w:rPr>
          <w:rFonts w:cs="Arial"/>
          <w:szCs w:val="24"/>
          <w:lang w:val="es-ES_tradnl"/>
        </w:rPr>
        <w:t>m</w:t>
      </w:r>
      <w:r w:rsidR="00C47CD1" w:rsidRPr="00571249">
        <w:rPr>
          <w:rFonts w:cs="Arial"/>
          <w:szCs w:val="24"/>
          <w:lang w:val="es-ES_tradnl"/>
        </w:rPr>
        <w:t xml:space="preserve">anual de </w:t>
      </w:r>
      <w:r w:rsidR="00AB3093" w:rsidRPr="00571249">
        <w:rPr>
          <w:rFonts w:cs="Arial"/>
          <w:szCs w:val="24"/>
          <w:lang w:val="es-ES_tradnl"/>
        </w:rPr>
        <w:t>p</w:t>
      </w:r>
      <w:r w:rsidR="00C47CD1" w:rsidRPr="00571249">
        <w:rPr>
          <w:rFonts w:cs="Arial"/>
          <w:szCs w:val="24"/>
          <w:lang w:val="es-ES_tradnl"/>
        </w:rPr>
        <w:t>rocedimientos que defina qué coberturas se deben contratar en forma centralizada para sus sociedades vinculadas</w:t>
      </w:r>
      <w:r w:rsidR="00AB3093" w:rsidRPr="00571249">
        <w:rPr>
          <w:rFonts w:cs="Arial"/>
          <w:szCs w:val="24"/>
          <w:lang w:val="es-ES_tradnl"/>
        </w:rPr>
        <w:t>. Este Sector no</w:t>
      </w:r>
      <w:r w:rsidR="00C47CD1" w:rsidRPr="00571249">
        <w:rPr>
          <w:rFonts w:cs="Arial"/>
          <w:szCs w:val="24"/>
          <w:lang w:val="es-ES_tradnl"/>
        </w:rPr>
        <w:t xml:space="preserve"> realiza seguimiento integral de las políticas de riesgo o coberturas contratadas por las </w:t>
      </w:r>
      <w:r w:rsidR="00AB3093" w:rsidRPr="00571249">
        <w:rPr>
          <w:rFonts w:cs="Arial"/>
          <w:szCs w:val="24"/>
          <w:lang w:val="es-ES_tradnl"/>
        </w:rPr>
        <w:t>sociedades que componen el grupo.</w:t>
      </w:r>
    </w:p>
    <w:p w:rsidR="00C47CD1" w:rsidRPr="00571249" w:rsidRDefault="000F1F50" w:rsidP="005A7331">
      <w:pPr>
        <w:keepNext/>
        <w:widowControl w:val="0"/>
        <w:tabs>
          <w:tab w:val="left" w:pos="1134"/>
          <w:tab w:val="right" w:pos="5387"/>
          <w:tab w:val="right" w:pos="8222"/>
        </w:tabs>
        <w:spacing w:after="0" w:line="360" w:lineRule="auto"/>
        <w:rPr>
          <w:rFonts w:cs="Arial"/>
          <w:szCs w:val="24"/>
          <w:lang w:val="es-ES_tradnl"/>
        </w:rPr>
      </w:pPr>
      <w:r>
        <w:rPr>
          <w:rFonts w:cs="Arial"/>
          <w:b/>
          <w:bCs/>
          <w:szCs w:val="24"/>
        </w:rPr>
        <w:t>2</w:t>
      </w:r>
      <w:r w:rsidR="00645295" w:rsidRPr="00571249">
        <w:rPr>
          <w:rFonts w:cs="Arial"/>
          <w:b/>
          <w:bCs/>
          <w:szCs w:val="24"/>
        </w:rPr>
        <w:t>.</w:t>
      </w:r>
      <w:r w:rsidR="003332F2">
        <w:rPr>
          <w:rFonts w:cs="Arial"/>
          <w:b/>
          <w:bCs/>
          <w:szCs w:val="24"/>
        </w:rPr>
        <w:t>6</w:t>
      </w:r>
      <w:r w:rsidR="00C47CD1" w:rsidRPr="00571249">
        <w:rPr>
          <w:rFonts w:cs="Arial"/>
          <w:b/>
          <w:bCs/>
          <w:szCs w:val="24"/>
        </w:rPr>
        <w:t xml:space="preserve"> Auditoría Interna</w:t>
      </w:r>
    </w:p>
    <w:p w:rsidR="00180D0A" w:rsidRPr="00571249" w:rsidRDefault="008A4566" w:rsidP="005A7331">
      <w:pPr>
        <w:keepNext/>
        <w:widowControl w:val="0"/>
        <w:tabs>
          <w:tab w:val="left" w:pos="1134"/>
          <w:tab w:val="right" w:pos="5387"/>
          <w:tab w:val="right" w:pos="8222"/>
        </w:tabs>
        <w:spacing w:after="0" w:line="360" w:lineRule="auto"/>
        <w:rPr>
          <w:rFonts w:cs="Arial"/>
          <w:szCs w:val="24"/>
          <w:lang w:val="es-CO"/>
        </w:rPr>
      </w:pPr>
      <w:r>
        <w:rPr>
          <w:rFonts w:cs="Arial"/>
          <w:szCs w:val="24"/>
          <w:lang w:val="es-CO"/>
        </w:rPr>
        <w:tab/>
      </w:r>
      <w:r w:rsidR="00180D0A" w:rsidRPr="00571249">
        <w:rPr>
          <w:rFonts w:cs="Arial"/>
          <w:szCs w:val="24"/>
          <w:lang w:val="es-CO"/>
        </w:rPr>
        <w:t xml:space="preserve">Auditoría Interna no cuenta con </w:t>
      </w:r>
      <w:r w:rsidR="00AB3093" w:rsidRPr="00571249">
        <w:rPr>
          <w:rFonts w:cs="Arial"/>
          <w:szCs w:val="24"/>
          <w:lang w:val="es-CO"/>
        </w:rPr>
        <w:t>m</w:t>
      </w:r>
      <w:r w:rsidR="00180D0A" w:rsidRPr="00571249">
        <w:rPr>
          <w:rFonts w:cs="Arial"/>
          <w:szCs w:val="24"/>
          <w:lang w:val="es-CO"/>
        </w:rPr>
        <w:t>anuales de</w:t>
      </w:r>
      <w:r w:rsidR="00AB3093" w:rsidRPr="00571249">
        <w:rPr>
          <w:rFonts w:cs="Arial"/>
          <w:szCs w:val="24"/>
          <w:lang w:val="es-CO"/>
        </w:rPr>
        <w:t xml:space="preserve"> p</w:t>
      </w:r>
      <w:r w:rsidR="00180D0A" w:rsidRPr="00571249">
        <w:rPr>
          <w:rFonts w:cs="Arial"/>
          <w:szCs w:val="24"/>
          <w:lang w:val="es-CO"/>
        </w:rPr>
        <w:t>roc</w:t>
      </w:r>
      <w:r w:rsidR="003D6E03">
        <w:rPr>
          <w:rFonts w:cs="Arial"/>
          <w:szCs w:val="24"/>
          <w:lang w:val="es-CO"/>
        </w:rPr>
        <w:t>edimientos aprobados.</w:t>
      </w:r>
    </w:p>
    <w:p w:rsidR="00C47CD1" w:rsidRDefault="008A4566" w:rsidP="005A7331">
      <w:pPr>
        <w:keepNext/>
        <w:widowControl w:val="0"/>
        <w:tabs>
          <w:tab w:val="left" w:pos="1134"/>
          <w:tab w:val="right" w:pos="5387"/>
          <w:tab w:val="right" w:pos="8222"/>
        </w:tabs>
        <w:spacing w:after="0" w:line="360" w:lineRule="auto"/>
        <w:rPr>
          <w:rFonts w:cs="Arial"/>
          <w:szCs w:val="24"/>
          <w:lang w:val="es-CO"/>
        </w:rPr>
      </w:pPr>
      <w:r>
        <w:rPr>
          <w:rFonts w:cs="Arial"/>
          <w:szCs w:val="24"/>
          <w:lang w:val="es-CO"/>
        </w:rPr>
        <w:tab/>
      </w:r>
      <w:r w:rsidR="00BD6833" w:rsidRPr="00571249">
        <w:rPr>
          <w:rFonts w:cs="Arial"/>
          <w:szCs w:val="24"/>
          <w:lang w:val="es-CO"/>
        </w:rPr>
        <w:t>Del</w:t>
      </w:r>
      <w:r w:rsidR="00180D0A" w:rsidRPr="00571249">
        <w:rPr>
          <w:rFonts w:cs="Arial"/>
          <w:szCs w:val="24"/>
          <w:lang w:val="es-CO"/>
        </w:rPr>
        <w:t xml:space="preserve"> análisis de una muestra de </w:t>
      </w:r>
      <w:r w:rsidR="00F82228" w:rsidRPr="00571249">
        <w:rPr>
          <w:rFonts w:cs="Arial"/>
          <w:szCs w:val="24"/>
          <w:lang w:val="es-CO"/>
        </w:rPr>
        <w:t xml:space="preserve">las actuaciones de </w:t>
      </w:r>
      <w:r w:rsidR="00C47CD1" w:rsidRPr="00571249">
        <w:rPr>
          <w:rFonts w:cs="Arial"/>
          <w:szCs w:val="24"/>
          <w:lang w:val="es-CO"/>
        </w:rPr>
        <w:t>Auditoría Interna</w:t>
      </w:r>
      <w:r w:rsidR="00F82228" w:rsidRPr="00571249">
        <w:rPr>
          <w:rFonts w:cs="Arial"/>
          <w:szCs w:val="24"/>
          <w:lang w:val="es-CO"/>
        </w:rPr>
        <w:t xml:space="preserve"> se verificó </w:t>
      </w:r>
      <w:r w:rsidR="00105EFD" w:rsidRPr="00571249">
        <w:rPr>
          <w:rFonts w:cs="Arial"/>
          <w:szCs w:val="24"/>
          <w:lang w:val="es-CO"/>
        </w:rPr>
        <w:t xml:space="preserve">en los diferentes expedientes que </w:t>
      </w:r>
      <w:r w:rsidR="00F82228" w:rsidRPr="00571249">
        <w:rPr>
          <w:rFonts w:cs="Arial"/>
          <w:szCs w:val="24"/>
          <w:lang w:val="es-CO"/>
        </w:rPr>
        <w:t xml:space="preserve">en reiteradas oportunidades </w:t>
      </w:r>
      <w:r w:rsidR="0008504E">
        <w:rPr>
          <w:rFonts w:cs="Arial"/>
          <w:szCs w:val="24"/>
          <w:lang w:val="es-CO"/>
        </w:rPr>
        <w:t xml:space="preserve">las </w:t>
      </w:r>
      <w:r w:rsidR="00F82228" w:rsidRPr="00571249">
        <w:rPr>
          <w:rFonts w:cs="Arial"/>
          <w:szCs w:val="24"/>
          <w:lang w:val="es-CO"/>
        </w:rPr>
        <w:t xml:space="preserve">actuaciones finalizadas </w:t>
      </w:r>
      <w:r w:rsidR="00105EFD" w:rsidRPr="00571249">
        <w:rPr>
          <w:rFonts w:cs="Arial"/>
          <w:szCs w:val="24"/>
          <w:lang w:val="es-CO"/>
        </w:rPr>
        <w:t xml:space="preserve">en el ejercicio 2015 no </w:t>
      </w:r>
      <w:r w:rsidR="0008504E">
        <w:rPr>
          <w:rFonts w:cs="Arial"/>
          <w:szCs w:val="24"/>
          <w:lang w:val="es-CO"/>
        </w:rPr>
        <w:t>cuentan</w:t>
      </w:r>
      <w:r w:rsidR="0008504E" w:rsidRPr="00571249">
        <w:rPr>
          <w:rFonts w:cs="Arial"/>
          <w:szCs w:val="24"/>
          <w:lang w:val="es-CO"/>
        </w:rPr>
        <w:t xml:space="preserve"> </w:t>
      </w:r>
      <w:r w:rsidR="00105EFD" w:rsidRPr="00571249">
        <w:rPr>
          <w:rFonts w:cs="Arial"/>
          <w:szCs w:val="24"/>
          <w:lang w:val="es-CO"/>
        </w:rPr>
        <w:t>con respuesta por parte de la Gerencia correspondiente.</w:t>
      </w:r>
    </w:p>
    <w:p w:rsidR="003D6E03" w:rsidRDefault="003D6E03" w:rsidP="005A7331">
      <w:pPr>
        <w:keepNext/>
        <w:widowControl w:val="0"/>
        <w:tabs>
          <w:tab w:val="left" w:pos="1134"/>
          <w:tab w:val="right" w:pos="5387"/>
          <w:tab w:val="right" w:pos="8222"/>
        </w:tabs>
        <w:spacing w:after="0" w:line="360" w:lineRule="auto"/>
        <w:rPr>
          <w:rFonts w:cs="Arial"/>
          <w:szCs w:val="24"/>
          <w:lang w:val="es-CO"/>
        </w:rPr>
      </w:pPr>
    </w:p>
    <w:p w:rsidR="003D6E03" w:rsidRPr="00571249" w:rsidRDefault="003D6E03" w:rsidP="005A7331">
      <w:pPr>
        <w:keepNext/>
        <w:widowControl w:val="0"/>
        <w:tabs>
          <w:tab w:val="left" w:pos="1134"/>
          <w:tab w:val="right" w:pos="5387"/>
          <w:tab w:val="right" w:pos="8222"/>
        </w:tabs>
        <w:spacing w:after="0" w:line="360" w:lineRule="auto"/>
        <w:rPr>
          <w:rFonts w:cs="Arial"/>
          <w:szCs w:val="24"/>
          <w:lang w:val="es-CO"/>
        </w:rPr>
      </w:pPr>
    </w:p>
    <w:p w:rsidR="00367230" w:rsidRPr="00571249" w:rsidRDefault="008A4566" w:rsidP="005A7331">
      <w:pPr>
        <w:keepNext/>
        <w:widowControl w:val="0"/>
        <w:tabs>
          <w:tab w:val="left" w:pos="1134"/>
          <w:tab w:val="right" w:pos="5387"/>
          <w:tab w:val="right" w:pos="8222"/>
        </w:tabs>
        <w:spacing w:after="0" w:line="360" w:lineRule="auto"/>
        <w:rPr>
          <w:rFonts w:cs="Arial"/>
          <w:szCs w:val="24"/>
          <w:lang w:val="es-CO"/>
        </w:rPr>
      </w:pPr>
      <w:r>
        <w:rPr>
          <w:rFonts w:cs="Arial"/>
          <w:szCs w:val="24"/>
          <w:lang w:val="es-CO"/>
        </w:rPr>
        <w:tab/>
      </w:r>
      <w:r w:rsidR="00C5348D" w:rsidRPr="00571249">
        <w:rPr>
          <w:rFonts w:cs="Arial"/>
          <w:szCs w:val="24"/>
          <w:lang w:val="es-CO"/>
        </w:rPr>
        <w:t xml:space="preserve">En cuanto a los arqueos que realiza </w:t>
      </w:r>
      <w:r w:rsidR="002C6ECA" w:rsidRPr="00571249">
        <w:rPr>
          <w:rFonts w:cs="Arial"/>
          <w:szCs w:val="24"/>
          <w:lang w:val="es-CO"/>
        </w:rPr>
        <w:t>Auditoria interna n</w:t>
      </w:r>
      <w:r w:rsidR="00367230" w:rsidRPr="00571249">
        <w:rPr>
          <w:rFonts w:cs="Arial"/>
          <w:szCs w:val="24"/>
          <w:lang w:val="es-CO"/>
        </w:rPr>
        <w:t xml:space="preserve">o queda constancia en las Actas de Arqueo del “corte de documentación” </w:t>
      </w:r>
      <w:r w:rsidR="00105EFD" w:rsidRPr="00571249">
        <w:rPr>
          <w:rFonts w:cs="Arial"/>
          <w:szCs w:val="24"/>
          <w:lang w:val="es-CO"/>
        </w:rPr>
        <w:t xml:space="preserve">necesario para la verificación de los saldos correspondientes, </w:t>
      </w:r>
      <w:r w:rsidR="00367230" w:rsidRPr="00571249">
        <w:rPr>
          <w:rFonts w:cs="Arial"/>
          <w:szCs w:val="24"/>
          <w:lang w:val="es-CO"/>
        </w:rPr>
        <w:t>que establece la numeración de los comprobantes de ingresos y egresos que fueron consider</w:t>
      </w:r>
      <w:r w:rsidR="00105EFD" w:rsidRPr="00571249">
        <w:rPr>
          <w:rFonts w:cs="Arial"/>
          <w:szCs w:val="24"/>
          <w:lang w:val="es-CO"/>
        </w:rPr>
        <w:t>ados en los registros contables</w:t>
      </w:r>
      <w:r w:rsidR="00367230" w:rsidRPr="00571249">
        <w:rPr>
          <w:rFonts w:cs="Arial"/>
          <w:szCs w:val="24"/>
          <w:lang w:val="es-CO"/>
        </w:rPr>
        <w:t>.</w:t>
      </w:r>
    </w:p>
    <w:p w:rsidR="00F82228" w:rsidRPr="001D7C04" w:rsidRDefault="008A4566" w:rsidP="005A7331">
      <w:pPr>
        <w:keepNext/>
        <w:widowControl w:val="0"/>
        <w:tabs>
          <w:tab w:val="left" w:pos="1134"/>
          <w:tab w:val="right" w:pos="5387"/>
          <w:tab w:val="right" w:pos="8222"/>
        </w:tabs>
        <w:spacing w:line="360" w:lineRule="auto"/>
        <w:rPr>
          <w:rFonts w:cs="Arial"/>
          <w:szCs w:val="24"/>
          <w:lang w:val="es-CO"/>
        </w:rPr>
      </w:pPr>
      <w:r>
        <w:rPr>
          <w:rFonts w:cs="Arial"/>
          <w:szCs w:val="24"/>
          <w:lang w:val="es-ES_tradnl"/>
        </w:rPr>
        <w:tab/>
      </w:r>
      <w:r w:rsidR="005C7B46" w:rsidRPr="001D7C04">
        <w:rPr>
          <w:rFonts w:cs="Arial"/>
          <w:szCs w:val="24"/>
          <w:lang w:val="es-ES_tradnl"/>
        </w:rPr>
        <w:t xml:space="preserve">Con relación a recuentos físicos </w:t>
      </w:r>
      <w:r w:rsidR="0008504E">
        <w:rPr>
          <w:rFonts w:cs="Arial"/>
          <w:szCs w:val="24"/>
          <w:lang w:val="es-ES_tradnl"/>
        </w:rPr>
        <w:t xml:space="preserve">que </w:t>
      </w:r>
      <w:r w:rsidR="005C0F31" w:rsidRPr="001D7C04">
        <w:rPr>
          <w:rFonts w:cs="Arial"/>
          <w:szCs w:val="24"/>
          <w:lang w:val="es-ES_tradnl"/>
        </w:rPr>
        <w:t xml:space="preserve">Auditoría Interna </w:t>
      </w:r>
      <w:r w:rsidR="0008504E">
        <w:rPr>
          <w:rFonts w:cs="Arial"/>
          <w:szCs w:val="24"/>
          <w:lang w:val="es-ES_tradnl"/>
        </w:rPr>
        <w:t xml:space="preserve">realiza en las distintas Plantas, </w:t>
      </w:r>
      <w:r w:rsidR="005C0F31" w:rsidRPr="001D7C04">
        <w:rPr>
          <w:rFonts w:cs="Arial"/>
          <w:szCs w:val="24"/>
          <w:lang w:val="es-ES_tradnl"/>
        </w:rPr>
        <w:t>no</w:t>
      </w:r>
      <w:r w:rsidR="00367230" w:rsidRPr="001D7C04">
        <w:rPr>
          <w:rFonts w:cs="Arial"/>
          <w:szCs w:val="24"/>
          <w:lang w:val="es-ES_tradnl"/>
        </w:rPr>
        <w:t xml:space="preserve"> </w:t>
      </w:r>
      <w:r w:rsidR="005C0F31" w:rsidRPr="001D7C04">
        <w:rPr>
          <w:rFonts w:cs="Arial"/>
          <w:szCs w:val="24"/>
          <w:lang w:val="es-ES_tradnl"/>
        </w:rPr>
        <w:t xml:space="preserve">siempre </w:t>
      </w:r>
      <w:r w:rsidR="0008504E">
        <w:rPr>
          <w:rFonts w:cs="Arial"/>
          <w:szCs w:val="24"/>
          <w:lang w:val="es-ES_tradnl"/>
        </w:rPr>
        <w:t>efectúa</w:t>
      </w:r>
      <w:r w:rsidR="0008504E" w:rsidRPr="001D7C04">
        <w:rPr>
          <w:rFonts w:cs="Arial"/>
          <w:szCs w:val="24"/>
          <w:lang w:val="es-ES_tradnl"/>
        </w:rPr>
        <w:t xml:space="preserve"> </w:t>
      </w:r>
      <w:r w:rsidR="0008504E">
        <w:rPr>
          <w:rFonts w:cs="Arial"/>
          <w:szCs w:val="24"/>
          <w:lang w:val="es-ES_tradnl"/>
        </w:rPr>
        <w:t>el</w:t>
      </w:r>
      <w:r w:rsidR="0008504E" w:rsidRPr="001D7C04">
        <w:rPr>
          <w:rFonts w:cs="Arial"/>
          <w:szCs w:val="24"/>
          <w:lang w:val="es-ES_tradnl"/>
        </w:rPr>
        <w:t xml:space="preserve"> </w:t>
      </w:r>
      <w:r w:rsidR="00367230" w:rsidRPr="001D7C04">
        <w:rPr>
          <w:rFonts w:cs="Arial"/>
          <w:szCs w:val="24"/>
          <w:lang w:val="es-ES_tradnl"/>
        </w:rPr>
        <w:t>corte de documentación previo a los recuentos físicos de bienes y materiales</w:t>
      </w:r>
      <w:r w:rsidR="0008504E">
        <w:rPr>
          <w:rFonts w:cs="Arial"/>
          <w:szCs w:val="24"/>
          <w:lang w:val="es-ES_tradnl"/>
        </w:rPr>
        <w:t>.</w:t>
      </w:r>
    </w:p>
    <w:p w:rsidR="00C47CD1" w:rsidRPr="00571249" w:rsidRDefault="000F1F50" w:rsidP="005A7331">
      <w:pPr>
        <w:keepNext/>
        <w:widowControl w:val="0"/>
        <w:tabs>
          <w:tab w:val="left" w:pos="426"/>
        </w:tabs>
        <w:spacing w:after="0" w:line="360" w:lineRule="auto"/>
        <w:rPr>
          <w:rFonts w:cs="Arial"/>
          <w:b/>
          <w:szCs w:val="24"/>
        </w:rPr>
      </w:pPr>
      <w:r>
        <w:rPr>
          <w:rFonts w:cs="Arial"/>
          <w:b/>
          <w:szCs w:val="24"/>
        </w:rPr>
        <w:t>2</w:t>
      </w:r>
      <w:r w:rsidR="00645295" w:rsidRPr="00571249">
        <w:rPr>
          <w:rFonts w:cs="Arial"/>
          <w:b/>
          <w:szCs w:val="24"/>
        </w:rPr>
        <w:t>.</w:t>
      </w:r>
      <w:r w:rsidR="003332F2">
        <w:rPr>
          <w:rFonts w:cs="Arial"/>
          <w:b/>
          <w:szCs w:val="24"/>
        </w:rPr>
        <w:t>7</w:t>
      </w:r>
      <w:r w:rsidR="005C7B46" w:rsidRPr="00571249">
        <w:rPr>
          <w:rFonts w:cs="Arial"/>
          <w:b/>
          <w:szCs w:val="24"/>
        </w:rPr>
        <w:t xml:space="preserve"> </w:t>
      </w:r>
      <w:r w:rsidR="00C47CD1" w:rsidRPr="00571249">
        <w:rPr>
          <w:rFonts w:cs="Arial"/>
          <w:b/>
          <w:szCs w:val="24"/>
        </w:rPr>
        <w:t>Bienes de Cambio: materiales, productos en proceso y productos terminados</w:t>
      </w:r>
    </w:p>
    <w:p w:rsidR="005C7B46" w:rsidRPr="001D7C04" w:rsidRDefault="005C7B46" w:rsidP="005A7331">
      <w:pPr>
        <w:pStyle w:val="Prrafodelista"/>
        <w:keepNext/>
        <w:widowControl w:val="0"/>
        <w:tabs>
          <w:tab w:val="left" w:pos="1134"/>
          <w:tab w:val="right" w:pos="5387"/>
          <w:tab w:val="right" w:pos="8222"/>
        </w:tabs>
        <w:spacing w:after="0" w:line="360" w:lineRule="auto"/>
        <w:ind w:left="426"/>
        <w:jc w:val="both"/>
        <w:rPr>
          <w:rFonts w:ascii="Arial" w:hAnsi="Arial" w:cs="Arial"/>
          <w:sz w:val="24"/>
          <w:szCs w:val="24"/>
          <w:lang w:val="es-ES_tradnl"/>
        </w:rPr>
      </w:pPr>
      <w:r w:rsidRPr="001D7C04">
        <w:rPr>
          <w:rFonts w:ascii="Arial" w:hAnsi="Arial" w:cs="Arial"/>
          <w:sz w:val="24"/>
          <w:szCs w:val="24"/>
          <w:lang w:val="es-ES_tradnl"/>
        </w:rPr>
        <w:t>Se constató que los referidos bienes se constató que:</w:t>
      </w:r>
    </w:p>
    <w:p w:rsidR="00C47CD1" w:rsidRPr="001D7C04" w:rsidRDefault="00C47CD1"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1D7C04">
        <w:rPr>
          <w:rFonts w:ascii="Arial" w:hAnsi="Arial" w:cs="Arial"/>
          <w:sz w:val="24"/>
          <w:szCs w:val="24"/>
          <w:lang w:val="es-ES_tradnl"/>
        </w:rPr>
        <w:t xml:space="preserve">La operativa en Planta Carrasco de “Servicio Logístico” y de “Servicio de Ala”, referidas al abastecimiento de los combustibles </w:t>
      </w:r>
      <w:proofErr w:type="spellStart"/>
      <w:r w:rsidRPr="001D7C04">
        <w:rPr>
          <w:rFonts w:ascii="Arial" w:hAnsi="Arial" w:cs="Arial"/>
          <w:sz w:val="24"/>
          <w:szCs w:val="24"/>
          <w:lang w:val="es-ES_tradnl"/>
        </w:rPr>
        <w:t>AvGas</w:t>
      </w:r>
      <w:proofErr w:type="spellEnd"/>
      <w:r w:rsidRPr="001D7C04">
        <w:rPr>
          <w:rFonts w:ascii="Arial" w:hAnsi="Arial" w:cs="Arial"/>
          <w:sz w:val="24"/>
          <w:szCs w:val="24"/>
          <w:lang w:val="es-ES_tradnl"/>
        </w:rPr>
        <w:t xml:space="preserve">  y Jet A1 no prevé controles internos realizados por personal ajeno a la División Combustible, en cuanto a la emisión de Notas de Crédito realizadas a </w:t>
      </w:r>
      <w:proofErr w:type="spellStart"/>
      <w:r w:rsidRPr="00571249">
        <w:rPr>
          <w:rFonts w:ascii="Arial" w:hAnsi="Arial" w:cs="Arial"/>
          <w:sz w:val="24"/>
          <w:szCs w:val="24"/>
          <w:lang w:val="es-ES_tradnl"/>
        </w:rPr>
        <w:t>Petrobrás</w:t>
      </w:r>
      <w:proofErr w:type="spellEnd"/>
      <w:r w:rsidRPr="00571249">
        <w:rPr>
          <w:rFonts w:ascii="Arial" w:hAnsi="Arial" w:cs="Arial"/>
          <w:sz w:val="24"/>
          <w:szCs w:val="24"/>
          <w:lang w:val="es-ES_tradnl"/>
        </w:rPr>
        <w:t xml:space="preserve"> por combustible que esta empresa provee de acuerdo a necesidades de </w:t>
      </w:r>
      <w:r w:rsidR="003D6E03">
        <w:rPr>
          <w:rFonts w:ascii="Arial" w:hAnsi="Arial" w:cs="Arial"/>
          <w:sz w:val="24"/>
          <w:szCs w:val="24"/>
          <w:lang w:val="es-ES_tradnl"/>
        </w:rPr>
        <w:t>esa Planta.</w:t>
      </w:r>
    </w:p>
    <w:p w:rsidR="00C47CD1" w:rsidRPr="001D7C04" w:rsidRDefault="00C47CD1"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1D7C04">
        <w:rPr>
          <w:rFonts w:ascii="Arial" w:hAnsi="Arial" w:cs="Arial"/>
          <w:sz w:val="24"/>
          <w:szCs w:val="24"/>
          <w:lang w:val="es-ES_tradnl"/>
        </w:rPr>
        <w:t>No se document</w:t>
      </w:r>
      <w:r w:rsidR="005C7B46" w:rsidRPr="001D7C04">
        <w:rPr>
          <w:rFonts w:ascii="Arial" w:hAnsi="Arial" w:cs="Arial"/>
          <w:sz w:val="24"/>
          <w:szCs w:val="24"/>
          <w:lang w:val="es-ES_tradnl"/>
        </w:rPr>
        <w:t>an</w:t>
      </w:r>
      <w:r w:rsidRPr="001D7C04">
        <w:rPr>
          <w:rFonts w:ascii="Arial" w:hAnsi="Arial" w:cs="Arial"/>
          <w:sz w:val="24"/>
          <w:szCs w:val="24"/>
          <w:lang w:val="es-ES_tradnl"/>
        </w:rPr>
        <w:t xml:space="preserve"> </w:t>
      </w:r>
      <w:r w:rsidR="00FA3ED9" w:rsidRPr="001D7C04">
        <w:rPr>
          <w:rFonts w:ascii="Arial" w:hAnsi="Arial" w:cs="Arial"/>
          <w:sz w:val="24"/>
          <w:szCs w:val="24"/>
          <w:lang w:val="es-ES_tradnl"/>
        </w:rPr>
        <w:t>ni</w:t>
      </w:r>
      <w:r w:rsidRPr="001D7C04">
        <w:rPr>
          <w:rFonts w:ascii="Arial" w:hAnsi="Arial" w:cs="Arial"/>
          <w:sz w:val="24"/>
          <w:szCs w:val="24"/>
          <w:lang w:val="es-ES_tradnl"/>
        </w:rPr>
        <w:t xml:space="preserve"> </w:t>
      </w:r>
      <w:r w:rsidR="002728CA" w:rsidRPr="001D7C04">
        <w:rPr>
          <w:rFonts w:ascii="Arial" w:hAnsi="Arial" w:cs="Arial"/>
          <w:sz w:val="24"/>
          <w:szCs w:val="24"/>
          <w:lang w:val="es-ES_tradnl"/>
        </w:rPr>
        <w:t xml:space="preserve">se </w:t>
      </w:r>
      <w:r w:rsidRPr="001D7C04">
        <w:rPr>
          <w:rFonts w:ascii="Arial" w:hAnsi="Arial" w:cs="Arial"/>
          <w:sz w:val="24"/>
          <w:szCs w:val="24"/>
          <w:lang w:val="es-ES_tradnl"/>
        </w:rPr>
        <w:t>registr</w:t>
      </w:r>
      <w:r w:rsidR="002728CA" w:rsidRPr="001D7C04">
        <w:rPr>
          <w:rFonts w:ascii="Arial" w:hAnsi="Arial" w:cs="Arial"/>
          <w:sz w:val="24"/>
          <w:szCs w:val="24"/>
          <w:lang w:val="es-ES_tradnl"/>
        </w:rPr>
        <w:t>an</w:t>
      </w:r>
      <w:r w:rsidRPr="001D7C04">
        <w:rPr>
          <w:rFonts w:ascii="Arial" w:hAnsi="Arial" w:cs="Arial"/>
          <w:sz w:val="24"/>
          <w:szCs w:val="24"/>
          <w:lang w:val="es-ES_tradnl"/>
        </w:rPr>
        <w:t xml:space="preserve"> en el sistema informático SAP </w:t>
      </w:r>
      <w:r w:rsidR="00FA3ED9" w:rsidRPr="001D7C04">
        <w:rPr>
          <w:rFonts w:ascii="Arial" w:hAnsi="Arial" w:cs="Arial"/>
          <w:sz w:val="24"/>
          <w:szCs w:val="24"/>
          <w:lang w:val="es-ES_tradnl"/>
        </w:rPr>
        <w:t xml:space="preserve">los </w:t>
      </w:r>
      <w:r w:rsidRPr="001D7C04">
        <w:rPr>
          <w:rFonts w:ascii="Arial" w:hAnsi="Arial" w:cs="Arial"/>
          <w:sz w:val="24"/>
          <w:szCs w:val="24"/>
          <w:lang w:val="es-ES_tradnl"/>
        </w:rPr>
        <w:t xml:space="preserve">préstamos y devoluciones de combustible para aeronaves </w:t>
      </w:r>
      <w:proofErr w:type="gramStart"/>
      <w:r w:rsidRPr="001D7C04">
        <w:rPr>
          <w:rFonts w:ascii="Arial" w:hAnsi="Arial" w:cs="Arial"/>
          <w:sz w:val="24"/>
          <w:szCs w:val="24"/>
          <w:lang w:val="es-ES_tradnl"/>
        </w:rPr>
        <w:t>efectuados</w:t>
      </w:r>
      <w:proofErr w:type="gramEnd"/>
      <w:r w:rsidRPr="001D7C04">
        <w:rPr>
          <w:rFonts w:ascii="Arial" w:hAnsi="Arial" w:cs="Arial"/>
          <w:sz w:val="24"/>
          <w:szCs w:val="24"/>
          <w:lang w:val="es-ES_tradnl"/>
        </w:rPr>
        <w:t xml:space="preserve"> por la empresa </w:t>
      </w:r>
      <w:proofErr w:type="spellStart"/>
      <w:r w:rsidRPr="001D7C04">
        <w:rPr>
          <w:rFonts w:ascii="Arial" w:hAnsi="Arial" w:cs="Arial"/>
          <w:sz w:val="24"/>
          <w:szCs w:val="24"/>
          <w:lang w:val="es-ES_tradnl"/>
        </w:rPr>
        <w:t>Petrobrás</w:t>
      </w:r>
      <w:proofErr w:type="spellEnd"/>
      <w:r w:rsidRPr="001D7C04">
        <w:rPr>
          <w:rFonts w:ascii="Arial" w:hAnsi="Arial" w:cs="Arial"/>
          <w:sz w:val="24"/>
          <w:szCs w:val="24"/>
          <w:lang w:val="es-ES_tradnl"/>
        </w:rPr>
        <w:t xml:space="preserve"> a dicha Planta Carrasco de ANCAP. En esta operativa tampoco se realizan controles por parte de personal ajeno a la División Combustible.</w:t>
      </w:r>
    </w:p>
    <w:p w:rsidR="00C47CD1" w:rsidRPr="00571249" w:rsidRDefault="00C47CD1"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571249">
        <w:rPr>
          <w:rFonts w:ascii="Arial" w:hAnsi="Arial" w:cs="Arial"/>
          <w:sz w:val="24"/>
          <w:szCs w:val="24"/>
          <w:lang w:val="es-ES_tradnl"/>
        </w:rPr>
        <w:t>No se realiza control por parte de terceros ajenos a la operativa, con relación a la recepción, custodia, mantenimiento y aplicación de los bienes de terceros (aditivos de la empresa TOTAL) que se mantienen y utilizan  en la Planta de Producción de Lubricantes</w:t>
      </w:r>
      <w:r w:rsidR="002728CA" w:rsidRPr="001D7C04">
        <w:rPr>
          <w:rFonts w:ascii="Arial" w:hAnsi="Arial" w:cs="Arial"/>
          <w:sz w:val="24"/>
          <w:szCs w:val="24"/>
          <w:lang w:val="es-ES_tradnl"/>
        </w:rPr>
        <w:t>.</w:t>
      </w:r>
      <w:r w:rsidR="00367230" w:rsidRPr="00571249">
        <w:rPr>
          <w:rFonts w:ascii="Arial" w:hAnsi="Arial" w:cs="Arial"/>
          <w:sz w:val="24"/>
          <w:szCs w:val="24"/>
          <w:lang w:val="es-ES_tradnl"/>
        </w:rPr>
        <w:t xml:space="preserve"> Los registros se realizan </w:t>
      </w:r>
      <w:r w:rsidR="002728CA" w:rsidRPr="001D7C04">
        <w:rPr>
          <w:rFonts w:ascii="Arial" w:hAnsi="Arial" w:cs="Arial"/>
          <w:sz w:val="24"/>
          <w:szCs w:val="24"/>
          <w:lang w:val="es-ES_tradnl"/>
        </w:rPr>
        <w:t xml:space="preserve">únicamente en unidades físicas </w:t>
      </w:r>
      <w:r w:rsidR="00367230" w:rsidRPr="00571249">
        <w:rPr>
          <w:rFonts w:ascii="Arial" w:hAnsi="Arial" w:cs="Arial"/>
          <w:sz w:val="24"/>
          <w:szCs w:val="24"/>
          <w:lang w:val="es-ES_tradnl"/>
        </w:rPr>
        <w:t xml:space="preserve">impidiendo verificar </w:t>
      </w:r>
      <w:r w:rsidR="002728CA" w:rsidRPr="001D7C04">
        <w:rPr>
          <w:rFonts w:ascii="Arial" w:hAnsi="Arial" w:cs="Arial"/>
          <w:sz w:val="24"/>
          <w:szCs w:val="24"/>
          <w:lang w:val="es-ES_tradnl"/>
        </w:rPr>
        <w:t xml:space="preserve">la materialidad </w:t>
      </w:r>
      <w:r w:rsidR="00367230" w:rsidRPr="00571249">
        <w:rPr>
          <w:rFonts w:ascii="Arial" w:hAnsi="Arial" w:cs="Arial"/>
          <w:sz w:val="24"/>
          <w:szCs w:val="24"/>
          <w:lang w:val="es-ES_tradnl"/>
        </w:rPr>
        <w:t>a efectos de evaluar la necesidad de su exposición en Notas.</w:t>
      </w:r>
    </w:p>
    <w:p w:rsidR="00C47CD1" w:rsidRPr="00571249" w:rsidRDefault="00C47CD1"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571249">
        <w:rPr>
          <w:rFonts w:ascii="Arial" w:hAnsi="Arial" w:cs="Arial"/>
          <w:sz w:val="24"/>
          <w:szCs w:val="24"/>
          <w:lang w:val="es-ES_tradnl"/>
        </w:rPr>
        <w:t>No se previó en el “Manual de Procedimiento para Recepción y Pago de Etanol Comprado a ALUR”, la operativa de documentación en Notas de Crédito de los saldos de etanol restantes en tanques ya vendidos y facturados a ANCAP que se reutilizan para almacenar nuevas producciones de etanol</w:t>
      </w:r>
      <w:r w:rsidR="00226EDF">
        <w:rPr>
          <w:rFonts w:ascii="Arial" w:hAnsi="Arial" w:cs="Arial"/>
          <w:sz w:val="24"/>
          <w:szCs w:val="24"/>
          <w:lang w:val="es-ES_tradnl"/>
        </w:rPr>
        <w:t>.</w:t>
      </w:r>
    </w:p>
    <w:p w:rsidR="001D281A" w:rsidRPr="00571249" w:rsidRDefault="00FA3ED9"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1D7C04">
        <w:rPr>
          <w:rFonts w:ascii="Arial" w:hAnsi="Arial" w:cs="Arial"/>
          <w:sz w:val="24"/>
          <w:szCs w:val="24"/>
          <w:lang w:val="es-ES_tradnl"/>
        </w:rPr>
        <w:t>E</w:t>
      </w:r>
      <w:r w:rsidR="00C47CD1" w:rsidRPr="001D7C04">
        <w:rPr>
          <w:rFonts w:ascii="Arial" w:hAnsi="Arial" w:cs="Arial"/>
          <w:sz w:val="24"/>
          <w:szCs w:val="24"/>
          <w:lang w:val="es-ES_tradnl"/>
        </w:rPr>
        <w:t xml:space="preserve">n las Actas de </w:t>
      </w:r>
      <w:r w:rsidR="00367230" w:rsidRPr="001D7C04">
        <w:rPr>
          <w:rFonts w:ascii="Arial" w:hAnsi="Arial" w:cs="Arial"/>
          <w:sz w:val="24"/>
          <w:szCs w:val="24"/>
          <w:lang w:val="es-ES_tradnl"/>
        </w:rPr>
        <w:t xml:space="preserve">recuentos físicos </w:t>
      </w:r>
      <w:r w:rsidRPr="001D7C04">
        <w:rPr>
          <w:rFonts w:ascii="Arial" w:hAnsi="Arial" w:cs="Arial"/>
          <w:sz w:val="24"/>
          <w:szCs w:val="24"/>
          <w:lang w:val="es-ES_tradnl"/>
        </w:rPr>
        <w:t xml:space="preserve">que realizan los encargados de los depósitos no queda constancia del “corte de documentación” </w:t>
      </w:r>
      <w:r w:rsidR="00C47CD1" w:rsidRPr="001D7C04">
        <w:rPr>
          <w:rFonts w:ascii="Arial" w:hAnsi="Arial" w:cs="Arial"/>
          <w:sz w:val="24"/>
          <w:szCs w:val="24"/>
          <w:lang w:val="es-ES_tradnl"/>
        </w:rPr>
        <w:t>que establece la numeración de los comprobantes de ingresos y egresos que fueron considerados en los registros contables, necesario para la verificación de los saldos correspondientes</w:t>
      </w:r>
      <w:r w:rsidR="00367230" w:rsidRPr="001D7C04">
        <w:rPr>
          <w:rFonts w:ascii="Arial" w:hAnsi="Arial" w:cs="Arial"/>
          <w:sz w:val="24"/>
          <w:szCs w:val="24"/>
          <w:lang w:val="es-ES_tradnl"/>
        </w:rPr>
        <w:t xml:space="preserve"> a </w:t>
      </w:r>
      <w:r w:rsidR="002728CA" w:rsidRPr="001D7C04">
        <w:rPr>
          <w:rFonts w:ascii="Arial" w:hAnsi="Arial" w:cs="Arial"/>
          <w:sz w:val="24"/>
          <w:szCs w:val="24"/>
          <w:lang w:val="es-ES_tradnl"/>
        </w:rPr>
        <w:t>B</w:t>
      </w:r>
      <w:r w:rsidR="00367230" w:rsidRPr="001D7C04">
        <w:rPr>
          <w:rFonts w:ascii="Arial" w:hAnsi="Arial" w:cs="Arial"/>
          <w:sz w:val="24"/>
          <w:szCs w:val="24"/>
          <w:lang w:val="es-ES_tradnl"/>
        </w:rPr>
        <w:t xml:space="preserve">ienes de </w:t>
      </w:r>
      <w:r w:rsidR="002728CA" w:rsidRPr="001D7C04">
        <w:rPr>
          <w:rFonts w:ascii="Arial" w:hAnsi="Arial" w:cs="Arial"/>
          <w:sz w:val="24"/>
          <w:szCs w:val="24"/>
          <w:lang w:val="es-ES_tradnl"/>
        </w:rPr>
        <w:t>C</w:t>
      </w:r>
      <w:r w:rsidR="00367230" w:rsidRPr="001D7C04">
        <w:rPr>
          <w:rFonts w:ascii="Arial" w:hAnsi="Arial" w:cs="Arial"/>
          <w:sz w:val="24"/>
          <w:szCs w:val="24"/>
          <w:lang w:val="es-ES_tradnl"/>
        </w:rPr>
        <w:t xml:space="preserve">ambio y </w:t>
      </w:r>
      <w:r w:rsidR="002728CA" w:rsidRPr="001D7C04">
        <w:rPr>
          <w:rFonts w:ascii="Arial" w:hAnsi="Arial" w:cs="Arial"/>
          <w:sz w:val="24"/>
          <w:szCs w:val="24"/>
          <w:lang w:val="es-ES_tradnl"/>
        </w:rPr>
        <w:t>M</w:t>
      </w:r>
      <w:r w:rsidR="00367230" w:rsidRPr="001D7C04">
        <w:rPr>
          <w:rFonts w:ascii="Arial" w:hAnsi="Arial" w:cs="Arial"/>
          <w:sz w:val="24"/>
          <w:szCs w:val="24"/>
          <w:lang w:val="es-ES_tradnl"/>
        </w:rPr>
        <w:t>ateriales</w:t>
      </w:r>
      <w:r w:rsidR="00C47CD1" w:rsidRPr="001D7C04">
        <w:rPr>
          <w:rFonts w:ascii="Arial" w:hAnsi="Arial" w:cs="Arial"/>
          <w:sz w:val="24"/>
          <w:szCs w:val="24"/>
          <w:lang w:val="es-ES_tradnl"/>
        </w:rPr>
        <w:t>.</w:t>
      </w:r>
    </w:p>
    <w:p w:rsidR="00621628" w:rsidRPr="00571249" w:rsidRDefault="00C47CD1"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1D7C04">
        <w:rPr>
          <w:rFonts w:ascii="Arial" w:hAnsi="Arial" w:cs="Arial"/>
          <w:sz w:val="24"/>
          <w:szCs w:val="24"/>
          <w:lang w:val="es-ES_tradnl"/>
        </w:rPr>
        <w:t xml:space="preserve">Los responsables de los depósitos de los </w:t>
      </w:r>
      <w:r w:rsidR="002728CA" w:rsidRPr="001D7C04">
        <w:rPr>
          <w:rFonts w:ascii="Arial" w:hAnsi="Arial" w:cs="Arial"/>
          <w:sz w:val="24"/>
          <w:szCs w:val="24"/>
          <w:lang w:val="es-ES_tradnl"/>
        </w:rPr>
        <w:t>B</w:t>
      </w:r>
      <w:r w:rsidRPr="001D7C04">
        <w:rPr>
          <w:rFonts w:ascii="Arial" w:hAnsi="Arial" w:cs="Arial"/>
          <w:sz w:val="24"/>
          <w:szCs w:val="24"/>
          <w:lang w:val="es-ES_tradnl"/>
        </w:rPr>
        <w:t xml:space="preserve">ienes de </w:t>
      </w:r>
      <w:r w:rsidR="002728CA" w:rsidRPr="001D7C04">
        <w:rPr>
          <w:rFonts w:ascii="Arial" w:hAnsi="Arial" w:cs="Arial"/>
          <w:sz w:val="24"/>
          <w:szCs w:val="24"/>
          <w:lang w:val="es-ES_tradnl"/>
        </w:rPr>
        <w:t>C</w:t>
      </w:r>
      <w:r w:rsidRPr="001D7C04">
        <w:rPr>
          <w:rFonts w:ascii="Arial" w:hAnsi="Arial" w:cs="Arial"/>
          <w:sz w:val="24"/>
          <w:szCs w:val="24"/>
          <w:lang w:val="es-ES_tradnl"/>
        </w:rPr>
        <w:t xml:space="preserve">ambio de ANCAP en sus diferentes locales, no cuentan con </w:t>
      </w:r>
      <w:r w:rsidR="002728CA" w:rsidRPr="001D7C04">
        <w:rPr>
          <w:rFonts w:ascii="Arial" w:hAnsi="Arial" w:cs="Arial"/>
          <w:sz w:val="24"/>
          <w:szCs w:val="24"/>
          <w:lang w:val="es-ES_tradnl"/>
        </w:rPr>
        <w:t>m</w:t>
      </w:r>
      <w:r w:rsidRPr="001D7C04">
        <w:rPr>
          <w:rFonts w:ascii="Arial" w:hAnsi="Arial" w:cs="Arial"/>
          <w:sz w:val="24"/>
          <w:szCs w:val="24"/>
          <w:lang w:val="es-ES_tradnl"/>
        </w:rPr>
        <w:t xml:space="preserve">anuales </w:t>
      </w:r>
      <w:r w:rsidR="00367230" w:rsidRPr="001D7C04">
        <w:rPr>
          <w:rFonts w:ascii="Arial" w:hAnsi="Arial" w:cs="Arial"/>
          <w:sz w:val="24"/>
          <w:szCs w:val="24"/>
          <w:lang w:val="es-ES_tradnl"/>
        </w:rPr>
        <w:t xml:space="preserve">aprobados </w:t>
      </w:r>
      <w:r w:rsidRPr="001D7C04">
        <w:rPr>
          <w:rFonts w:ascii="Arial" w:hAnsi="Arial" w:cs="Arial"/>
          <w:sz w:val="24"/>
          <w:szCs w:val="24"/>
          <w:lang w:val="es-ES_tradnl"/>
        </w:rPr>
        <w:t xml:space="preserve">que establezcan los procedimientos de custodia, vigilancia, mantenimiento de inventarios  </w:t>
      </w:r>
      <w:r w:rsidR="00367230" w:rsidRPr="001D7C04">
        <w:rPr>
          <w:rFonts w:ascii="Arial" w:hAnsi="Arial" w:cs="Arial"/>
          <w:sz w:val="24"/>
          <w:szCs w:val="24"/>
          <w:lang w:val="es-ES_tradnl"/>
        </w:rPr>
        <w:t>y de</w:t>
      </w:r>
      <w:r w:rsidRPr="001D7C04">
        <w:rPr>
          <w:rFonts w:ascii="Arial" w:hAnsi="Arial" w:cs="Arial"/>
          <w:sz w:val="24"/>
          <w:szCs w:val="24"/>
          <w:lang w:val="es-ES_tradnl"/>
        </w:rPr>
        <w:t xml:space="preserve"> registro en los correspondientes </w:t>
      </w:r>
      <w:r w:rsidR="002728CA" w:rsidRPr="001D7C04">
        <w:rPr>
          <w:rFonts w:ascii="Arial" w:hAnsi="Arial" w:cs="Arial"/>
          <w:sz w:val="24"/>
          <w:szCs w:val="24"/>
          <w:lang w:val="es-ES_tradnl"/>
        </w:rPr>
        <w:t>sistemas informáticos.</w:t>
      </w:r>
    </w:p>
    <w:p w:rsidR="000F1F50" w:rsidRDefault="00C47CD1" w:rsidP="005A7331">
      <w:pPr>
        <w:pStyle w:val="Prrafodelista"/>
        <w:keepNext/>
        <w:widowControl w:val="0"/>
        <w:numPr>
          <w:ilvl w:val="0"/>
          <w:numId w:val="28"/>
        </w:numPr>
        <w:tabs>
          <w:tab w:val="left" w:pos="1134"/>
          <w:tab w:val="right" w:pos="5387"/>
          <w:tab w:val="right" w:pos="8222"/>
        </w:tabs>
        <w:spacing w:line="360" w:lineRule="auto"/>
        <w:jc w:val="both"/>
        <w:rPr>
          <w:rFonts w:ascii="Arial" w:hAnsi="Arial" w:cs="Arial"/>
          <w:sz w:val="24"/>
          <w:szCs w:val="24"/>
          <w:lang w:val="es-ES_tradnl"/>
        </w:rPr>
      </w:pPr>
      <w:r w:rsidRPr="00D4269B">
        <w:rPr>
          <w:rFonts w:ascii="Arial" w:hAnsi="Arial" w:cs="Arial"/>
          <w:sz w:val="24"/>
          <w:szCs w:val="24"/>
          <w:lang w:val="es-ES_tradnl"/>
        </w:rPr>
        <w:t xml:space="preserve">En cuanto a seguridad de los locales de depósitos de bienes de cambio, </w:t>
      </w:r>
      <w:r w:rsidR="002728CA" w:rsidRPr="00D4269B">
        <w:rPr>
          <w:rFonts w:ascii="Arial" w:hAnsi="Arial" w:cs="Arial"/>
          <w:sz w:val="24"/>
          <w:szCs w:val="24"/>
          <w:lang w:val="es-ES_tradnl"/>
        </w:rPr>
        <w:t xml:space="preserve">y a restricciones de acceso al área que impidan el mismo a funcionarios no autorizados, </w:t>
      </w:r>
      <w:r w:rsidRPr="00D4269B">
        <w:rPr>
          <w:rFonts w:ascii="Arial" w:hAnsi="Arial" w:cs="Arial"/>
          <w:sz w:val="24"/>
          <w:szCs w:val="24"/>
          <w:lang w:val="es-ES_tradnl"/>
        </w:rPr>
        <w:t>la Planta de Carrasco mantiene horarios sin vigilancia</w:t>
      </w:r>
      <w:r w:rsidR="002728CA" w:rsidRPr="00D4269B">
        <w:rPr>
          <w:rFonts w:ascii="Arial" w:hAnsi="Arial" w:cs="Arial"/>
          <w:sz w:val="24"/>
          <w:szCs w:val="24"/>
          <w:lang w:val="es-ES_tradnl"/>
        </w:rPr>
        <w:t xml:space="preserve"> y en </w:t>
      </w:r>
      <w:r w:rsidR="00FA3ED9" w:rsidRPr="00D4269B">
        <w:rPr>
          <w:rFonts w:ascii="Arial" w:hAnsi="Arial" w:cs="Arial"/>
          <w:sz w:val="24"/>
          <w:szCs w:val="24"/>
          <w:lang w:val="es-ES_tradnl"/>
        </w:rPr>
        <w:t>la Planta de Lubricantes de la Teja</w:t>
      </w:r>
      <w:r w:rsidR="002728CA" w:rsidRPr="00D4269B">
        <w:rPr>
          <w:rFonts w:ascii="Arial" w:hAnsi="Arial" w:cs="Arial"/>
          <w:sz w:val="24"/>
          <w:szCs w:val="24"/>
          <w:lang w:val="es-ES_tradnl"/>
        </w:rPr>
        <w:t xml:space="preserve"> no se establece</w:t>
      </w:r>
      <w:r w:rsidR="007507C0" w:rsidRPr="00D4269B">
        <w:rPr>
          <w:rFonts w:ascii="Arial" w:hAnsi="Arial" w:cs="Arial"/>
          <w:sz w:val="24"/>
          <w:szCs w:val="24"/>
          <w:lang w:val="es-ES_tradnl"/>
        </w:rPr>
        <w:t>n</w:t>
      </w:r>
      <w:r w:rsidR="002728CA" w:rsidRPr="00D4269B">
        <w:rPr>
          <w:rFonts w:ascii="Arial" w:hAnsi="Arial" w:cs="Arial"/>
          <w:sz w:val="24"/>
          <w:szCs w:val="24"/>
          <w:lang w:val="es-ES_tradnl"/>
        </w:rPr>
        <w:t xml:space="preserve"> restricciones de acceso.</w:t>
      </w:r>
    </w:p>
    <w:p w:rsidR="001357CD" w:rsidRPr="00D4269B" w:rsidRDefault="001357CD" w:rsidP="001357CD">
      <w:pPr>
        <w:pStyle w:val="Prrafodelista"/>
        <w:keepNext/>
        <w:widowControl w:val="0"/>
        <w:tabs>
          <w:tab w:val="left" w:pos="1134"/>
          <w:tab w:val="right" w:pos="5387"/>
          <w:tab w:val="right" w:pos="8222"/>
        </w:tabs>
        <w:spacing w:line="360" w:lineRule="auto"/>
        <w:ind w:left="1146"/>
        <w:jc w:val="both"/>
        <w:rPr>
          <w:rFonts w:ascii="Arial" w:hAnsi="Arial" w:cs="Arial"/>
          <w:sz w:val="24"/>
          <w:szCs w:val="24"/>
          <w:lang w:val="es-ES_tradnl"/>
        </w:rPr>
      </w:pPr>
    </w:p>
    <w:p w:rsidR="0028020E" w:rsidRPr="00571249" w:rsidRDefault="0028020E" w:rsidP="00226EDF">
      <w:pPr>
        <w:pStyle w:val="Prrafodelista"/>
        <w:keepNext/>
        <w:widowControl w:val="0"/>
        <w:numPr>
          <w:ilvl w:val="0"/>
          <w:numId w:val="30"/>
        </w:numPr>
        <w:tabs>
          <w:tab w:val="left" w:pos="1134"/>
          <w:tab w:val="right" w:pos="5387"/>
          <w:tab w:val="right" w:pos="8222"/>
        </w:tabs>
        <w:spacing w:line="360" w:lineRule="auto"/>
        <w:rPr>
          <w:rFonts w:cs="Arial"/>
          <w:b/>
          <w:szCs w:val="24"/>
          <w:lang w:val="es-ES_tradnl"/>
        </w:rPr>
      </w:pPr>
      <w:r w:rsidRPr="00571249">
        <w:rPr>
          <w:rFonts w:ascii="Arial" w:hAnsi="Arial" w:cs="Arial"/>
          <w:b/>
          <w:sz w:val="24"/>
          <w:szCs w:val="24"/>
          <w:lang w:val="es-ES_tradnl"/>
        </w:rPr>
        <w:t>Incumplimientos de normas legales</w:t>
      </w:r>
    </w:p>
    <w:p w:rsidR="0028020E" w:rsidRPr="007507C0" w:rsidRDefault="0028020E" w:rsidP="005A7331">
      <w:pPr>
        <w:pStyle w:val="Prrafodelista"/>
        <w:keepNext/>
        <w:widowControl w:val="0"/>
        <w:tabs>
          <w:tab w:val="left" w:pos="1134"/>
          <w:tab w:val="right" w:pos="5387"/>
          <w:tab w:val="right" w:pos="8222"/>
        </w:tabs>
        <w:spacing w:after="0" w:line="360" w:lineRule="auto"/>
        <w:ind w:left="360"/>
        <w:rPr>
          <w:rFonts w:ascii="Arial" w:hAnsi="Arial" w:cs="Arial"/>
          <w:szCs w:val="24"/>
        </w:rPr>
      </w:pPr>
      <w:r w:rsidRPr="007507C0">
        <w:rPr>
          <w:rFonts w:ascii="Arial" w:hAnsi="Arial" w:cs="Arial"/>
          <w:b/>
          <w:sz w:val="24"/>
          <w:szCs w:val="24"/>
        </w:rPr>
        <w:t>3.1</w:t>
      </w:r>
      <w:r w:rsidR="000F1F50" w:rsidRPr="007507C0">
        <w:rPr>
          <w:rFonts w:ascii="Arial" w:hAnsi="Arial" w:cs="Arial"/>
          <w:b/>
          <w:sz w:val="24"/>
          <w:szCs w:val="24"/>
        </w:rPr>
        <w:t xml:space="preserve"> </w:t>
      </w:r>
      <w:r w:rsidRPr="007507C0">
        <w:rPr>
          <w:rFonts w:ascii="Arial" w:hAnsi="Arial" w:cs="Arial"/>
          <w:b/>
          <w:sz w:val="24"/>
          <w:szCs w:val="24"/>
        </w:rPr>
        <w:t>Artículo</w:t>
      </w:r>
      <w:r w:rsidRPr="007507C0">
        <w:rPr>
          <w:rFonts w:ascii="Arial" w:hAnsi="Arial" w:cs="Arial"/>
          <w:b/>
          <w:sz w:val="24"/>
          <w:szCs w:val="24"/>
          <w:lang w:val="es-ES_tradnl"/>
        </w:rPr>
        <w:t xml:space="preserve"> 191 de la Constitución de la República, Artículo 1° de la ley 17040 y Numeral 30 de la Ordenanza 81 del tribunal de Cuentas</w:t>
      </w:r>
    </w:p>
    <w:p w:rsidR="000C73EF" w:rsidRDefault="000C73EF" w:rsidP="005A7331">
      <w:pPr>
        <w:keepNext/>
        <w:widowControl w:val="0"/>
        <w:spacing w:after="0" w:line="360" w:lineRule="auto"/>
        <w:ind w:firstLine="360"/>
        <w:rPr>
          <w:rFonts w:cs="Arial"/>
          <w:szCs w:val="24"/>
          <w:lang w:val="es-ES_tradnl"/>
        </w:rPr>
      </w:pPr>
      <w:r w:rsidRPr="00571249">
        <w:rPr>
          <w:rFonts w:cs="Arial"/>
          <w:szCs w:val="24"/>
          <w:lang w:val="es-ES_tradnl"/>
        </w:rPr>
        <w:t>ANCAP no dio cumplimiento a lo establecido en la</w:t>
      </w:r>
      <w:r w:rsidR="00670510">
        <w:rPr>
          <w:rFonts w:cs="Arial"/>
          <w:szCs w:val="24"/>
          <w:lang w:val="es-ES_tradnl"/>
        </w:rPr>
        <w:t>s</w:t>
      </w:r>
      <w:r w:rsidRPr="00571249">
        <w:rPr>
          <w:rFonts w:cs="Arial"/>
          <w:szCs w:val="24"/>
          <w:lang w:val="es-ES_tradnl"/>
        </w:rPr>
        <w:t xml:space="preserve"> citada</w:t>
      </w:r>
      <w:r w:rsidR="00670510">
        <w:rPr>
          <w:rFonts w:cs="Arial"/>
          <w:szCs w:val="24"/>
          <w:lang w:val="es-ES_tradnl"/>
        </w:rPr>
        <w:t>s</w:t>
      </w:r>
      <w:r w:rsidRPr="00571249">
        <w:rPr>
          <w:rFonts w:cs="Arial"/>
          <w:szCs w:val="24"/>
          <w:lang w:val="es-ES_tradnl"/>
        </w:rPr>
        <w:t xml:space="preserve"> norma</w:t>
      </w:r>
      <w:r w:rsidR="00670510">
        <w:rPr>
          <w:rFonts w:cs="Arial"/>
          <w:szCs w:val="24"/>
          <w:lang w:val="es-ES_tradnl"/>
        </w:rPr>
        <w:t>s</w:t>
      </w:r>
      <w:r w:rsidRPr="00571249">
        <w:rPr>
          <w:rFonts w:cs="Arial"/>
          <w:szCs w:val="24"/>
          <w:lang w:val="es-ES_tradnl"/>
        </w:rPr>
        <w:t>, por no publicar los estados financieros correspondientes al ejercicio 2014 en dos periódicos de circulación nacional conjuntamente con el Dictamen de auditoría del Tribunal de Cuentas.</w:t>
      </w:r>
    </w:p>
    <w:p w:rsidR="00226EDF" w:rsidRDefault="00226EDF" w:rsidP="005A7331">
      <w:pPr>
        <w:keepNext/>
        <w:widowControl w:val="0"/>
        <w:spacing w:after="0" w:line="360" w:lineRule="auto"/>
        <w:ind w:firstLine="360"/>
        <w:rPr>
          <w:rFonts w:cs="Arial"/>
          <w:szCs w:val="24"/>
          <w:lang w:val="es-ES_tradnl"/>
        </w:rPr>
      </w:pPr>
    </w:p>
    <w:p w:rsidR="0028020E" w:rsidRPr="0028020E" w:rsidRDefault="008A4566" w:rsidP="005A7331">
      <w:pPr>
        <w:keepNext/>
        <w:widowControl w:val="0"/>
        <w:tabs>
          <w:tab w:val="left" w:pos="1134"/>
          <w:tab w:val="right" w:pos="5387"/>
          <w:tab w:val="right" w:pos="8222"/>
        </w:tabs>
        <w:spacing w:after="0" w:line="360" w:lineRule="auto"/>
        <w:rPr>
          <w:rFonts w:cs="Arial"/>
          <w:szCs w:val="24"/>
        </w:rPr>
      </w:pPr>
      <w:r>
        <w:rPr>
          <w:rFonts w:cs="Arial"/>
          <w:szCs w:val="24"/>
        </w:rPr>
        <w:tab/>
      </w:r>
      <w:r w:rsidR="0028020E" w:rsidRPr="0028020E">
        <w:rPr>
          <w:rFonts w:cs="Arial"/>
          <w:szCs w:val="24"/>
        </w:rPr>
        <w:t>El Directorio del En</w:t>
      </w:r>
      <w:r w:rsidR="006D77E9">
        <w:rPr>
          <w:rFonts w:cs="Arial"/>
          <w:szCs w:val="24"/>
        </w:rPr>
        <w:t>te en su expediente N° 250959/0,</w:t>
      </w:r>
      <w:r w:rsidR="0028020E" w:rsidRPr="0028020E">
        <w:rPr>
          <w:rFonts w:cs="Arial"/>
          <w:szCs w:val="24"/>
        </w:rPr>
        <w:t xml:space="preserve"> actuación N° I-0878/2016 resuelve, en su numeral 2° “Disponer la publicación en la Web del Dictamen del Tribunal de Cuentas de la República relativo a los Estados Contables correspondientes al ejercicio 2014.” Habiendo realizado únicamente esta publicación y omitido las dispuestas en el artículo 1° de la Ley N° 17.040, que establece la publicación en dos periódicos de circulación nacional.</w:t>
      </w:r>
    </w:p>
    <w:p w:rsidR="001C0E77" w:rsidRDefault="008A4566" w:rsidP="005A7331">
      <w:pPr>
        <w:keepNext/>
        <w:widowControl w:val="0"/>
        <w:tabs>
          <w:tab w:val="left" w:pos="1134"/>
          <w:tab w:val="right" w:pos="5387"/>
          <w:tab w:val="right" w:pos="8222"/>
        </w:tabs>
        <w:spacing w:after="0" w:line="360" w:lineRule="auto"/>
        <w:rPr>
          <w:rFonts w:cs="Arial"/>
          <w:szCs w:val="24"/>
        </w:rPr>
      </w:pPr>
      <w:r>
        <w:rPr>
          <w:rFonts w:cs="Arial"/>
          <w:szCs w:val="24"/>
        </w:rPr>
        <w:tab/>
      </w:r>
      <w:r w:rsidR="0028020E" w:rsidRPr="0028020E">
        <w:rPr>
          <w:rFonts w:cs="Arial"/>
          <w:szCs w:val="24"/>
        </w:rPr>
        <w:t>Asimismo, el numeral 3°</w:t>
      </w:r>
      <w:r w:rsidR="00D4269B">
        <w:rPr>
          <w:rFonts w:cs="Arial"/>
          <w:szCs w:val="24"/>
        </w:rPr>
        <w:t xml:space="preserve"> </w:t>
      </w:r>
      <w:r w:rsidR="0028020E" w:rsidRPr="0028020E">
        <w:rPr>
          <w:rFonts w:cs="Arial"/>
          <w:szCs w:val="24"/>
        </w:rPr>
        <w:t>dispone “la publicación de los Estados Contables correspondientes a 2015, en la forma establecida por la normativa vigente conjuntamente con el dictamen del Tribunal de Cuentas de la República o, de no contarse con este, a más tardar el 30 de junio de 2016, debiéndose en ese caso dejar la constancia respectiva de que no se ha contado a esa</w:t>
      </w:r>
      <w:r w:rsidR="001E41D0">
        <w:rPr>
          <w:rFonts w:cs="Arial"/>
          <w:szCs w:val="24"/>
        </w:rPr>
        <w:t xml:space="preserve"> fecha con el referido Dictamen</w:t>
      </w:r>
      <w:r w:rsidR="0028020E" w:rsidRPr="0028020E">
        <w:rPr>
          <w:rFonts w:cs="Arial"/>
          <w:szCs w:val="24"/>
        </w:rPr>
        <w:t>”, extremo que se cumplió el pasado 15 de julio de 2016.</w:t>
      </w:r>
    </w:p>
    <w:p w:rsidR="0008504E" w:rsidRPr="00232B2D" w:rsidRDefault="0028020E" w:rsidP="005A7331">
      <w:pPr>
        <w:keepNext/>
        <w:widowControl w:val="0"/>
        <w:spacing w:after="0" w:line="360" w:lineRule="auto"/>
        <w:rPr>
          <w:rFonts w:cs="Arial"/>
          <w:b/>
          <w:szCs w:val="24"/>
        </w:rPr>
      </w:pPr>
      <w:r w:rsidRPr="007507C0">
        <w:rPr>
          <w:rFonts w:cs="Arial"/>
          <w:b/>
          <w:szCs w:val="24"/>
        </w:rPr>
        <w:t>3.2</w:t>
      </w:r>
      <w:r w:rsidR="0008504E" w:rsidRPr="007507C0">
        <w:rPr>
          <w:rFonts w:cs="Arial"/>
          <w:b/>
          <w:szCs w:val="24"/>
        </w:rPr>
        <w:t xml:space="preserve"> Artículo</w:t>
      </w:r>
      <w:r w:rsidR="0008504E" w:rsidRPr="00232B2D">
        <w:rPr>
          <w:rFonts w:cs="Arial"/>
          <w:b/>
          <w:szCs w:val="24"/>
        </w:rPr>
        <w:t xml:space="preserve"> 7 de la Ley 17.292</w:t>
      </w:r>
      <w:r w:rsidR="0008504E">
        <w:rPr>
          <w:rFonts w:cs="Arial"/>
          <w:b/>
          <w:szCs w:val="24"/>
        </w:rPr>
        <w:t>:</w:t>
      </w:r>
      <w:r w:rsidR="0008504E" w:rsidRPr="00232B2D">
        <w:rPr>
          <w:rFonts w:cs="Arial"/>
          <w:b/>
          <w:szCs w:val="24"/>
        </w:rPr>
        <w:t xml:space="preserve"> Informar anualmente al Poder Ejecutivo sobre la gestión de la sociedad o emprendimiento respectivo y remitirle toda otra documentación de carácter contable, jurídico o empresarial.</w:t>
      </w:r>
    </w:p>
    <w:p w:rsidR="0028020E" w:rsidRPr="00571249" w:rsidRDefault="0008504E" w:rsidP="005A7331">
      <w:pPr>
        <w:keepNext/>
        <w:widowControl w:val="0"/>
        <w:spacing w:after="0" w:line="360" w:lineRule="auto"/>
        <w:ind w:firstLine="708"/>
        <w:rPr>
          <w:rFonts w:cs="Arial"/>
          <w:szCs w:val="24"/>
          <w:lang w:val="es-ES_tradnl"/>
        </w:rPr>
      </w:pPr>
      <w:r w:rsidRPr="00232B2D">
        <w:rPr>
          <w:rFonts w:cs="Arial"/>
          <w:szCs w:val="24"/>
        </w:rPr>
        <w:t xml:space="preserve">Durante el ejercicio examinado, el Organismo no remitió al Poder Ejecutivo la documentación requerida, referente a la gestión de las sociedades y toda otra documentación de carácter contable, jurídico o empresarial, de las empresas vinculadas </w:t>
      </w:r>
      <w:r w:rsidRPr="00232B2D">
        <w:rPr>
          <w:rFonts w:cs="Arial"/>
          <w:szCs w:val="24"/>
          <w:lang w:val="es-ES_tradnl"/>
        </w:rPr>
        <w:t>GASUR SA y TALOBRAS SA correspondientes al ejercicio 2014, y de ALUR SA correspondiente al ejercicio 2013.</w:t>
      </w:r>
    </w:p>
    <w:p w:rsidR="0008504E" w:rsidRPr="00232B2D" w:rsidRDefault="0028020E" w:rsidP="005A7331">
      <w:pPr>
        <w:keepNext/>
        <w:widowControl w:val="0"/>
        <w:spacing w:after="0" w:line="360" w:lineRule="auto"/>
        <w:rPr>
          <w:rFonts w:cs="Arial"/>
          <w:szCs w:val="24"/>
          <w:lang w:val="es-ES_tradnl"/>
        </w:rPr>
      </w:pPr>
      <w:r w:rsidRPr="00D4269B">
        <w:rPr>
          <w:rFonts w:cs="Arial"/>
          <w:b/>
          <w:szCs w:val="24"/>
        </w:rPr>
        <w:t>3.3</w:t>
      </w:r>
      <w:r w:rsidR="0008504E" w:rsidRPr="00D4269B">
        <w:rPr>
          <w:rFonts w:cs="Arial"/>
          <w:b/>
          <w:szCs w:val="24"/>
        </w:rPr>
        <w:t xml:space="preserve"> Artículo 267 de la ley 18.834: Autorización del Poder Ejecutivo para</w:t>
      </w:r>
      <w:r w:rsidR="0008504E" w:rsidRPr="00232B2D">
        <w:rPr>
          <w:rFonts w:cs="Arial"/>
          <w:b/>
          <w:szCs w:val="24"/>
          <w:lang w:val="es-ES_tradnl"/>
        </w:rPr>
        <w:t xml:space="preserve"> contratar financiamiento.</w:t>
      </w:r>
    </w:p>
    <w:p w:rsidR="0008504E" w:rsidRPr="00934C16" w:rsidRDefault="00934C16" w:rsidP="005A7331">
      <w:pPr>
        <w:keepNext/>
        <w:widowControl w:val="0"/>
        <w:spacing w:after="0" w:line="360" w:lineRule="auto"/>
        <w:ind w:firstLine="708"/>
        <w:rPr>
          <w:rFonts w:cs="Arial"/>
          <w:szCs w:val="24"/>
          <w:lang w:val="es-ES_tradnl"/>
        </w:rPr>
      </w:pPr>
      <w:r w:rsidRPr="00934C16">
        <w:rPr>
          <w:rFonts w:cs="Arial"/>
          <w:szCs w:val="24"/>
          <w:lang w:val="es-ES_tradnl"/>
        </w:rPr>
        <w:t>Las fianzas solidarias suscritas por ANCAP para la financiación de la construcción de la Planta de Etanol de ALUR SA super</w:t>
      </w:r>
      <w:r w:rsidR="00670510">
        <w:rPr>
          <w:rFonts w:cs="Arial"/>
          <w:szCs w:val="24"/>
          <w:lang w:val="es-ES_tradnl"/>
        </w:rPr>
        <w:t>an el importe de U$S107:000.000</w:t>
      </w:r>
      <w:r w:rsidRPr="00934C16">
        <w:rPr>
          <w:rFonts w:cs="Arial"/>
          <w:szCs w:val="24"/>
          <w:lang w:val="es-ES_tradnl"/>
        </w:rPr>
        <w:t xml:space="preserve"> autorizado por Resolución del Poder Ejecutivo</w:t>
      </w:r>
      <w:r w:rsidRPr="00934C16">
        <w:rPr>
          <w:rFonts w:cs="Arial"/>
          <w:color w:val="000000"/>
          <w:szCs w:val="24"/>
        </w:rPr>
        <w:t xml:space="preserve"> de </w:t>
      </w:r>
      <w:r w:rsidR="00670510">
        <w:rPr>
          <w:rFonts w:cs="Arial"/>
          <w:color w:val="000000"/>
          <w:szCs w:val="24"/>
        </w:rPr>
        <w:t xml:space="preserve">fecha </w:t>
      </w:r>
      <w:r w:rsidRPr="00934C16">
        <w:rPr>
          <w:rStyle w:val="object"/>
          <w:rFonts w:cs="Arial"/>
          <w:szCs w:val="24"/>
        </w:rPr>
        <w:t>24/04/2013</w:t>
      </w:r>
      <w:r w:rsidR="00670510">
        <w:rPr>
          <w:rStyle w:val="object"/>
          <w:rFonts w:cs="Arial"/>
          <w:szCs w:val="24"/>
        </w:rPr>
        <w:t xml:space="preserve">, totalizando un importe de </w:t>
      </w:r>
      <w:r>
        <w:rPr>
          <w:rFonts w:cs="Arial"/>
          <w:color w:val="000000"/>
          <w:szCs w:val="24"/>
        </w:rPr>
        <w:t>US$</w:t>
      </w:r>
      <w:r w:rsidR="00670510">
        <w:rPr>
          <w:rFonts w:cs="Arial"/>
          <w:color w:val="000000"/>
          <w:szCs w:val="24"/>
        </w:rPr>
        <w:t xml:space="preserve"> </w:t>
      </w:r>
      <w:r>
        <w:rPr>
          <w:rFonts w:cs="Arial"/>
          <w:color w:val="000000"/>
          <w:szCs w:val="24"/>
        </w:rPr>
        <w:t xml:space="preserve">156.000.000. </w:t>
      </w:r>
      <w:r w:rsidRPr="00670510">
        <w:rPr>
          <w:rFonts w:cs="Arial"/>
          <w:color w:val="000000"/>
          <w:szCs w:val="24"/>
        </w:rPr>
        <w:t>De acuerdo a información proporcionada</w:t>
      </w:r>
      <w:r w:rsidR="00670510" w:rsidRPr="00670510">
        <w:rPr>
          <w:rFonts w:cs="Arial"/>
          <w:color w:val="000000"/>
          <w:szCs w:val="24"/>
        </w:rPr>
        <w:t xml:space="preserve"> por el Organismo</w:t>
      </w:r>
      <w:r w:rsidRPr="00670510">
        <w:rPr>
          <w:rFonts w:cs="Arial"/>
          <w:color w:val="000000"/>
          <w:szCs w:val="24"/>
        </w:rPr>
        <w:t xml:space="preserve">, durante el ejercicio 2014 ALUR </w:t>
      </w:r>
      <w:r w:rsidR="00670510">
        <w:rPr>
          <w:rFonts w:cs="Arial"/>
          <w:color w:val="000000"/>
          <w:szCs w:val="24"/>
        </w:rPr>
        <w:t>efectuó</w:t>
      </w:r>
      <w:r w:rsidRPr="00670510">
        <w:rPr>
          <w:rFonts w:cs="Arial"/>
          <w:color w:val="000000"/>
          <w:szCs w:val="24"/>
        </w:rPr>
        <w:t xml:space="preserve"> una solicitud complementaria al Ministerio de Economía </w:t>
      </w:r>
      <w:r w:rsidR="00670510">
        <w:rPr>
          <w:rFonts w:cs="Arial"/>
          <w:color w:val="000000"/>
          <w:szCs w:val="24"/>
        </w:rPr>
        <w:t>y Finanzas</w:t>
      </w:r>
      <w:r w:rsidRPr="00670510">
        <w:rPr>
          <w:rFonts w:cs="Arial"/>
          <w:color w:val="000000"/>
          <w:szCs w:val="24"/>
        </w:rPr>
        <w:t> </w:t>
      </w:r>
      <w:r w:rsidR="00670510">
        <w:rPr>
          <w:rFonts w:cs="Arial"/>
          <w:color w:val="000000"/>
          <w:szCs w:val="24"/>
        </w:rPr>
        <w:t>de</w:t>
      </w:r>
      <w:r w:rsidRPr="00670510">
        <w:rPr>
          <w:rFonts w:cs="Arial"/>
          <w:color w:val="000000"/>
          <w:szCs w:val="24"/>
        </w:rPr>
        <w:t xml:space="preserve"> </w:t>
      </w:r>
      <w:r w:rsidR="00670510">
        <w:rPr>
          <w:rFonts w:cs="Arial"/>
          <w:color w:val="000000"/>
          <w:szCs w:val="24"/>
        </w:rPr>
        <w:t xml:space="preserve">US$ </w:t>
      </w:r>
      <w:r w:rsidRPr="00670510">
        <w:rPr>
          <w:rFonts w:cs="Arial"/>
          <w:color w:val="000000"/>
          <w:szCs w:val="24"/>
        </w:rPr>
        <w:t>40</w:t>
      </w:r>
      <w:r w:rsidR="00670510">
        <w:rPr>
          <w:rFonts w:cs="Arial"/>
          <w:color w:val="000000"/>
          <w:szCs w:val="24"/>
        </w:rPr>
        <w:t>.000.000,</w:t>
      </w:r>
      <w:r w:rsidRPr="00670510">
        <w:rPr>
          <w:rFonts w:cs="Arial"/>
          <w:color w:val="000000"/>
          <w:szCs w:val="24"/>
        </w:rPr>
        <w:t xml:space="preserve"> que a la fecha de </w:t>
      </w:r>
      <w:r w:rsidR="00670510">
        <w:rPr>
          <w:rFonts w:cs="Arial"/>
          <w:color w:val="000000"/>
          <w:szCs w:val="24"/>
        </w:rPr>
        <w:t>este</w:t>
      </w:r>
      <w:r w:rsidRPr="00670510">
        <w:rPr>
          <w:rFonts w:cs="Arial"/>
          <w:color w:val="000000"/>
          <w:szCs w:val="24"/>
        </w:rPr>
        <w:t xml:space="preserve"> </w:t>
      </w:r>
      <w:r w:rsidR="00670510">
        <w:rPr>
          <w:rFonts w:cs="Arial"/>
          <w:color w:val="000000"/>
          <w:szCs w:val="24"/>
        </w:rPr>
        <w:t>informe</w:t>
      </w:r>
      <w:r w:rsidRPr="00670510">
        <w:rPr>
          <w:rFonts w:cs="Arial"/>
          <w:color w:val="000000"/>
          <w:szCs w:val="24"/>
        </w:rPr>
        <w:t xml:space="preserve"> no había sido concedida.</w:t>
      </w:r>
    </w:p>
    <w:p w:rsidR="00C47CD1" w:rsidRPr="00571249" w:rsidRDefault="00645295" w:rsidP="005A7331">
      <w:pPr>
        <w:keepNext/>
        <w:widowControl w:val="0"/>
        <w:spacing w:after="0" w:line="360" w:lineRule="auto"/>
        <w:rPr>
          <w:rFonts w:cs="Arial"/>
          <w:b/>
          <w:szCs w:val="24"/>
        </w:rPr>
      </w:pPr>
      <w:r w:rsidRPr="00571249">
        <w:rPr>
          <w:rFonts w:cs="Arial"/>
          <w:b/>
          <w:szCs w:val="24"/>
        </w:rPr>
        <w:t>4</w:t>
      </w:r>
      <w:r w:rsidR="001C0E77" w:rsidRPr="00571249">
        <w:rPr>
          <w:rFonts w:cs="Arial"/>
          <w:b/>
          <w:szCs w:val="24"/>
        </w:rPr>
        <w:t>)</w:t>
      </w:r>
      <w:r w:rsidR="00C47CD1" w:rsidRPr="00571249">
        <w:rPr>
          <w:rFonts w:cs="Arial"/>
          <w:b/>
          <w:szCs w:val="24"/>
        </w:rPr>
        <w:t xml:space="preserve"> Recomendaciones</w:t>
      </w:r>
    </w:p>
    <w:p w:rsidR="00C47CD1" w:rsidRPr="00571249" w:rsidRDefault="00645295" w:rsidP="005A7331">
      <w:pPr>
        <w:keepNext/>
        <w:widowControl w:val="0"/>
        <w:spacing w:after="0" w:line="360" w:lineRule="auto"/>
        <w:rPr>
          <w:rFonts w:cs="Arial"/>
          <w:b/>
          <w:szCs w:val="24"/>
        </w:rPr>
      </w:pPr>
      <w:r w:rsidRPr="00571249">
        <w:rPr>
          <w:rFonts w:cs="Arial"/>
          <w:b/>
          <w:szCs w:val="24"/>
        </w:rPr>
        <w:t>4</w:t>
      </w:r>
      <w:r w:rsidR="00C47CD1" w:rsidRPr="00571249">
        <w:rPr>
          <w:rFonts w:cs="Arial"/>
          <w:b/>
          <w:szCs w:val="24"/>
        </w:rPr>
        <w:t>.1) Recomendaciones de ejercicios anteriores</w:t>
      </w:r>
    </w:p>
    <w:p w:rsidR="00C47CD1" w:rsidRPr="00571249" w:rsidRDefault="00645295" w:rsidP="005A7331">
      <w:pPr>
        <w:keepNext/>
        <w:widowControl w:val="0"/>
        <w:spacing w:after="0" w:line="360" w:lineRule="auto"/>
        <w:rPr>
          <w:rFonts w:cs="Arial"/>
          <w:szCs w:val="24"/>
        </w:rPr>
      </w:pPr>
      <w:r w:rsidRPr="00571249">
        <w:rPr>
          <w:rFonts w:cs="Arial"/>
          <w:b/>
          <w:szCs w:val="24"/>
        </w:rPr>
        <w:t>4.</w:t>
      </w:r>
      <w:r w:rsidR="00C47CD1" w:rsidRPr="00571249">
        <w:rPr>
          <w:rFonts w:cs="Arial"/>
          <w:b/>
          <w:szCs w:val="24"/>
        </w:rPr>
        <w:t>1.1) Cumplidas</w:t>
      </w:r>
    </w:p>
    <w:p w:rsidR="00C47CD1" w:rsidRPr="001D7C04" w:rsidRDefault="00645295" w:rsidP="005A7331">
      <w:pPr>
        <w:pStyle w:val="Sangra3detindependiente"/>
        <w:keepNext/>
        <w:widowControl w:val="0"/>
        <w:tabs>
          <w:tab w:val="left" w:pos="900"/>
        </w:tabs>
        <w:spacing w:after="0" w:line="360" w:lineRule="auto"/>
        <w:ind w:left="284"/>
        <w:rPr>
          <w:rFonts w:cs="Arial"/>
          <w:sz w:val="24"/>
          <w:szCs w:val="24"/>
        </w:rPr>
      </w:pPr>
      <w:r w:rsidRPr="001D7C04">
        <w:rPr>
          <w:rFonts w:cs="Arial"/>
          <w:sz w:val="24"/>
          <w:szCs w:val="24"/>
        </w:rPr>
        <w:t>4</w:t>
      </w:r>
      <w:r w:rsidR="001D281A" w:rsidRPr="001D7C04">
        <w:rPr>
          <w:rFonts w:cs="Arial"/>
          <w:sz w:val="24"/>
          <w:szCs w:val="24"/>
        </w:rPr>
        <w:t xml:space="preserve">.1.1.1 </w:t>
      </w:r>
      <w:r w:rsidR="008361C2" w:rsidRPr="001D7C04">
        <w:rPr>
          <w:rFonts w:cs="Arial"/>
          <w:sz w:val="24"/>
          <w:szCs w:val="24"/>
        </w:rPr>
        <w:t>Segregación de funciones de facturación</w:t>
      </w:r>
      <w:r w:rsidR="008E5C10" w:rsidRPr="001D7C04">
        <w:rPr>
          <w:rFonts w:cs="Arial"/>
          <w:sz w:val="24"/>
          <w:szCs w:val="24"/>
        </w:rPr>
        <w:t xml:space="preserve">: </w:t>
      </w:r>
      <w:r w:rsidR="001E5B9D" w:rsidRPr="001D7C04">
        <w:rPr>
          <w:rFonts w:cs="Arial"/>
          <w:sz w:val="24"/>
          <w:szCs w:val="24"/>
        </w:rPr>
        <w:t>La tarea de facturación de  intereses, multas, venta de chatarra y ajustes a empresas contratadas dejó de desempeñarse  en e</w:t>
      </w:r>
      <w:r w:rsidR="00C47CD1" w:rsidRPr="001D7C04">
        <w:rPr>
          <w:rFonts w:cs="Arial"/>
          <w:sz w:val="24"/>
          <w:szCs w:val="24"/>
        </w:rPr>
        <w:t>l Sector de Cuentas Corrientes eliminando la</w:t>
      </w:r>
      <w:r w:rsidR="001E5B9D" w:rsidRPr="001D7C04">
        <w:rPr>
          <w:rFonts w:cs="Arial"/>
          <w:sz w:val="24"/>
          <w:szCs w:val="24"/>
        </w:rPr>
        <w:t xml:space="preserve"> debilidad del sistema de control interno antes señalada.</w:t>
      </w:r>
    </w:p>
    <w:p w:rsidR="001E5B9D" w:rsidRPr="001D7C04" w:rsidRDefault="00645295" w:rsidP="005A7331">
      <w:pPr>
        <w:keepNext/>
        <w:widowControl w:val="0"/>
        <w:spacing w:after="0" w:line="360" w:lineRule="auto"/>
        <w:ind w:left="284"/>
        <w:rPr>
          <w:rFonts w:cs="Arial"/>
          <w:szCs w:val="24"/>
        </w:rPr>
      </w:pPr>
      <w:r w:rsidRPr="00571249">
        <w:rPr>
          <w:rFonts w:cs="Arial"/>
          <w:szCs w:val="24"/>
        </w:rPr>
        <w:t>4</w:t>
      </w:r>
      <w:r w:rsidR="001D281A" w:rsidRPr="00571249">
        <w:rPr>
          <w:rFonts w:cs="Arial"/>
          <w:szCs w:val="24"/>
        </w:rPr>
        <w:t xml:space="preserve">.1.1.2 </w:t>
      </w:r>
      <w:r w:rsidR="00B17A40" w:rsidRPr="00571249">
        <w:rPr>
          <w:rFonts w:cs="Arial"/>
          <w:szCs w:val="24"/>
        </w:rPr>
        <w:t>Segregación de funciones en Plantas de Minas y Paysandú</w:t>
      </w:r>
      <w:r w:rsidR="008E5C10" w:rsidRPr="00571249">
        <w:rPr>
          <w:rFonts w:cs="Arial"/>
          <w:szCs w:val="24"/>
        </w:rPr>
        <w:t xml:space="preserve">: </w:t>
      </w:r>
      <w:r w:rsidR="001E5B9D" w:rsidRPr="001D7C04">
        <w:rPr>
          <w:rFonts w:cs="Arial"/>
          <w:szCs w:val="24"/>
        </w:rPr>
        <w:t>Se redistribuyeron las tareas de ventas, cobranza, custodia de fondos, emisión de cheques y realización de pagos en las Plantas de Minas y Paysandú mejorando los sistemas de control interno.</w:t>
      </w:r>
    </w:p>
    <w:p w:rsidR="00B17A40" w:rsidRPr="00571249" w:rsidRDefault="00645295" w:rsidP="005A7331">
      <w:pPr>
        <w:keepNext/>
        <w:widowControl w:val="0"/>
        <w:spacing w:after="0" w:line="360" w:lineRule="auto"/>
        <w:ind w:left="284"/>
        <w:rPr>
          <w:rFonts w:cs="Arial"/>
          <w:szCs w:val="24"/>
        </w:rPr>
      </w:pPr>
      <w:r w:rsidRPr="00571249">
        <w:rPr>
          <w:rFonts w:cs="Arial"/>
          <w:szCs w:val="24"/>
        </w:rPr>
        <w:t>4</w:t>
      </w:r>
      <w:r w:rsidR="001D281A" w:rsidRPr="00571249">
        <w:rPr>
          <w:rFonts w:cs="Arial"/>
          <w:szCs w:val="24"/>
        </w:rPr>
        <w:t xml:space="preserve">.1.1.3 </w:t>
      </w:r>
      <w:r w:rsidR="008361C2" w:rsidRPr="00571249">
        <w:rPr>
          <w:rFonts w:cs="Arial"/>
          <w:szCs w:val="24"/>
        </w:rPr>
        <w:t>Revelaciones exigidas</w:t>
      </w:r>
      <w:r w:rsidR="001C0E77" w:rsidRPr="00571249">
        <w:rPr>
          <w:rFonts w:cs="Arial"/>
          <w:szCs w:val="24"/>
        </w:rPr>
        <w:t xml:space="preserve"> por la</w:t>
      </w:r>
      <w:r w:rsidR="008361C2" w:rsidRPr="00571249">
        <w:rPr>
          <w:rFonts w:cs="Arial"/>
          <w:szCs w:val="24"/>
        </w:rPr>
        <w:t xml:space="preserve"> NIC 37:</w:t>
      </w:r>
      <w:r w:rsidR="008E5C10" w:rsidRPr="00571249">
        <w:rPr>
          <w:rFonts w:cs="Arial"/>
          <w:szCs w:val="24"/>
        </w:rPr>
        <w:t xml:space="preserve"> </w:t>
      </w:r>
      <w:r w:rsidR="008361C2" w:rsidRPr="00571249">
        <w:rPr>
          <w:rFonts w:cs="Arial"/>
          <w:szCs w:val="24"/>
        </w:rPr>
        <w:t xml:space="preserve">Se incluyó información en Notas a los estados financieros individuales y consolidados al 31/12/2015, revelando que </w:t>
      </w:r>
      <w:r w:rsidR="001E5B9D" w:rsidRPr="00571249">
        <w:rPr>
          <w:rFonts w:cs="Arial"/>
          <w:szCs w:val="24"/>
        </w:rPr>
        <w:t xml:space="preserve">“Si bien ab initio existen procesos respecto de los cuales no se vislumbra un resultado desfavorable, durante el devenir del mismo </w:t>
      </w:r>
      <w:r w:rsidR="001E5B9D" w:rsidRPr="00934C16">
        <w:rPr>
          <w:rFonts w:cs="Arial"/>
          <w:szCs w:val="24"/>
        </w:rPr>
        <w:t>pueden identificarse elementos de convicción suficientes para determinar un resultado eventualmente desfavorable”.</w:t>
      </w:r>
    </w:p>
    <w:p w:rsidR="00C47CD1" w:rsidRPr="00571249" w:rsidRDefault="00645295" w:rsidP="005A7331">
      <w:pPr>
        <w:pStyle w:val="Textoindependiente2"/>
        <w:keepNext/>
        <w:widowControl w:val="0"/>
        <w:spacing w:line="240" w:lineRule="auto"/>
        <w:rPr>
          <w:rFonts w:cs="Arial"/>
          <w:b/>
          <w:szCs w:val="24"/>
        </w:rPr>
      </w:pPr>
      <w:r w:rsidRPr="00571249">
        <w:rPr>
          <w:rFonts w:cs="Arial"/>
          <w:b/>
          <w:szCs w:val="24"/>
        </w:rPr>
        <w:t>4</w:t>
      </w:r>
      <w:r w:rsidR="00C47CD1" w:rsidRPr="00571249">
        <w:rPr>
          <w:rFonts w:cs="Arial"/>
          <w:b/>
          <w:szCs w:val="24"/>
        </w:rPr>
        <w:t>.1.2) No Cumplidas</w:t>
      </w:r>
    </w:p>
    <w:p w:rsidR="00C47CD1" w:rsidRPr="00571249" w:rsidRDefault="00C47CD1" w:rsidP="005A7331">
      <w:pPr>
        <w:pStyle w:val="Textoindependiente2"/>
        <w:keepNext/>
        <w:widowControl w:val="0"/>
        <w:spacing w:after="0" w:line="360" w:lineRule="auto"/>
        <w:rPr>
          <w:rFonts w:cs="Arial"/>
          <w:szCs w:val="24"/>
        </w:rPr>
      </w:pPr>
      <w:r w:rsidRPr="00571249">
        <w:rPr>
          <w:rFonts w:cs="Arial"/>
          <w:szCs w:val="24"/>
        </w:rPr>
        <w:t>ANCAP no ha implementado medidas correctivas respecto a los siguientes aspectos:</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.1.2.1 </w:t>
      </w:r>
      <w:r w:rsidR="00C47CD1" w:rsidRPr="001D7C04">
        <w:rPr>
          <w:rFonts w:cs="Arial"/>
          <w:sz w:val="24"/>
          <w:szCs w:val="24"/>
        </w:rPr>
        <w:t>No se dio cumplimiento con lo dispuesto por el Artículo 146 del TOCAF con relación a la comunicación de los sumarios finalizados.</w:t>
      </w:r>
    </w:p>
    <w:p w:rsidR="00C47CD1"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.1.2.2 </w:t>
      </w:r>
      <w:r w:rsidR="00C47CD1" w:rsidRPr="001D7C04">
        <w:rPr>
          <w:rFonts w:cs="Arial"/>
          <w:sz w:val="24"/>
          <w:szCs w:val="24"/>
        </w:rPr>
        <w:t>No se implementaron procedimientos de registro y custodia de los saldos de materiales de acuerdo a lo recomendado en el informe de Auditoría Interna Nº49/11 respecto al depósito de materiales de la Planta La Teja, con relación al espacio físico destinado a almacenar transitoriamente las compras en plaza que realizan las diferentes áreas, de acuerdo con los requerimientos de Mantenimiento e Ingeniería para llevar a cabo las Órdenes de Trabajo.</w:t>
      </w:r>
    </w:p>
    <w:p w:rsidR="001357CD" w:rsidRDefault="001357CD" w:rsidP="005A7331">
      <w:pPr>
        <w:pStyle w:val="Sangra3detindependiente"/>
        <w:keepNext/>
        <w:widowControl w:val="0"/>
        <w:tabs>
          <w:tab w:val="left" w:pos="900"/>
        </w:tabs>
        <w:spacing w:after="0" w:line="360" w:lineRule="auto"/>
        <w:ind w:left="0"/>
        <w:rPr>
          <w:rFonts w:cs="Arial"/>
          <w:sz w:val="24"/>
          <w:szCs w:val="24"/>
        </w:rPr>
      </w:pPr>
    </w:p>
    <w:p w:rsidR="001357CD" w:rsidRDefault="001357CD" w:rsidP="005A7331">
      <w:pPr>
        <w:pStyle w:val="Sangra3detindependiente"/>
        <w:keepNext/>
        <w:widowControl w:val="0"/>
        <w:tabs>
          <w:tab w:val="left" w:pos="900"/>
        </w:tabs>
        <w:spacing w:after="0" w:line="360" w:lineRule="auto"/>
        <w:ind w:left="0"/>
        <w:rPr>
          <w:rFonts w:cs="Arial"/>
          <w:sz w:val="24"/>
          <w:szCs w:val="24"/>
        </w:rPr>
      </w:pPr>
    </w:p>
    <w:p w:rsidR="00C47CD1" w:rsidRPr="00934C16" w:rsidRDefault="00645295" w:rsidP="005A7331">
      <w:pPr>
        <w:pStyle w:val="Sangra3detindependiente"/>
        <w:keepNext/>
        <w:widowControl w:val="0"/>
        <w:tabs>
          <w:tab w:val="left" w:pos="900"/>
        </w:tabs>
        <w:spacing w:after="0" w:line="360" w:lineRule="auto"/>
        <w:ind w:left="0"/>
        <w:rPr>
          <w:rFonts w:cs="Arial"/>
          <w:sz w:val="24"/>
          <w:szCs w:val="24"/>
        </w:rPr>
      </w:pPr>
      <w:r w:rsidRPr="00934C16">
        <w:rPr>
          <w:rFonts w:cs="Arial"/>
          <w:sz w:val="24"/>
          <w:szCs w:val="24"/>
        </w:rPr>
        <w:t>4</w:t>
      </w:r>
      <w:r w:rsidR="001D281A" w:rsidRPr="00934C16">
        <w:rPr>
          <w:rFonts w:cs="Arial"/>
          <w:sz w:val="24"/>
          <w:szCs w:val="24"/>
        </w:rPr>
        <w:t xml:space="preserve">.1.2.3 </w:t>
      </w:r>
      <w:r w:rsidR="00C47CD1" w:rsidRPr="00934C16">
        <w:rPr>
          <w:rFonts w:cs="Arial"/>
          <w:sz w:val="24"/>
          <w:szCs w:val="24"/>
        </w:rPr>
        <w:t>El sector contable no procedió a reclasificar en sus registros contables y  a verificar la valuación de la información de los inmuebles y muebles cedidos en comodato.</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.1.2.4 </w:t>
      </w:r>
      <w:r w:rsidR="00C47CD1" w:rsidRPr="001D7C04">
        <w:rPr>
          <w:rFonts w:cs="Arial"/>
          <w:sz w:val="24"/>
          <w:szCs w:val="24"/>
        </w:rPr>
        <w:t>No se modificó la Norma General sobre Movimientos de Activo Fijo, por la cual las bajas en el  sistema SAP y en el módulo de Activo Fijo, permanecen a cargo de los responsables de la custodia de los bienes, sin mediar la verificación de funcionarios de otros sectores, como por ejemplo el Encargado del Depósito de Bienes en Desuso, lo que constituye una debilidad de control interno.</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.1.2.5 </w:t>
      </w:r>
      <w:r w:rsidR="00C47CD1" w:rsidRPr="001D7C04">
        <w:rPr>
          <w:rFonts w:cs="Arial"/>
          <w:sz w:val="24"/>
          <w:szCs w:val="24"/>
        </w:rPr>
        <w:t>A la fecha de este informe, en las Plantas de Carrasco y Laguna del Sauce permanece la situación de falta de oposición de intereses en cuanto al despacho de combustible, documentación de la venta  y su cobranza, tareas que realiza un mismo funcionario.</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.1.2.6 </w:t>
      </w:r>
      <w:r w:rsidR="00C47CD1" w:rsidRPr="001D7C04">
        <w:rPr>
          <w:rFonts w:cs="Arial"/>
          <w:sz w:val="24"/>
          <w:szCs w:val="24"/>
        </w:rPr>
        <w:t>Se mantiene la falta de información respecto a Otros Ingresos</w:t>
      </w:r>
      <w:r w:rsidR="002E32FF" w:rsidRPr="001D7C04">
        <w:rPr>
          <w:rFonts w:cs="Arial"/>
          <w:sz w:val="24"/>
          <w:szCs w:val="24"/>
        </w:rPr>
        <w:t>,</w:t>
      </w:r>
      <w:r w:rsidR="00C47CD1" w:rsidRPr="001D7C04">
        <w:rPr>
          <w:rFonts w:cs="Arial"/>
          <w:sz w:val="24"/>
          <w:szCs w:val="24"/>
        </w:rPr>
        <w:t xml:space="preserve"> la Nota  a los estados financieros Nº 8 incluye un detalle que mantiene el ítem “Otros” con un peso porcentual </w:t>
      </w:r>
      <w:r w:rsidR="00B17A40" w:rsidRPr="001D7C04">
        <w:rPr>
          <w:rFonts w:cs="Arial"/>
          <w:sz w:val="24"/>
          <w:szCs w:val="24"/>
        </w:rPr>
        <w:t>del 45</w:t>
      </w:r>
      <w:r w:rsidR="00C47CD1" w:rsidRPr="001D7C04">
        <w:rPr>
          <w:rFonts w:cs="Arial"/>
          <w:sz w:val="24"/>
          <w:szCs w:val="24"/>
        </w:rPr>
        <w:t>% del total.</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.1.2.7 </w:t>
      </w:r>
      <w:r w:rsidR="00C47CD1" w:rsidRPr="001D7C04">
        <w:rPr>
          <w:rFonts w:cs="Arial"/>
          <w:sz w:val="24"/>
          <w:szCs w:val="24"/>
        </w:rPr>
        <w:t>El Sector de Cuentas Corrientes no cuenta con manuales de procedimientos que definan las responsabilidades y los procedimientos concernientes al Sector y sus funcionarios.</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.1.2.8 </w:t>
      </w:r>
      <w:r w:rsidR="00C47CD1" w:rsidRPr="001D7C04">
        <w:rPr>
          <w:rFonts w:cs="Arial"/>
          <w:sz w:val="24"/>
          <w:szCs w:val="24"/>
        </w:rPr>
        <w:t xml:space="preserve">Los porcentajes de respuesta a las </w:t>
      </w:r>
      <w:proofErr w:type="spellStart"/>
      <w:r w:rsidR="00C47CD1" w:rsidRPr="001D7C04">
        <w:rPr>
          <w:rFonts w:cs="Arial"/>
          <w:sz w:val="24"/>
          <w:szCs w:val="24"/>
        </w:rPr>
        <w:t>circularizaciones</w:t>
      </w:r>
      <w:proofErr w:type="spellEnd"/>
      <w:r w:rsidR="00C47CD1" w:rsidRPr="001D7C04">
        <w:rPr>
          <w:rFonts w:cs="Arial"/>
          <w:sz w:val="24"/>
          <w:szCs w:val="24"/>
        </w:rPr>
        <w:t xml:space="preserve"> realizadas en el ejercicio son bajos, no obstante</w:t>
      </w:r>
      <w:r w:rsidR="00B17A40" w:rsidRPr="001D7C04">
        <w:rPr>
          <w:rFonts w:cs="Arial"/>
          <w:sz w:val="24"/>
          <w:szCs w:val="24"/>
        </w:rPr>
        <w:t xml:space="preserve"> el Sector Cuentas Corrientes</w:t>
      </w:r>
      <w:r w:rsidR="00C47CD1" w:rsidRPr="001D7C04">
        <w:rPr>
          <w:rFonts w:cs="Arial"/>
          <w:sz w:val="24"/>
          <w:szCs w:val="24"/>
        </w:rPr>
        <w:t xml:space="preserve"> no realiza </w:t>
      </w:r>
      <w:r w:rsidR="00B17A40" w:rsidRPr="001D7C04">
        <w:rPr>
          <w:rFonts w:cs="Arial"/>
          <w:sz w:val="24"/>
          <w:szCs w:val="24"/>
        </w:rPr>
        <w:t>periódicamente procedimientos de análisis de saldos de deudores y acreedores.</w:t>
      </w:r>
    </w:p>
    <w:p w:rsidR="00C47CD1" w:rsidRDefault="001357CD" w:rsidP="005A7331">
      <w:pPr>
        <w:pStyle w:val="Sangra3detindependiente"/>
        <w:keepNext/>
        <w:widowControl w:val="0"/>
        <w:tabs>
          <w:tab w:val="left" w:pos="900"/>
        </w:tabs>
        <w:spacing w:after="0" w:line="360" w:lineRule="auto"/>
        <w:ind w:left="0"/>
        <w:rPr>
          <w:rFonts w:cs="Arial"/>
          <w:sz w:val="24"/>
          <w:szCs w:val="24"/>
        </w:rPr>
      </w:pPr>
      <w:r>
        <w:rPr>
          <w:rFonts w:cs="Arial"/>
          <w:sz w:val="24"/>
          <w:szCs w:val="24"/>
        </w:rPr>
        <w:t>4</w:t>
      </w:r>
      <w:r w:rsidR="001D281A" w:rsidRPr="001D7C04">
        <w:rPr>
          <w:rFonts w:cs="Arial"/>
          <w:sz w:val="24"/>
          <w:szCs w:val="24"/>
        </w:rPr>
        <w:t xml:space="preserve">.1.2.9 </w:t>
      </w:r>
      <w:r w:rsidR="002E32FF" w:rsidRPr="001D7C04">
        <w:rPr>
          <w:rFonts w:cs="Arial"/>
          <w:sz w:val="24"/>
          <w:szCs w:val="24"/>
        </w:rPr>
        <w:t>E</w:t>
      </w:r>
      <w:r w:rsidR="00C47CD1" w:rsidRPr="001D7C04">
        <w:rPr>
          <w:rFonts w:cs="Arial"/>
          <w:sz w:val="24"/>
          <w:szCs w:val="24"/>
        </w:rPr>
        <w:t xml:space="preserve">l Departamento de Control de Procedimientos y Operaciones </w:t>
      </w:r>
      <w:r w:rsidR="002E32FF" w:rsidRPr="001D7C04">
        <w:rPr>
          <w:rFonts w:cs="Arial"/>
          <w:sz w:val="24"/>
          <w:szCs w:val="24"/>
        </w:rPr>
        <w:t>ni</w:t>
      </w:r>
      <w:r w:rsidR="00C47CD1" w:rsidRPr="001D7C04">
        <w:rPr>
          <w:rFonts w:cs="Arial"/>
          <w:sz w:val="24"/>
          <w:szCs w:val="24"/>
        </w:rPr>
        <w:t xml:space="preserve"> la Gerencia de Comercialización realizan procedimientos tendientes a evitar las </w:t>
      </w:r>
      <w:r w:rsidR="002E32FF" w:rsidRPr="001D7C04">
        <w:rPr>
          <w:rFonts w:cs="Arial"/>
          <w:sz w:val="24"/>
          <w:szCs w:val="24"/>
        </w:rPr>
        <w:t>responsabilidades determinadas por</w:t>
      </w:r>
      <w:r w:rsidR="00C47CD1" w:rsidRPr="001D7C04">
        <w:rPr>
          <w:rFonts w:cs="Arial"/>
          <w:sz w:val="24"/>
          <w:szCs w:val="24"/>
        </w:rPr>
        <w:t xml:space="preserve"> </w:t>
      </w:r>
      <w:r w:rsidR="002E32FF" w:rsidRPr="001D7C04">
        <w:rPr>
          <w:rFonts w:cs="Arial"/>
          <w:sz w:val="24"/>
          <w:szCs w:val="24"/>
        </w:rPr>
        <w:t>el Artículo 1º de la Ley Nº 18.099 y el Artículo 4º de la ley Nº18.251</w:t>
      </w:r>
      <w:r w:rsidR="00C47CD1" w:rsidRPr="001D7C04">
        <w:rPr>
          <w:rFonts w:cs="Arial"/>
          <w:sz w:val="24"/>
          <w:szCs w:val="24"/>
        </w:rPr>
        <w:t>, como por ejemplo recabar la información sobre el cumplimiento de las obligaciones laborales y de seguridad social.</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.1.2.10 </w:t>
      </w:r>
      <w:r w:rsidR="00C47CD1" w:rsidRPr="001D7C04">
        <w:rPr>
          <w:rFonts w:cs="Arial"/>
          <w:sz w:val="24"/>
          <w:szCs w:val="24"/>
        </w:rPr>
        <w:t>El Ente no cuenta con un manual de procedimientos que determine las responsabilidades de cada sector en la contratación y renovación de préstamos, su registro, la custodia de su documentación, los cálculos correspondientes, ni los controles de saldos contables.</w:t>
      </w:r>
    </w:p>
    <w:p w:rsidR="00C47CD1" w:rsidRPr="001D7C04" w:rsidRDefault="00645295" w:rsidP="005A7331">
      <w:pPr>
        <w:pStyle w:val="Sangra3detindependiente"/>
        <w:keepNext/>
        <w:widowControl w:val="0"/>
        <w:tabs>
          <w:tab w:val="left" w:pos="900"/>
        </w:tabs>
        <w:spacing w:after="0" w:line="360" w:lineRule="auto"/>
        <w:ind w:left="0"/>
        <w:rPr>
          <w:rFonts w:cs="Arial"/>
          <w:sz w:val="24"/>
          <w:szCs w:val="24"/>
        </w:rPr>
      </w:pPr>
      <w:r w:rsidRPr="001D7C04">
        <w:rPr>
          <w:rFonts w:cs="Arial"/>
          <w:sz w:val="24"/>
          <w:szCs w:val="24"/>
        </w:rPr>
        <w:t>4.</w:t>
      </w:r>
      <w:r w:rsidR="001D281A" w:rsidRPr="001D7C04">
        <w:rPr>
          <w:rFonts w:cs="Arial"/>
          <w:sz w:val="24"/>
          <w:szCs w:val="24"/>
        </w:rPr>
        <w:t xml:space="preserve">1.2.11 </w:t>
      </w:r>
      <w:r w:rsidR="00C47CD1" w:rsidRPr="001D7C04">
        <w:rPr>
          <w:rFonts w:cs="Arial"/>
          <w:sz w:val="24"/>
          <w:szCs w:val="24"/>
        </w:rPr>
        <w:t xml:space="preserve">Se mantienen </w:t>
      </w:r>
      <w:r w:rsidR="008E5C10" w:rsidRPr="001D7C04">
        <w:rPr>
          <w:rFonts w:cs="Arial"/>
          <w:sz w:val="24"/>
          <w:szCs w:val="24"/>
        </w:rPr>
        <w:t xml:space="preserve">como Fondos en poder de Tesorería </w:t>
      </w:r>
      <w:r w:rsidR="00C47CD1" w:rsidRPr="001D7C04">
        <w:rPr>
          <w:rFonts w:cs="Arial"/>
          <w:sz w:val="24"/>
          <w:szCs w:val="24"/>
        </w:rPr>
        <w:t>disponibilidades en moneda nacional y extranjera ($ 1:131.196 y US$ 81.</w:t>
      </w:r>
      <w:r w:rsidR="008361C2" w:rsidRPr="001D7C04">
        <w:rPr>
          <w:rFonts w:cs="Arial"/>
          <w:sz w:val="24"/>
          <w:szCs w:val="24"/>
        </w:rPr>
        <w:t>237</w:t>
      </w:r>
      <w:r w:rsidR="008E5C10" w:rsidRPr="001D7C04">
        <w:rPr>
          <w:rFonts w:cs="Arial"/>
          <w:sz w:val="24"/>
          <w:szCs w:val="24"/>
        </w:rPr>
        <w:t>, equivalentes a $</w:t>
      </w:r>
      <w:r w:rsidR="008361C2" w:rsidRPr="001D7C04">
        <w:rPr>
          <w:rFonts w:cs="Arial"/>
          <w:sz w:val="24"/>
          <w:szCs w:val="24"/>
        </w:rPr>
        <w:t>2:432.886</w:t>
      </w:r>
      <w:r w:rsidR="00C47CD1" w:rsidRPr="001D7C04">
        <w:rPr>
          <w:rFonts w:cs="Arial"/>
          <w:sz w:val="24"/>
          <w:szCs w:val="24"/>
        </w:rPr>
        <w:t>) correspondientes a fondos que no cuentan con una resolución</w:t>
      </w:r>
      <w:r w:rsidR="008E5C10" w:rsidRPr="001D7C04">
        <w:rPr>
          <w:rFonts w:cs="Arial"/>
          <w:sz w:val="24"/>
          <w:szCs w:val="24"/>
        </w:rPr>
        <w:t>,</w:t>
      </w:r>
      <w:r w:rsidR="00C47CD1" w:rsidRPr="001D7C04">
        <w:rPr>
          <w:rFonts w:cs="Arial"/>
          <w:sz w:val="24"/>
          <w:szCs w:val="24"/>
        </w:rPr>
        <w:t xml:space="preserve"> de creación de acuerdo a lo previsto en el TOCAF en sus artículos 11 y 89.</w:t>
      </w:r>
    </w:p>
    <w:p w:rsidR="00C47CD1" w:rsidRPr="001D7C04" w:rsidRDefault="00645295" w:rsidP="005A7331">
      <w:pPr>
        <w:pStyle w:val="Sangra3detindependiente"/>
        <w:keepNext/>
        <w:widowControl w:val="0"/>
        <w:tabs>
          <w:tab w:val="left" w:pos="900"/>
        </w:tabs>
        <w:spacing w:after="0" w:line="360" w:lineRule="auto"/>
        <w:ind w:left="0"/>
        <w:rPr>
          <w:rFonts w:cs="Arial"/>
          <w:b/>
          <w:sz w:val="24"/>
          <w:szCs w:val="24"/>
        </w:rPr>
      </w:pPr>
      <w:r w:rsidRPr="001D7C04">
        <w:rPr>
          <w:rFonts w:cs="Arial"/>
          <w:b/>
          <w:sz w:val="24"/>
          <w:szCs w:val="24"/>
        </w:rPr>
        <w:t>4</w:t>
      </w:r>
      <w:r w:rsidR="00C47CD1" w:rsidRPr="001D7C04">
        <w:rPr>
          <w:rFonts w:cs="Arial"/>
          <w:b/>
          <w:sz w:val="24"/>
          <w:szCs w:val="24"/>
        </w:rPr>
        <w:t>.2) Recomendaciones del ejercicio</w:t>
      </w:r>
    </w:p>
    <w:p w:rsidR="00C47CD1" w:rsidRPr="00571249" w:rsidRDefault="00C47CD1" w:rsidP="005A7331">
      <w:pPr>
        <w:keepNext/>
        <w:widowControl w:val="0"/>
        <w:tabs>
          <w:tab w:val="left" w:pos="426"/>
        </w:tabs>
        <w:spacing w:after="0" w:line="360" w:lineRule="auto"/>
        <w:rPr>
          <w:rFonts w:cs="Arial"/>
          <w:b/>
          <w:bCs/>
          <w:szCs w:val="24"/>
        </w:rPr>
      </w:pPr>
      <w:r w:rsidRPr="00571249">
        <w:rPr>
          <w:rFonts w:cs="Arial"/>
          <w:szCs w:val="24"/>
        </w:rPr>
        <w:t>Se reiteran las recomendaciones no cumplidas de ejercicios anteriores y se efectúan las siguientes:</w:t>
      </w:r>
    </w:p>
    <w:p w:rsidR="003866DE" w:rsidRPr="00571249" w:rsidRDefault="00645295" w:rsidP="005A7331">
      <w:pPr>
        <w:keepNext/>
        <w:widowControl w:val="0"/>
        <w:spacing w:after="0" w:line="360" w:lineRule="auto"/>
        <w:rPr>
          <w:rFonts w:cs="Arial"/>
          <w:color w:val="000000"/>
          <w:szCs w:val="24"/>
          <w:shd w:val="clear" w:color="auto" w:fill="FFFFFF"/>
        </w:rPr>
      </w:pPr>
      <w:r w:rsidRPr="00571249">
        <w:rPr>
          <w:rFonts w:cs="Arial"/>
          <w:b/>
          <w:szCs w:val="24"/>
        </w:rPr>
        <w:t>4</w:t>
      </w:r>
      <w:r w:rsidR="008361C2" w:rsidRPr="00571249">
        <w:rPr>
          <w:rFonts w:cs="Arial"/>
          <w:b/>
          <w:szCs w:val="24"/>
        </w:rPr>
        <w:t xml:space="preserve">.2.1 </w:t>
      </w:r>
      <w:r w:rsidR="00D4269B" w:rsidRPr="00D4269B">
        <w:rPr>
          <w:rFonts w:cs="Arial"/>
          <w:szCs w:val="24"/>
          <w:lang w:val="es-ES_tradnl"/>
        </w:rPr>
        <w:t xml:space="preserve">Realizar las publicaciones de los estados financieros del ejercicio 2014 en dos periódicos de circulación nacional, </w:t>
      </w:r>
      <w:r w:rsidR="00D4269B">
        <w:rPr>
          <w:rFonts w:cs="Arial"/>
          <w:szCs w:val="24"/>
          <w:lang w:val="es-ES_tradnl"/>
        </w:rPr>
        <w:t xml:space="preserve">de acuerdo a lo dispuesto en el </w:t>
      </w:r>
      <w:r w:rsidR="00D4269B" w:rsidRPr="00D4269B">
        <w:rPr>
          <w:rFonts w:cs="Arial"/>
          <w:szCs w:val="24"/>
          <w:lang w:val="es-ES_tradnl"/>
        </w:rPr>
        <w:t>Artículo 191 de la Constitución de la República, Artículo 1° de la ley 17040 y</w:t>
      </w:r>
      <w:r w:rsidR="00D4269B">
        <w:rPr>
          <w:rFonts w:cs="Arial"/>
          <w:szCs w:val="24"/>
          <w:lang w:val="es-ES_tradnl"/>
        </w:rPr>
        <w:t xml:space="preserve"> el </w:t>
      </w:r>
      <w:r w:rsidR="00D4269B" w:rsidRPr="00D4269B">
        <w:rPr>
          <w:rFonts w:cs="Arial"/>
          <w:szCs w:val="24"/>
          <w:lang w:val="es-ES_tradnl"/>
        </w:rPr>
        <w:t>Numeral 30 de la Ordenanza 81 del tribunal de Cuentas</w:t>
      </w:r>
      <w:r w:rsidR="00D4269B" w:rsidRPr="00571249">
        <w:rPr>
          <w:rFonts w:cs="Arial"/>
          <w:szCs w:val="24"/>
          <w:lang w:val="es-ES_tradnl"/>
        </w:rPr>
        <w:t xml:space="preserve"> y las de los estados financieros del ejercicio 2015 previo dictamen del Tribunal de Cuentas.</w:t>
      </w:r>
    </w:p>
    <w:p w:rsidR="003866DE" w:rsidRPr="00571249" w:rsidRDefault="003866DE" w:rsidP="005A7331">
      <w:pPr>
        <w:keepNext/>
        <w:widowControl w:val="0"/>
        <w:spacing w:after="0" w:line="360" w:lineRule="auto"/>
        <w:rPr>
          <w:rFonts w:cs="Arial"/>
          <w:szCs w:val="24"/>
          <w:lang w:val="es-ES_tradnl"/>
        </w:rPr>
      </w:pPr>
      <w:r w:rsidRPr="00571249">
        <w:rPr>
          <w:rFonts w:cs="Arial"/>
          <w:b/>
          <w:szCs w:val="24"/>
          <w:lang w:val="es-ES_tradnl"/>
        </w:rPr>
        <w:t xml:space="preserve">4.2.2. </w:t>
      </w:r>
      <w:r w:rsidRPr="00571249">
        <w:rPr>
          <w:rFonts w:cs="Arial"/>
          <w:szCs w:val="24"/>
          <w:lang w:val="es-ES_tradnl"/>
        </w:rPr>
        <w:t>Obtener la</w:t>
      </w:r>
      <w:r w:rsidR="00757660">
        <w:rPr>
          <w:rFonts w:cs="Arial"/>
          <w:szCs w:val="24"/>
          <w:lang w:val="es-ES_tradnl"/>
        </w:rPr>
        <w:t>s</w:t>
      </w:r>
      <w:r w:rsidRPr="00571249">
        <w:rPr>
          <w:rFonts w:cs="Arial"/>
          <w:szCs w:val="24"/>
          <w:lang w:val="es-ES_tradnl"/>
        </w:rPr>
        <w:t xml:space="preserve"> autorizaci</w:t>
      </w:r>
      <w:r w:rsidR="00757660">
        <w:rPr>
          <w:rFonts w:cs="Arial"/>
          <w:szCs w:val="24"/>
          <w:lang w:val="es-ES_tradnl"/>
        </w:rPr>
        <w:t>ones</w:t>
      </w:r>
      <w:r w:rsidR="00D4269B">
        <w:rPr>
          <w:rFonts w:cs="Arial"/>
          <w:szCs w:val="24"/>
          <w:lang w:val="es-ES_tradnl"/>
        </w:rPr>
        <w:t xml:space="preserve"> </w:t>
      </w:r>
      <w:r w:rsidRPr="00571249">
        <w:rPr>
          <w:rFonts w:cs="Arial"/>
          <w:szCs w:val="24"/>
          <w:lang w:val="es-ES_tradnl"/>
        </w:rPr>
        <w:t>del Poder Ejecutivo previstas en el artículo 267 de la ley 18.834 a efect</w:t>
      </w:r>
      <w:r w:rsidR="007D2260">
        <w:rPr>
          <w:rFonts w:cs="Arial"/>
          <w:szCs w:val="24"/>
          <w:lang w:val="es-ES_tradnl"/>
        </w:rPr>
        <w:t>os de contratar financiamiento.</w:t>
      </w:r>
    </w:p>
    <w:p w:rsidR="00645295" w:rsidRPr="00571249" w:rsidRDefault="003866DE" w:rsidP="005A7331">
      <w:pPr>
        <w:keepNext/>
        <w:widowControl w:val="0"/>
        <w:spacing w:after="0" w:line="360" w:lineRule="auto"/>
        <w:rPr>
          <w:rFonts w:cs="Arial"/>
          <w:b/>
          <w:szCs w:val="24"/>
          <w:lang w:val="es-ES_tradnl"/>
        </w:rPr>
      </w:pPr>
      <w:r w:rsidRPr="00D4269B">
        <w:rPr>
          <w:rFonts w:cs="Arial"/>
          <w:b/>
          <w:szCs w:val="24"/>
          <w:lang w:val="es-ES_tradnl"/>
        </w:rPr>
        <w:t>4.2.3</w:t>
      </w:r>
      <w:r w:rsidRPr="00D4269B">
        <w:rPr>
          <w:rFonts w:cs="Arial"/>
          <w:szCs w:val="24"/>
          <w:lang w:val="es-ES_tradnl"/>
        </w:rPr>
        <w:t xml:space="preserve"> </w:t>
      </w:r>
      <w:r w:rsidR="00D4269B" w:rsidRPr="00571249">
        <w:rPr>
          <w:rFonts w:cs="Arial"/>
          <w:szCs w:val="24"/>
        </w:rPr>
        <w:t xml:space="preserve">Dar cumplimiento a lo previsto en Artículo 7 de la Ley 17.292 con relación a </w:t>
      </w:r>
      <w:r w:rsidR="00D4269B" w:rsidRPr="001D7C04">
        <w:rPr>
          <w:rFonts w:cs="Arial"/>
          <w:szCs w:val="24"/>
        </w:rPr>
        <w:t xml:space="preserve">la remisión al Poder Ejecutivo de </w:t>
      </w:r>
      <w:r w:rsidR="00D4269B" w:rsidRPr="00571249">
        <w:rPr>
          <w:rFonts w:cs="Arial"/>
          <w:szCs w:val="24"/>
        </w:rPr>
        <w:t xml:space="preserve">los informes anuales </w:t>
      </w:r>
      <w:r w:rsidR="00D4269B" w:rsidRPr="001D7C04">
        <w:rPr>
          <w:rFonts w:cs="Arial"/>
          <w:szCs w:val="24"/>
        </w:rPr>
        <w:t>relacionados con</w:t>
      </w:r>
      <w:r w:rsidR="00D4269B" w:rsidRPr="00571249">
        <w:rPr>
          <w:rFonts w:cs="Arial"/>
          <w:szCs w:val="24"/>
        </w:rPr>
        <w:t xml:space="preserve"> la gestión de</w:t>
      </w:r>
      <w:r w:rsidR="00D4269B" w:rsidRPr="001D7C04">
        <w:rPr>
          <w:rFonts w:cs="Arial"/>
          <w:szCs w:val="24"/>
        </w:rPr>
        <w:t xml:space="preserve"> todos</w:t>
      </w:r>
      <w:r w:rsidR="00D4269B" w:rsidRPr="00571249">
        <w:rPr>
          <w:rFonts w:cs="Arial"/>
          <w:szCs w:val="24"/>
        </w:rPr>
        <w:t xml:space="preserve"> los </w:t>
      </w:r>
      <w:r w:rsidR="00D4269B" w:rsidRPr="00571249">
        <w:rPr>
          <w:rFonts w:cs="Arial"/>
          <w:color w:val="000000"/>
          <w:szCs w:val="24"/>
          <w:shd w:val="clear" w:color="auto" w:fill="FFFFFF"/>
        </w:rPr>
        <w:t xml:space="preserve">emprendimientos o asociaciones </w:t>
      </w:r>
      <w:r w:rsidR="00D4269B" w:rsidRPr="001D7C04">
        <w:rPr>
          <w:rFonts w:cs="Arial"/>
          <w:color w:val="000000"/>
          <w:szCs w:val="24"/>
          <w:shd w:val="clear" w:color="auto" w:fill="FFFFFF"/>
        </w:rPr>
        <w:t>que mantiene ANCAP “</w:t>
      </w:r>
      <w:r w:rsidR="00D4269B" w:rsidRPr="00571249">
        <w:rPr>
          <w:rFonts w:cs="Arial"/>
          <w:color w:val="000000"/>
          <w:szCs w:val="24"/>
          <w:shd w:val="clear" w:color="auto" w:fill="FFFFFF"/>
        </w:rPr>
        <w:t>con entidades públicas o privadas, nacionales o extranjeras”.</w:t>
      </w:r>
    </w:p>
    <w:p w:rsidR="007D60F8" w:rsidRPr="00571249" w:rsidRDefault="003866DE" w:rsidP="005A7331">
      <w:pPr>
        <w:keepNext/>
        <w:widowControl w:val="0"/>
        <w:spacing w:after="0" w:line="360" w:lineRule="auto"/>
        <w:rPr>
          <w:rFonts w:cs="Arial"/>
          <w:szCs w:val="24"/>
        </w:rPr>
      </w:pPr>
      <w:r w:rsidRPr="00571249">
        <w:rPr>
          <w:rFonts w:cs="Arial"/>
          <w:b/>
          <w:szCs w:val="24"/>
        </w:rPr>
        <w:t>4.2.4</w:t>
      </w:r>
      <w:r w:rsidRPr="00571249">
        <w:rPr>
          <w:rFonts w:cs="Arial"/>
          <w:szCs w:val="24"/>
        </w:rPr>
        <w:t xml:space="preserve"> </w:t>
      </w:r>
      <w:r w:rsidR="008361C2" w:rsidRPr="00571249">
        <w:rPr>
          <w:rFonts w:cs="Arial"/>
          <w:szCs w:val="24"/>
        </w:rPr>
        <w:t xml:space="preserve">Revelar en Notas de los Estados </w:t>
      </w:r>
      <w:r w:rsidR="001C0E77" w:rsidRPr="00571249">
        <w:rPr>
          <w:rFonts w:cs="Arial"/>
          <w:szCs w:val="24"/>
        </w:rPr>
        <w:t xml:space="preserve">Financieros Consolidados e Individuales </w:t>
      </w:r>
      <w:r w:rsidR="008361C2" w:rsidRPr="00571249">
        <w:rPr>
          <w:rFonts w:cs="Arial"/>
          <w:szCs w:val="24"/>
        </w:rPr>
        <w:t>de ANCAP todos los análisis de deterioro</w:t>
      </w:r>
      <w:r w:rsidR="001C0E77" w:rsidRPr="00571249">
        <w:rPr>
          <w:rFonts w:cs="Arial"/>
          <w:szCs w:val="24"/>
        </w:rPr>
        <w:t xml:space="preserve"> de activos</w:t>
      </w:r>
      <w:r w:rsidR="0059127B" w:rsidRPr="00571249">
        <w:rPr>
          <w:rFonts w:cs="Arial"/>
          <w:szCs w:val="24"/>
        </w:rPr>
        <w:t xml:space="preserve">, tanto aquellos </w:t>
      </w:r>
      <w:r w:rsidR="008361C2" w:rsidRPr="00571249">
        <w:rPr>
          <w:rFonts w:cs="Arial"/>
          <w:szCs w:val="24"/>
        </w:rPr>
        <w:t>que dan lugar a ajustes por deterioro</w:t>
      </w:r>
      <w:r w:rsidR="001C0E77" w:rsidRPr="00571249">
        <w:rPr>
          <w:rFonts w:cs="Arial"/>
          <w:szCs w:val="24"/>
        </w:rPr>
        <w:t>,</w:t>
      </w:r>
      <w:r w:rsidR="008361C2" w:rsidRPr="00571249">
        <w:rPr>
          <w:rFonts w:cs="Arial"/>
          <w:szCs w:val="24"/>
        </w:rPr>
        <w:t xml:space="preserve">  </w:t>
      </w:r>
      <w:r w:rsidR="0059127B" w:rsidRPr="00571249">
        <w:rPr>
          <w:rFonts w:cs="Arial"/>
          <w:szCs w:val="24"/>
        </w:rPr>
        <w:t xml:space="preserve">así como aquellos </w:t>
      </w:r>
      <w:r w:rsidR="007D60F8" w:rsidRPr="00571249">
        <w:rPr>
          <w:rFonts w:cs="Arial"/>
          <w:szCs w:val="24"/>
        </w:rPr>
        <w:t>cuyas resultancias verifiquen que los valores en libros de sus activos se ajustan al valor recuperable.</w:t>
      </w:r>
    </w:p>
    <w:p w:rsidR="00C47CD1" w:rsidRPr="001D7C04" w:rsidRDefault="00645295" w:rsidP="005A7331">
      <w:pPr>
        <w:keepNext/>
        <w:widowControl w:val="0"/>
        <w:spacing w:after="0" w:line="360" w:lineRule="auto"/>
        <w:rPr>
          <w:rFonts w:cs="Arial"/>
          <w:szCs w:val="24"/>
        </w:rPr>
      </w:pPr>
      <w:r w:rsidRPr="00571249">
        <w:rPr>
          <w:rFonts w:cs="Arial"/>
          <w:b/>
          <w:szCs w:val="24"/>
        </w:rPr>
        <w:t>4</w:t>
      </w:r>
      <w:r w:rsidR="0059127B" w:rsidRPr="00571249">
        <w:rPr>
          <w:rFonts w:cs="Arial"/>
          <w:b/>
          <w:szCs w:val="24"/>
        </w:rPr>
        <w:t>.2.</w:t>
      </w:r>
      <w:r w:rsidR="003866DE" w:rsidRPr="00571249">
        <w:rPr>
          <w:rFonts w:cs="Arial"/>
          <w:b/>
          <w:szCs w:val="24"/>
        </w:rPr>
        <w:t>5</w:t>
      </w:r>
      <w:r w:rsidR="0059127B" w:rsidRPr="00571249">
        <w:rPr>
          <w:rFonts w:cs="Arial"/>
          <w:b/>
          <w:szCs w:val="24"/>
        </w:rPr>
        <w:t xml:space="preserve"> </w:t>
      </w:r>
      <w:r w:rsidR="0059127B" w:rsidRPr="00571249">
        <w:rPr>
          <w:rFonts w:cs="Arial"/>
          <w:szCs w:val="24"/>
        </w:rPr>
        <w:t xml:space="preserve">Revelar </w:t>
      </w:r>
      <w:r w:rsidR="00C47CD1" w:rsidRPr="001D7C04">
        <w:rPr>
          <w:rFonts w:cs="Arial"/>
          <w:szCs w:val="24"/>
        </w:rPr>
        <w:t xml:space="preserve">en las Notas a los Estados </w:t>
      </w:r>
      <w:r w:rsidR="007D60F8" w:rsidRPr="001D7C04">
        <w:rPr>
          <w:rFonts w:cs="Arial"/>
          <w:szCs w:val="24"/>
        </w:rPr>
        <w:t>Financieros</w:t>
      </w:r>
      <w:r w:rsidR="00C47CD1" w:rsidRPr="001D7C04">
        <w:rPr>
          <w:rFonts w:cs="Arial"/>
          <w:szCs w:val="24"/>
        </w:rPr>
        <w:t xml:space="preserve"> </w:t>
      </w:r>
      <w:r w:rsidR="0059127B" w:rsidRPr="001D7C04">
        <w:rPr>
          <w:rFonts w:cs="Arial"/>
          <w:szCs w:val="24"/>
        </w:rPr>
        <w:t>l</w:t>
      </w:r>
      <w:r w:rsidR="00C47CD1" w:rsidRPr="001D7C04">
        <w:rPr>
          <w:rFonts w:cs="Arial"/>
          <w:szCs w:val="24"/>
        </w:rPr>
        <w:t>a información</w:t>
      </w:r>
      <w:r w:rsidR="0059127B" w:rsidRPr="001D7C04">
        <w:rPr>
          <w:rFonts w:cs="Arial"/>
          <w:szCs w:val="24"/>
        </w:rPr>
        <w:t xml:space="preserve"> detallada de la totalidad de las garantías, fianzas y avales otorgados por el Ente, tanto en Uruguay como en otros países, incluyendo estudios de los riesgos cuando se trate de garantías de responsabilidad total, como es</w:t>
      </w:r>
      <w:r w:rsidR="002D7796" w:rsidRPr="001D7C04">
        <w:rPr>
          <w:rFonts w:cs="Arial"/>
          <w:szCs w:val="24"/>
        </w:rPr>
        <w:t xml:space="preserve"> el caso de las suscritas </w:t>
      </w:r>
      <w:r w:rsidR="0059127B" w:rsidRPr="001D7C04">
        <w:rPr>
          <w:rFonts w:cs="Arial"/>
          <w:szCs w:val="24"/>
        </w:rPr>
        <w:t xml:space="preserve">ante la Administración </w:t>
      </w:r>
      <w:r w:rsidR="007D60F8" w:rsidRPr="001D7C04">
        <w:rPr>
          <w:rFonts w:cs="Arial"/>
          <w:szCs w:val="24"/>
        </w:rPr>
        <w:t>P</w:t>
      </w:r>
      <w:r w:rsidR="0059127B" w:rsidRPr="001D7C04">
        <w:rPr>
          <w:rFonts w:cs="Arial"/>
          <w:szCs w:val="24"/>
        </w:rPr>
        <w:t>ública</w:t>
      </w:r>
      <w:r w:rsidR="007D60F8" w:rsidRPr="001D7C04">
        <w:rPr>
          <w:rFonts w:cs="Arial"/>
          <w:szCs w:val="24"/>
        </w:rPr>
        <w:t xml:space="preserve"> N</w:t>
      </w:r>
      <w:r w:rsidR="0059127B" w:rsidRPr="001D7C04">
        <w:rPr>
          <w:rFonts w:cs="Arial"/>
          <w:szCs w:val="24"/>
        </w:rPr>
        <w:t>acional de la República Argentina por</w:t>
      </w:r>
      <w:r w:rsidR="002D7796" w:rsidRPr="001D7C04">
        <w:rPr>
          <w:rFonts w:cs="Arial"/>
          <w:szCs w:val="24"/>
        </w:rPr>
        <w:t xml:space="preserve"> ANCAP a favor de </w:t>
      </w:r>
      <w:r w:rsidR="0059127B" w:rsidRPr="001D7C04">
        <w:rPr>
          <w:rFonts w:cs="Arial"/>
          <w:szCs w:val="24"/>
        </w:rPr>
        <w:t xml:space="preserve">la empresa </w:t>
      </w:r>
      <w:r w:rsidR="00895648">
        <w:rPr>
          <w:rFonts w:cs="Arial"/>
          <w:szCs w:val="24"/>
        </w:rPr>
        <w:t xml:space="preserve"> PETROURUGUAY SA</w:t>
      </w:r>
      <w:r w:rsidR="00632562" w:rsidRPr="001D7C04">
        <w:rPr>
          <w:rFonts w:cs="Arial"/>
          <w:szCs w:val="24"/>
        </w:rPr>
        <w:t>.</w:t>
      </w:r>
    </w:p>
    <w:p w:rsidR="00C47CD1" w:rsidRPr="00571249" w:rsidRDefault="00612889" w:rsidP="005A7331">
      <w:pPr>
        <w:keepNext/>
        <w:widowControl w:val="0"/>
        <w:spacing w:after="0" w:line="360" w:lineRule="auto"/>
        <w:rPr>
          <w:rFonts w:cs="Arial"/>
          <w:bCs/>
          <w:szCs w:val="24"/>
        </w:rPr>
      </w:pPr>
      <w:r w:rsidRPr="001D7C04">
        <w:rPr>
          <w:rFonts w:cs="Arial"/>
          <w:b/>
          <w:szCs w:val="24"/>
        </w:rPr>
        <w:t>4.2.6</w:t>
      </w:r>
      <w:r w:rsidR="00632562" w:rsidRPr="001D7C04">
        <w:rPr>
          <w:rFonts w:cs="Arial"/>
          <w:szCs w:val="24"/>
        </w:rPr>
        <w:t xml:space="preserve"> </w:t>
      </w:r>
      <w:r w:rsidR="00632562" w:rsidRPr="00571249">
        <w:rPr>
          <w:rFonts w:cs="Arial"/>
          <w:bCs/>
          <w:szCs w:val="24"/>
        </w:rPr>
        <w:t xml:space="preserve">Ajustar los procedimientos de facturación a UTE a efectos de no dilatar en el tiempo la documentación de diferencias con precios estimados y efectuar </w:t>
      </w:r>
      <w:r w:rsidR="007D60F8" w:rsidRPr="00571249">
        <w:rPr>
          <w:rFonts w:cs="Arial"/>
          <w:bCs/>
          <w:szCs w:val="24"/>
        </w:rPr>
        <w:t>su registro contable en el período correspondiente</w:t>
      </w:r>
      <w:r w:rsidR="00632562" w:rsidRPr="00571249">
        <w:rPr>
          <w:rFonts w:cs="Arial"/>
          <w:bCs/>
          <w:szCs w:val="24"/>
        </w:rPr>
        <w:t>.</w:t>
      </w:r>
    </w:p>
    <w:p w:rsidR="00C47CD1" w:rsidRPr="001D7C04" w:rsidRDefault="00612889" w:rsidP="005A7331">
      <w:pPr>
        <w:keepNext/>
        <w:widowControl w:val="0"/>
        <w:tabs>
          <w:tab w:val="left" w:pos="1134"/>
          <w:tab w:val="right" w:pos="5387"/>
          <w:tab w:val="right" w:pos="8222"/>
        </w:tabs>
        <w:spacing w:after="0" w:line="360" w:lineRule="auto"/>
        <w:rPr>
          <w:rFonts w:cs="Arial"/>
          <w:szCs w:val="24"/>
          <w:lang w:val="es-ES_tradnl"/>
        </w:rPr>
      </w:pPr>
      <w:r w:rsidRPr="00571249">
        <w:rPr>
          <w:rFonts w:cs="Arial"/>
          <w:b/>
          <w:bCs/>
          <w:szCs w:val="24"/>
        </w:rPr>
        <w:t>4.2.7</w:t>
      </w:r>
      <w:r w:rsidR="00452641" w:rsidRPr="00571249">
        <w:rPr>
          <w:rFonts w:cs="Arial"/>
          <w:b/>
          <w:bCs/>
          <w:szCs w:val="24"/>
        </w:rPr>
        <w:t xml:space="preserve"> </w:t>
      </w:r>
      <w:r w:rsidR="00452641" w:rsidRPr="00571249">
        <w:rPr>
          <w:rFonts w:cs="Arial"/>
          <w:bCs/>
          <w:szCs w:val="24"/>
        </w:rPr>
        <w:t>Realizar el análisis y ajuste de</w:t>
      </w:r>
      <w:r w:rsidR="002D7796" w:rsidRPr="00571249">
        <w:rPr>
          <w:rFonts w:cs="Arial"/>
          <w:bCs/>
          <w:szCs w:val="24"/>
        </w:rPr>
        <w:t xml:space="preserve"> </w:t>
      </w:r>
      <w:r w:rsidR="00452641" w:rsidRPr="00571249">
        <w:rPr>
          <w:rFonts w:cs="Arial"/>
          <w:bCs/>
          <w:szCs w:val="24"/>
        </w:rPr>
        <w:t>l</w:t>
      </w:r>
      <w:r w:rsidR="002D7796" w:rsidRPr="00571249">
        <w:rPr>
          <w:rFonts w:cs="Arial"/>
          <w:bCs/>
          <w:szCs w:val="24"/>
        </w:rPr>
        <w:t xml:space="preserve">os </w:t>
      </w:r>
      <w:r w:rsidR="00452641" w:rsidRPr="00571249">
        <w:rPr>
          <w:rFonts w:cs="Arial"/>
          <w:bCs/>
          <w:szCs w:val="24"/>
        </w:rPr>
        <w:t>rubro</w:t>
      </w:r>
      <w:r w:rsidR="002D7796" w:rsidRPr="00571249">
        <w:rPr>
          <w:rFonts w:cs="Arial"/>
          <w:bCs/>
          <w:szCs w:val="24"/>
        </w:rPr>
        <w:t>s</w:t>
      </w:r>
      <w:r w:rsidR="00452641" w:rsidRPr="00571249">
        <w:rPr>
          <w:rFonts w:cs="Arial"/>
          <w:bCs/>
          <w:szCs w:val="24"/>
        </w:rPr>
        <w:t xml:space="preserve"> </w:t>
      </w:r>
      <w:r w:rsidR="002D7796" w:rsidRPr="00571249">
        <w:rPr>
          <w:rFonts w:cs="Arial"/>
          <w:bCs/>
          <w:szCs w:val="24"/>
        </w:rPr>
        <w:t xml:space="preserve">de anticipos, en especial del rubro contable </w:t>
      </w:r>
      <w:r w:rsidR="00C47CD1" w:rsidRPr="001D7C04">
        <w:rPr>
          <w:rFonts w:cs="Arial"/>
          <w:szCs w:val="24"/>
          <w:lang w:val="es-ES_tradnl"/>
        </w:rPr>
        <w:t xml:space="preserve">132011100 </w:t>
      </w:r>
      <w:r w:rsidR="00452641" w:rsidRPr="001D7C04">
        <w:rPr>
          <w:rFonts w:cs="Arial"/>
          <w:szCs w:val="24"/>
          <w:lang w:val="es-ES_tradnl"/>
        </w:rPr>
        <w:t xml:space="preserve"> </w:t>
      </w:r>
      <w:r w:rsidR="00C47CD1" w:rsidRPr="001D7C04">
        <w:rPr>
          <w:rFonts w:cs="Arial"/>
          <w:szCs w:val="24"/>
          <w:lang w:val="es-ES_tradnl"/>
        </w:rPr>
        <w:t xml:space="preserve">“BPS-Obras” </w:t>
      </w:r>
      <w:r w:rsidR="00452641" w:rsidRPr="001D7C04">
        <w:rPr>
          <w:rFonts w:cs="Arial"/>
          <w:szCs w:val="24"/>
          <w:lang w:val="es-ES_tradnl"/>
        </w:rPr>
        <w:t xml:space="preserve">a efectos de corregir </w:t>
      </w:r>
      <w:r w:rsidR="007D60F8" w:rsidRPr="001D7C04">
        <w:rPr>
          <w:rFonts w:cs="Arial"/>
          <w:szCs w:val="24"/>
          <w:lang w:val="es-ES_tradnl"/>
        </w:rPr>
        <w:t>la composición del saldo de ANCAP.</w:t>
      </w:r>
    </w:p>
    <w:p w:rsidR="00C47CD1" w:rsidRPr="001D7C04" w:rsidRDefault="00612889" w:rsidP="005A7331">
      <w:pPr>
        <w:keepNext/>
        <w:widowControl w:val="0"/>
        <w:tabs>
          <w:tab w:val="left" w:pos="1134"/>
          <w:tab w:val="right" w:pos="5387"/>
          <w:tab w:val="right" w:pos="8222"/>
        </w:tabs>
        <w:spacing w:after="0" w:line="360" w:lineRule="auto"/>
        <w:rPr>
          <w:rFonts w:cs="Arial"/>
          <w:szCs w:val="24"/>
          <w:lang w:val="es-ES_tradnl"/>
        </w:rPr>
      </w:pPr>
      <w:r w:rsidRPr="00571249">
        <w:rPr>
          <w:rFonts w:cs="Arial"/>
          <w:b/>
          <w:bCs/>
          <w:szCs w:val="24"/>
          <w:lang w:val="es-ES_tradnl"/>
        </w:rPr>
        <w:t>4.2.8</w:t>
      </w:r>
      <w:r w:rsidR="007D60F8" w:rsidRPr="00571249">
        <w:rPr>
          <w:rFonts w:cs="Arial"/>
          <w:b/>
          <w:bCs/>
          <w:szCs w:val="24"/>
        </w:rPr>
        <w:t xml:space="preserve"> </w:t>
      </w:r>
      <w:r w:rsidR="007D60F8" w:rsidRPr="00571249">
        <w:rPr>
          <w:rFonts w:cs="Arial"/>
          <w:bCs/>
          <w:szCs w:val="24"/>
        </w:rPr>
        <w:t>Incluir</w:t>
      </w:r>
      <w:r w:rsidR="007D60F8" w:rsidRPr="001D7C04">
        <w:rPr>
          <w:rFonts w:cs="Arial"/>
          <w:szCs w:val="24"/>
          <w:lang w:val="es-ES_tradnl"/>
        </w:rPr>
        <w:t xml:space="preserve"> en</w:t>
      </w:r>
      <w:r w:rsidR="00C47CD1" w:rsidRPr="001D7C04">
        <w:rPr>
          <w:rFonts w:cs="Arial"/>
          <w:szCs w:val="24"/>
          <w:lang w:val="es-ES_tradnl"/>
        </w:rPr>
        <w:t xml:space="preserve">tre </w:t>
      </w:r>
      <w:r w:rsidR="007D60F8" w:rsidRPr="001D7C04">
        <w:rPr>
          <w:rFonts w:cs="Arial"/>
          <w:szCs w:val="24"/>
          <w:lang w:val="es-ES_tradnl"/>
        </w:rPr>
        <w:t xml:space="preserve">los </w:t>
      </w:r>
      <w:r w:rsidR="00C47CD1" w:rsidRPr="001D7C04">
        <w:rPr>
          <w:rFonts w:cs="Arial"/>
          <w:szCs w:val="24"/>
          <w:lang w:val="es-ES_tradnl"/>
        </w:rPr>
        <w:t>objetivos de gestión Integral de Riesgos los derivados de la suscripción de fianzas</w:t>
      </w:r>
      <w:r w:rsidR="002D7796" w:rsidRPr="001D7C04">
        <w:rPr>
          <w:rFonts w:cs="Arial"/>
          <w:szCs w:val="24"/>
          <w:lang w:val="es-ES_tradnl"/>
        </w:rPr>
        <w:t>, avales,</w:t>
      </w:r>
      <w:r w:rsidR="00C47CD1" w:rsidRPr="001D7C04">
        <w:rPr>
          <w:rFonts w:cs="Arial"/>
          <w:szCs w:val="24"/>
          <w:lang w:val="es-ES_tradnl"/>
        </w:rPr>
        <w:t xml:space="preserve"> garantías reales y otras genéricas.</w:t>
      </w:r>
    </w:p>
    <w:p w:rsidR="00F12070" w:rsidRPr="001D7C04" w:rsidRDefault="00612889" w:rsidP="005A7331">
      <w:pPr>
        <w:keepNext/>
        <w:widowControl w:val="0"/>
        <w:tabs>
          <w:tab w:val="left" w:pos="1134"/>
          <w:tab w:val="right" w:pos="5387"/>
          <w:tab w:val="right" w:pos="8222"/>
        </w:tabs>
        <w:spacing w:after="0" w:line="360" w:lineRule="auto"/>
        <w:rPr>
          <w:rFonts w:cs="Arial"/>
          <w:szCs w:val="24"/>
          <w:lang w:val="es-ES_tradnl"/>
        </w:rPr>
      </w:pPr>
      <w:r w:rsidRPr="001D7C04">
        <w:rPr>
          <w:rFonts w:cs="Arial"/>
          <w:b/>
          <w:szCs w:val="24"/>
          <w:lang w:val="es-ES_tradnl"/>
        </w:rPr>
        <w:t>4.2.9</w:t>
      </w:r>
      <w:r w:rsidR="00452641" w:rsidRPr="001D7C04">
        <w:rPr>
          <w:rFonts w:cs="Arial"/>
          <w:szCs w:val="24"/>
          <w:lang w:val="es-ES_tradnl"/>
        </w:rPr>
        <w:t xml:space="preserve"> Elaborar un </w:t>
      </w:r>
      <w:r w:rsidR="007D60F8" w:rsidRPr="001D7C04">
        <w:rPr>
          <w:rFonts w:cs="Arial"/>
          <w:szCs w:val="24"/>
          <w:lang w:val="es-ES_tradnl"/>
        </w:rPr>
        <w:t>m</w:t>
      </w:r>
      <w:r w:rsidR="00452641" w:rsidRPr="001D7C04">
        <w:rPr>
          <w:rFonts w:cs="Arial"/>
          <w:szCs w:val="24"/>
          <w:lang w:val="es-ES_tradnl"/>
        </w:rPr>
        <w:t xml:space="preserve">anual de </w:t>
      </w:r>
      <w:r w:rsidR="007D60F8" w:rsidRPr="001D7C04">
        <w:rPr>
          <w:rFonts w:cs="Arial"/>
          <w:szCs w:val="24"/>
          <w:lang w:val="es-ES_tradnl"/>
        </w:rPr>
        <w:t>p</w:t>
      </w:r>
      <w:r w:rsidR="00452641" w:rsidRPr="001D7C04">
        <w:rPr>
          <w:rFonts w:cs="Arial"/>
          <w:szCs w:val="24"/>
          <w:lang w:val="es-ES_tradnl"/>
        </w:rPr>
        <w:t xml:space="preserve">rocedimientos </w:t>
      </w:r>
      <w:r w:rsidR="00F12070" w:rsidRPr="001D7C04">
        <w:rPr>
          <w:rFonts w:cs="Arial"/>
          <w:szCs w:val="24"/>
          <w:lang w:val="es-ES_tradnl"/>
        </w:rPr>
        <w:t xml:space="preserve">para el Sector Riesgos </w:t>
      </w:r>
      <w:r w:rsidR="00452641" w:rsidRPr="001D7C04">
        <w:rPr>
          <w:rFonts w:cs="Arial"/>
          <w:szCs w:val="24"/>
          <w:lang w:val="es-ES_tradnl"/>
        </w:rPr>
        <w:t>que defina qué coberturas se deben contratar en forma centralizada para sus sociedades v</w:t>
      </w:r>
      <w:r w:rsidR="002D7796" w:rsidRPr="001D7C04">
        <w:rPr>
          <w:rFonts w:cs="Arial"/>
          <w:szCs w:val="24"/>
          <w:lang w:val="es-ES_tradnl"/>
        </w:rPr>
        <w:t>inculadas</w:t>
      </w:r>
      <w:r w:rsidR="007D60F8" w:rsidRPr="001D7C04">
        <w:rPr>
          <w:rFonts w:cs="Arial"/>
          <w:szCs w:val="24"/>
          <w:lang w:val="es-ES_tradnl"/>
        </w:rPr>
        <w:t>, e</w:t>
      </w:r>
      <w:r w:rsidR="002D7796" w:rsidRPr="001D7C04">
        <w:rPr>
          <w:rFonts w:cs="Arial"/>
          <w:szCs w:val="24"/>
          <w:lang w:val="es-ES_tradnl"/>
        </w:rPr>
        <w:t xml:space="preserve"> implementar en dicho Sector el</w:t>
      </w:r>
      <w:r w:rsidR="00452641" w:rsidRPr="001D7C04">
        <w:rPr>
          <w:rFonts w:cs="Arial"/>
          <w:szCs w:val="24"/>
          <w:lang w:val="es-ES_tradnl"/>
        </w:rPr>
        <w:t xml:space="preserve"> seguimiento integral de las políticas de riesgo o coberturas contratadas por las mismas.</w:t>
      </w:r>
    </w:p>
    <w:p w:rsidR="005C0F31" w:rsidRPr="001D7C04" w:rsidRDefault="00612889" w:rsidP="005A7331">
      <w:pPr>
        <w:keepNext/>
        <w:widowControl w:val="0"/>
        <w:tabs>
          <w:tab w:val="left" w:pos="1134"/>
          <w:tab w:val="right" w:pos="5387"/>
          <w:tab w:val="right" w:pos="8222"/>
        </w:tabs>
        <w:spacing w:after="0" w:line="360" w:lineRule="auto"/>
        <w:rPr>
          <w:rFonts w:cs="Arial"/>
          <w:szCs w:val="24"/>
          <w:lang w:val="es-CO"/>
        </w:rPr>
      </w:pPr>
      <w:r w:rsidRPr="001D7C04">
        <w:rPr>
          <w:rFonts w:cs="Arial"/>
          <w:b/>
          <w:szCs w:val="24"/>
          <w:lang w:val="es-ES_tradnl"/>
        </w:rPr>
        <w:t>4.2.10</w:t>
      </w:r>
      <w:r w:rsidR="00F12070" w:rsidRPr="001D7C04">
        <w:rPr>
          <w:rFonts w:cs="Arial"/>
          <w:szCs w:val="24"/>
          <w:lang w:val="es-ES_tradnl"/>
        </w:rPr>
        <w:t xml:space="preserve"> Aprobar </w:t>
      </w:r>
      <w:r w:rsidR="007D60F8" w:rsidRPr="001D7C04">
        <w:rPr>
          <w:rFonts w:cs="Arial"/>
          <w:szCs w:val="24"/>
          <w:lang w:val="es-ES_tradnl"/>
        </w:rPr>
        <w:t>m</w:t>
      </w:r>
      <w:r w:rsidR="00C47CD1" w:rsidRPr="001D7C04">
        <w:rPr>
          <w:rFonts w:cs="Arial"/>
          <w:szCs w:val="24"/>
          <w:lang w:val="es-CO"/>
        </w:rPr>
        <w:t xml:space="preserve">anuales de </w:t>
      </w:r>
      <w:r w:rsidR="007D60F8" w:rsidRPr="001D7C04">
        <w:rPr>
          <w:rFonts w:cs="Arial"/>
          <w:szCs w:val="24"/>
          <w:lang w:val="es-CO"/>
        </w:rPr>
        <w:t>p</w:t>
      </w:r>
      <w:r w:rsidR="00C47CD1" w:rsidRPr="001D7C04">
        <w:rPr>
          <w:rFonts w:cs="Arial"/>
          <w:szCs w:val="24"/>
          <w:lang w:val="es-CO"/>
        </w:rPr>
        <w:t xml:space="preserve">rocedimientos </w:t>
      </w:r>
      <w:r w:rsidR="003E3681">
        <w:rPr>
          <w:rFonts w:cs="Arial"/>
          <w:szCs w:val="24"/>
          <w:lang w:val="es-CO"/>
        </w:rPr>
        <w:t>para Auditorí</w:t>
      </w:r>
      <w:r w:rsidR="00F12070" w:rsidRPr="001D7C04">
        <w:rPr>
          <w:rFonts w:cs="Arial"/>
          <w:szCs w:val="24"/>
          <w:lang w:val="es-CO"/>
        </w:rPr>
        <w:t xml:space="preserve">a Interna </w:t>
      </w:r>
      <w:r w:rsidR="007D60F8" w:rsidRPr="001D7C04">
        <w:rPr>
          <w:rFonts w:cs="Arial"/>
          <w:szCs w:val="24"/>
          <w:lang w:val="es-CO"/>
        </w:rPr>
        <w:t xml:space="preserve">estableciendo </w:t>
      </w:r>
      <w:r w:rsidR="00C82F0B" w:rsidRPr="001D7C04">
        <w:rPr>
          <w:rFonts w:cs="Arial"/>
          <w:szCs w:val="24"/>
          <w:lang w:val="es-CO"/>
        </w:rPr>
        <w:t>la exigencia de</w:t>
      </w:r>
      <w:r w:rsidR="005C0F31" w:rsidRPr="001D7C04">
        <w:rPr>
          <w:rFonts w:cs="Arial"/>
          <w:szCs w:val="24"/>
          <w:lang w:val="es-CO"/>
        </w:rPr>
        <w:t>:</w:t>
      </w:r>
    </w:p>
    <w:p w:rsidR="00C47CD1" w:rsidRPr="001D7C04" w:rsidRDefault="005C0F31" w:rsidP="005A7331">
      <w:pPr>
        <w:keepNext/>
        <w:widowControl w:val="0"/>
        <w:tabs>
          <w:tab w:val="left" w:pos="1134"/>
          <w:tab w:val="right" w:pos="5387"/>
          <w:tab w:val="right" w:pos="8222"/>
        </w:tabs>
        <w:spacing w:after="0" w:line="360" w:lineRule="auto"/>
        <w:rPr>
          <w:rFonts w:cs="Arial"/>
          <w:szCs w:val="24"/>
          <w:lang w:val="es-CO"/>
        </w:rPr>
      </w:pPr>
      <w:r w:rsidRPr="001D7C04">
        <w:rPr>
          <w:rFonts w:cs="Arial"/>
          <w:szCs w:val="24"/>
          <w:lang w:val="es-CO"/>
        </w:rPr>
        <w:t>-</w:t>
      </w:r>
      <w:r w:rsidR="00F12070" w:rsidRPr="001D7C04">
        <w:rPr>
          <w:rFonts w:cs="Arial"/>
          <w:szCs w:val="24"/>
          <w:lang w:val="es-CO"/>
        </w:rPr>
        <w:t xml:space="preserve"> incluir en cada actuación la respuesta de cada gerencia responsable</w:t>
      </w:r>
      <w:r w:rsidR="002D7796" w:rsidRPr="001D7C04">
        <w:rPr>
          <w:rFonts w:cs="Arial"/>
          <w:szCs w:val="24"/>
          <w:lang w:val="es-CO"/>
        </w:rPr>
        <w:t>, estableciendo</w:t>
      </w:r>
      <w:r w:rsidR="00F12070" w:rsidRPr="001D7C04">
        <w:rPr>
          <w:rFonts w:cs="Arial"/>
          <w:szCs w:val="24"/>
          <w:lang w:val="es-CO"/>
        </w:rPr>
        <w:t xml:space="preserve"> l</w:t>
      </w:r>
      <w:r w:rsidR="002D7796" w:rsidRPr="001D7C04">
        <w:rPr>
          <w:rFonts w:cs="Arial"/>
          <w:szCs w:val="24"/>
          <w:lang w:val="es-CO"/>
        </w:rPr>
        <w:t xml:space="preserve">as instancias </w:t>
      </w:r>
      <w:r w:rsidR="00F12070" w:rsidRPr="001D7C04">
        <w:rPr>
          <w:rFonts w:cs="Arial"/>
          <w:szCs w:val="24"/>
          <w:lang w:val="es-CO"/>
        </w:rPr>
        <w:t>de seguimiento que aseguren la atención de las recomendaciones en plazos que determinen mejora</w:t>
      </w:r>
      <w:r w:rsidR="002D7796" w:rsidRPr="001D7C04">
        <w:rPr>
          <w:rFonts w:cs="Arial"/>
          <w:szCs w:val="24"/>
          <w:lang w:val="es-CO"/>
        </w:rPr>
        <w:t>s</w:t>
      </w:r>
      <w:r w:rsidR="00F12070" w:rsidRPr="001D7C04">
        <w:rPr>
          <w:rFonts w:cs="Arial"/>
          <w:szCs w:val="24"/>
          <w:lang w:val="es-CO"/>
        </w:rPr>
        <w:t xml:space="preserve"> </w:t>
      </w:r>
      <w:r w:rsidRPr="001D7C04">
        <w:rPr>
          <w:rFonts w:cs="Arial"/>
          <w:szCs w:val="24"/>
          <w:lang w:val="es-CO"/>
        </w:rPr>
        <w:t>oportunas;</w:t>
      </w:r>
    </w:p>
    <w:p w:rsidR="005C0F31" w:rsidRPr="00571249" w:rsidRDefault="00C82F0B" w:rsidP="005A7331">
      <w:pPr>
        <w:keepNext/>
        <w:widowControl w:val="0"/>
        <w:tabs>
          <w:tab w:val="left" w:pos="0"/>
        </w:tabs>
        <w:spacing w:after="0" w:line="360" w:lineRule="auto"/>
        <w:rPr>
          <w:rFonts w:cs="Arial"/>
          <w:szCs w:val="24"/>
        </w:rPr>
      </w:pPr>
      <w:r w:rsidRPr="00571249">
        <w:rPr>
          <w:rFonts w:cs="Arial"/>
          <w:szCs w:val="24"/>
          <w:lang w:val="es-CO"/>
        </w:rPr>
        <w:t xml:space="preserve">- </w:t>
      </w:r>
      <w:r w:rsidR="005C0F31" w:rsidRPr="00571249">
        <w:rPr>
          <w:rFonts w:cs="Arial"/>
          <w:szCs w:val="24"/>
          <w:lang w:val="es-CO"/>
        </w:rPr>
        <w:t>r</w:t>
      </w:r>
      <w:proofErr w:type="spellStart"/>
      <w:r w:rsidR="005C0F31" w:rsidRPr="00571249">
        <w:rPr>
          <w:rFonts w:cs="Arial"/>
          <w:szCs w:val="24"/>
        </w:rPr>
        <w:t>ealizar</w:t>
      </w:r>
      <w:proofErr w:type="spellEnd"/>
      <w:r w:rsidR="005C0F31" w:rsidRPr="00571249">
        <w:rPr>
          <w:rFonts w:cs="Arial"/>
          <w:szCs w:val="24"/>
        </w:rPr>
        <w:t xml:space="preserve"> y documentar el corte de documentos en cada recuento físico;</w:t>
      </w:r>
    </w:p>
    <w:p w:rsidR="005C0F31" w:rsidRPr="00571249" w:rsidRDefault="005C0F31" w:rsidP="005A7331">
      <w:pPr>
        <w:keepNext/>
        <w:widowControl w:val="0"/>
        <w:tabs>
          <w:tab w:val="left" w:pos="0"/>
        </w:tabs>
        <w:spacing w:after="0" w:line="360" w:lineRule="auto"/>
        <w:rPr>
          <w:rFonts w:cs="Arial"/>
          <w:szCs w:val="24"/>
        </w:rPr>
      </w:pPr>
      <w:r w:rsidRPr="00571249">
        <w:rPr>
          <w:rFonts w:cs="Arial"/>
          <w:szCs w:val="24"/>
        </w:rPr>
        <w:t>-</w:t>
      </w:r>
      <w:r w:rsidR="00C82F0B" w:rsidRPr="00571249">
        <w:rPr>
          <w:rFonts w:cs="Arial"/>
          <w:szCs w:val="24"/>
        </w:rPr>
        <w:t xml:space="preserve"> </w:t>
      </w:r>
      <w:r w:rsidRPr="00571249">
        <w:rPr>
          <w:rFonts w:cs="Arial"/>
          <w:szCs w:val="24"/>
        </w:rPr>
        <w:t>arquear y recontar los fondos y valores recibidos en garantía, aval o fianza en custodia en Tesorería, en la misma oportunidad que se realiza los arqueos de fondos que mantiene el Sector.</w:t>
      </w:r>
    </w:p>
    <w:p w:rsidR="008E5C10" w:rsidRPr="001D7C04" w:rsidRDefault="00612889" w:rsidP="005A7331">
      <w:pPr>
        <w:keepNext/>
        <w:widowControl w:val="0"/>
        <w:tabs>
          <w:tab w:val="left" w:pos="0"/>
        </w:tabs>
        <w:spacing w:after="0" w:line="360" w:lineRule="auto"/>
        <w:rPr>
          <w:rFonts w:cs="Arial"/>
          <w:szCs w:val="24"/>
          <w:lang w:val="es-ES_tradnl"/>
        </w:rPr>
      </w:pPr>
      <w:r w:rsidRPr="00571249">
        <w:rPr>
          <w:rFonts w:cs="Arial"/>
          <w:b/>
          <w:szCs w:val="24"/>
        </w:rPr>
        <w:t>4.2.11</w:t>
      </w:r>
      <w:r w:rsidR="005C0F31" w:rsidRPr="00571249">
        <w:rPr>
          <w:rFonts w:cs="Arial"/>
          <w:szCs w:val="24"/>
        </w:rPr>
        <w:t xml:space="preserve"> </w:t>
      </w:r>
      <w:r w:rsidR="008E5C10" w:rsidRPr="00571249">
        <w:rPr>
          <w:rFonts w:cs="Arial"/>
          <w:szCs w:val="24"/>
        </w:rPr>
        <w:t>Revisar l</w:t>
      </w:r>
      <w:r w:rsidR="00F12070" w:rsidRPr="00571249">
        <w:rPr>
          <w:rFonts w:cs="Arial"/>
          <w:szCs w:val="24"/>
        </w:rPr>
        <w:t>a</w:t>
      </w:r>
      <w:r w:rsidR="008E5C10" w:rsidRPr="00571249">
        <w:rPr>
          <w:rFonts w:cs="Arial"/>
          <w:szCs w:val="24"/>
        </w:rPr>
        <w:t xml:space="preserve"> </w:t>
      </w:r>
      <w:r w:rsidR="00F12070" w:rsidRPr="00571249">
        <w:rPr>
          <w:rFonts w:cs="Arial"/>
          <w:szCs w:val="24"/>
        </w:rPr>
        <w:t xml:space="preserve">operativa y </w:t>
      </w:r>
      <w:r w:rsidR="008E5C10" w:rsidRPr="00571249">
        <w:rPr>
          <w:rFonts w:cs="Arial"/>
          <w:szCs w:val="24"/>
        </w:rPr>
        <w:t>d</w:t>
      </w:r>
      <w:r w:rsidR="00F12070" w:rsidRPr="00571249">
        <w:rPr>
          <w:rFonts w:cs="Arial"/>
          <w:szCs w:val="24"/>
        </w:rPr>
        <w:t>ocumentar</w:t>
      </w:r>
      <w:r w:rsidR="008E5C10" w:rsidRPr="00571249">
        <w:rPr>
          <w:rFonts w:cs="Arial"/>
          <w:szCs w:val="24"/>
        </w:rPr>
        <w:t xml:space="preserve"> en</w:t>
      </w:r>
      <w:r w:rsidR="00F12070" w:rsidRPr="00571249">
        <w:rPr>
          <w:rFonts w:cs="Arial"/>
          <w:szCs w:val="24"/>
        </w:rPr>
        <w:t xml:space="preserve"> man</w:t>
      </w:r>
      <w:r w:rsidR="008E5C10" w:rsidRPr="00571249">
        <w:rPr>
          <w:rFonts w:cs="Arial"/>
          <w:szCs w:val="24"/>
        </w:rPr>
        <w:t>u</w:t>
      </w:r>
      <w:r w:rsidR="00F12070" w:rsidRPr="00571249">
        <w:rPr>
          <w:rFonts w:cs="Arial"/>
          <w:szCs w:val="24"/>
        </w:rPr>
        <w:t>a</w:t>
      </w:r>
      <w:r w:rsidR="008E5C10" w:rsidRPr="00571249">
        <w:rPr>
          <w:rFonts w:cs="Arial"/>
          <w:szCs w:val="24"/>
        </w:rPr>
        <w:t>l</w:t>
      </w:r>
      <w:r w:rsidR="00F12070" w:rsidRPr="00571249">
        <w:rPr>
          <w:rFonts w:cs="Arial"/>
          <w:szCs w:val="24"/>
        </w:rPr>
        <w:t xml:space="preserve">es </w:t>
      </w:r>
      <w:r w:rsidR="008E5C10" w:rsidRPr="00571249">
        <w:rPr>
          <w:rFonts w:cs="Arial"/>
          <w:szCs w:val="24"/>
        </w:rPr>
        <w:t>los</w:t>
      </w:r>
      <w:r w:rsidR="00F12070" w:rsidRPr="00571249">
        <w:rPr>
          <w:rFonts w:cs="Arial"/>
          <w:szCs w:val="24"/>
        </w:rPr>
        <w:t xml:space="preserve"> procedimientos  de la</w:t>
      </w:r>
      <w:r w:rsidR="00F12070" w:rsidRPr="00571249">
        <w:rPr>
          <w:rFonts w:cs="Arial"/>
          <w:b/>
          <w:szCs w:val="24"/>
        </w:rPr>
        <w:t xml:space="preserve"> </w:t>
      </w:r>
      <w:r w:rsidR="00C47CD1" w:rsidRPr="001D7C04">
        <w:rPr>
          <w:rFonts w:cs="Arial"/>
          <w:szCs w:val="24"/>
          <w:lang w:val="es-ES_tradnl"/>
        </w:rPr>
        <w:t xml:space="preserve"> operativa en Planta Carrasco de “Servicio Logístico” y de “Servicio de Ala”, referidas al abastecimiento de los combustibles </w:t>
      </w:r>
      <w:proofErr w:type="spellStart"/>
      <w:r w:rsidR="00C47CD1" w:rsidRPr="001D7C04">
        <w:rPr>
          <w:rFonts w:cs="Arial"/>
          <w:szCs w:val="24"/>
          <w:lang w:val="es-ES_tradnl"/>
        </w:rPr>
        <w:t>AvGas</w:t>
      </w:r>
      <w:proofErr w:type="spellEnd"/>
      <w:r w:rsidR="00C47CD1" w:rsidRPr="001D7C04">
        <w:rPr>
          <w:rFonts w:cs="Arial"/>
          <w:szCs w:val="24"/>
          <w:lang w:val="es-ES_tradnl"/>
        </w:rPr>
        <w:t xml:space="preserve">  y Jet A1</w:t>
      </w:r>
      <w:r w:rsidR="002D7796" w:rsidRPr="001D7C04">
        <w:rPr>
          <w:rFonts w:cs="Arial"/>
          <w:szCs w:val="24"/>
          <w:lang w:val="es-ES_tradnl"/>
        </w:rPr>
        <w:t xml:space="preserve"> que en la actualidad </w:t>
      </w:r>
      <w:r w:rsidR="00C47CD1" w:rsidRPr="001D7C04">
        <w:rPr>
          <w:rFonts w:cs="Arial"/>
          <w:szCs w:val="24"/>
          <w:lang w:val="es-ES_tradnl"/>
        </w:rPr>
        <w:t xml:space="preserve">no </w:t>
      </w:r>
      <w:r w:rsidR="002D7796" w:rsidRPr="001D7C04">
        <w:rPr>
          <w:rFonts w:cs="Arial"/>
          <w:szCs w:val="24"/>
          <w:lang w:val="es-ES_tradnl"/>
        </w:rPr>
        <w:t>incluyen</w:t>
      </w:r>
      <w:r w:rsidR="00C47CD1" w:rsidRPr="001D7C04">
        <w:rPr>
          <w:rFonts w:cs="Arial"/>
          <w:szCs w:val="24"/>
          <w:lang w:val="es-ES_tradnl"/>
        </w:rPr>
        <w:t xml:space="preserve"> controles internos realizados por personal ajeno a la División Combustible</w:t>
      </w:r>
      <w:r w:rsidR="007D60F8" w:rsidRPr="001D7C04">
        <w:rPr>
          <w:rFonts w:cs="Arial"/>
          <w:szCs w:val="24"/>
          <w:lang w:val="es-ES_tradnl"/>
        </w:rPr>
        <w:t>.</w:t>
      </w:r>
    </w:p>
    <w:p w:rsidR="00C47CD1" w:rsidRPr="001D7C04" w:rsidRDefault="00612889" w:rsidP="005A7331">
      <w:pPr>
        <w:keepNext/>
        <w:widowControl w:val="0"/>
        <w:tabs>
          <w:tab w:val="left" w:pos="426"/>
        </w:tabs>
        <w:spacing w:line="360" w:lineRule="auto"/>
        <w:rPr>
          <w:rFonts w:cs="Arial"/>
          <w:szCs w:val="24"/>
          <w:lang w:val="es-ES_tradnl"/>
        </w:rPr>
      </w:pPr>
      <w:r w:rsidRPr="00571249">
        <w:rPr>
          <w:rFonts w:cs="Arial"/>
          <w:b/>
          <w:szCs w:val="24"/>
          <w:lang w:val="es-ES_tradnl"/>
        </w:rPr>
        <w:t>4.2.12</w:t>
      </w:r>
      <w:r w:rsidR="008E5C10" w:rsidRPr="00571249">
        <w:rPr>
          <w:rFonts w:cs="Arial"/>
          <w:b/>
          <w:szCs w:val="24"/>
          <w:lang w:val="es-ES_tradnl"/>
        </w:rPr>
        <w:t xml:space="preserve"> </w:t>
      </w:r>
      <w:r w:rsidR="008E5C10" w:rsidRPr="00571249">
        <w:rPr>
          <w:rFonts w:cs="Arial"/>
          <w:szCs w:val="24"/>
          <w:lang w:val="es-ES_tradnl"/>
        </w:rPr>
        <w:t>Documentar y</w:t>
      </w:r>
      <w:r w:rsidR="00C47CD1" w:rsidRPr="001D7C04">
        <w:rPr>
          <w:rFonts w:cs="Arial"/>
          <w:szCs w:val="24"/>
          <w:lang w:val="es-ES_tradnl"/>
        </w:rPr>
        <w:t xml:space="preserve"> </w:t>
      </w:r>
      <w:r w:rsidR="008E5C10" w:rsidRPr="001D7C04">
        <w:rPr>
          <w:rFonts w:cs="Arial"/>
          <w:szCs w:val="24"/>
          <w:lang w:val="es-ES_tradnl"/>
        </w:rPr>
        <w:t xml:space="preserve">registrar contablemente </w:t>
      </w:r>
      <w:r w:rsidR="00C47CD1" w:rsidRPr="001D7C04">
        <w:rPr>
          <w:rFonts w:cs="Arial"/>
          <w:szCs w:val="24"/>
          <w:lang w:val="es-ES_tradnl"/>
        </w:rPr>
        <w:t xml:space="preserve">en el sistema informático SAP </w:t>
      </w:r>
      <w:r w:rsidR="008E5C10" w:rsidRPr="001D7C04">
        <w:rPr>
          <w:rFonts w:cs="Arial"/>
          <w:szCs w:val="24"/>
          <w:lang w:val="es-ES_tradnl"/>
        </w:rPr>
        <w:t>los</w:t>
      </w:r>
      <w:r w:rsidR="00C47CD1" w:rsidRPr="001D7C04">
        <w:rPr>
          <w:rFonts w:cs="Arial"/>
          <w:szCs w:val="24"/>
          <w:lang w:val="es-ES_tradnl"/>
        </w:rPr>
        <w:t xml:space="preserve"> préstamos y devoluciones de combustible para aeronaves efectuados por la empresa </w:t>
      </w:r>
      <w:proofErr w:type="spellStart"/>
      <w:r w:rsidR="00C47CD1" w:rsidRPr="001D7C04">
        <w:rPr>
          <w:rFonts w:cs="Arial"/>
          <w:szCs w:val="24"/>
          <w:lang w:val="es-ES_tradnl"/>
        </w:rPr>
        <w:t>Petrobrás</w:t>
      </w:r>
      <w:proofErr w:type="spellEnd"/>
      <w:r w:rsidR="00C47CD1" w:rsidRPr="001D7C04">
        <w:rPr>
          <w:rFonts w:cs="Arial"/>
          <w:szCs w:val="24"/>
          <w:lang w:val="es-ES_tradnl"/>
        </w:rPr>
        <w:t xml:space="preserve"> a </w:t>
      </w:r>
      <w:r w:rsidR="002D7796" w:rsidRPr="001D7C04">
        <w:rPr>
          <w:rFonts w:cs="Arial"/>
          <w:szCs w:val="24"/>
          <w:lang w:val="es-ES_tradnl"/>
        </w:rPr>
        <w:t>la</w:t>
      </w:r>
      <w:r w:rsidR="00C47CD1" w:rsidRPr="001D7C04">
        <w:rPr>
          <w:rFonts w:cs="Arial"/>
          <w:szCs w:val="24"/>
          <w:lang w:val="es-ES_tradnl"/>
        </w:rPr>
        <w:t xml:space="preserve"> Planta Carrasco de ANCAP</w:t>
      </w:r>
      <w:r w:rsidR="002D7796" w:rsidRPr="001D7C04">
        <w:rPr>
          <w:rFonts w:cs="Arial"/>
          <w:szCs w:val="24"/>
          <w:lang w:val="es-ES_tradnl"/>
        </w:rPr>
        <w:t xml:space="preserve">, incluyendo los debidos </w:t>
      </w:r>
      <w:r w:rsidR="00C47CD1" w:rsidRPr="001D7C04">
        <w:rPr>
          <w:rFonts w:cs="Arial"/>
          <w:szCs w:val="24"/>
          <w:lang w:val="es-ES_tradnl"/>
        </w:rPr>
        <w:t>controles por parte de personal ajeno a la División Combustible.</w:t>
      </w:r>
    </w:p>
    <w:p w:rsidR="00C47CD1" w:rsidRPr="00571249" w:rsidRDefault="00612889" w:rsidP="005A7331">
      <w:pPr>
        <w:keepNext/>
        <w:widowControl w:val="0"/>
        <w:tabs>
          <w:tab w:val="left" w:pos="426"/>
        </w:tabs>
        <w:spacing w:after="0" w:line="360" w:lineRule="auto"/>
        <w:rPr>
          <w:rFonts w:cs="Arial"/>
          <w:szCs w:val="24"/>
          <w:lang w:val="es-ES_tradnl"/>
        </w:rPr>
      </w:pPr>
      <w:r w:rsidRPr="00571249">
        <w:rPr>
          <w:rFonts w:cs="Arial"/>
          <w:b/>
          <w:szCs w:val="24"/>
          <w:lang w:val="es-ES_tradnl"/>
        </w:rPr>
        <w:t>4.2.13</w:t>
      </w:r>
      <w:r w:rsidR="00A669C5" w:rsidRPr="00571249">
        <w:rPr>
          <w:rFonts w:cs="Arial"/>
          <w:szCs w:val="24"/>
          <w:lang w:val="es-ES_tradnl"/>
        </w:rPr>
        <w:t xml:space="preserve"> </w:t>
      </w:r>
      <w:r w:rsidR="002D7796" w:rsidRPr="00571249">
        <w:rPr>
          <w:rFonts w:cs="Arial"/>
          <w:szCs w:val="24"/>
          <w:lang w:val="es-ES_tradnl"/>
        </w:rPr>
        <w:t>Establecer el</w:t>
      </w:r>
      <w:r w:rsidR="00C47CD1" w:rsidRPr="00571249">
        <w:rPr>
          <w:rFonts w:cs="Arial"/>
          <w:szCs w:val="24"/>
          <w:lang w:val="es-ES_tradnl"/>
        </w:rPr>
        <w:t xml:space="preserve"> registro y control por parte de terceros ajenos a la operativa, con relación a la recepción, custodia, mantenimiento y aplicación de los bienes de terceros que se mantienen y utilizan  en la Planta de Producción de Lubricantes</w:t>
      </w:r>
      <w:r w:rsidR="007D60F8" w:rsidRPr="00571249">
        <w:rPr>
          <w:rFonts w:cs="Arial"/>
          <w:szCs w:val="24"/>
          <w:lang w:val="es-ES_tradnl"/>
        </w:rPr>
        <w:t>.</w:t>
      </w:r>
    </w:p>
    <w:p w:rsidR="00C47CD1" w:rsidRPr="00571249" w:rsidRDefault="00612889" w:rsidP="005A7331">
      <w:pPr>
        <w:keepNext/>
        <w:widowControl w:val="0"/>
        <w:tabs>
          <w:tab w:val="left" w:pos="426"/>
        </w:tabs>
        <w:spacing w:after="0" w:line="360" w:lineRule="auto"/>
        <w:rPr>
          <w:rFonts w:cs="Arial"/>
          <w:szCs w:val="24"/>
          <w:lang w:val="es-ES_tradnl"/>
        </w:rPr>
      </w:pPr>
      <w:r w:rsidRPr="00571249">
        <w:rPr>
          <w:rFonts w:cs="Arial"/>
          <w:b/>
          <w:szCs w:val="24"/>
          <w:lang w:val="es-ES_tradnl"/>
        </w:rPr>
        <w:t>4.2.14</w:t>
      </w:r>
      <w:r w:rsidR="00A669C5" w:rsidRPr="00571249">
        <w:rPr>
          <w:rFonts w:cs="Arial"/>
          <w:szCs w:val="24"/>
          <w:lang w:val="es-ES_tradnl"/>
        </w:rPr>
        <w:t xml:space="preserve"> </w:t>
      </w:r>
      <w:r w:rsidR="002D7796" w:rsidRPr="00571249">
        <w:rPr>
          <w:rFonts w:cs="Arial"/>
          <w:szCs w:val="24"/>
          <w:lang w:val="es-ES_tradnl"/>
        </w:rPr>
        <w:t xml:space="preserve">Incluir en </w:t>
      </w:r>
      <w:r w:rsidR="00C47CD1" w:rsidRPr="00571249">
        <w:rPr>
          <w:rFonts w:cs="Arial"/>
          <w:szCs w:val="24"/>
          <w:lang w:val="es-ES_tradnl"/>
        </w:rPr>
        <w:t xml:space="preserve">el “Manual de Procedimiento para Recepción y Pago de Etanol Comprado a ALUR”, la operativa de documentación en Notas de Crédito </w:t>
      </w:r>
      <w:r w:rsidR="00CD0B6C" w:rsidRPr="00571249">
        <w:rPr>
          <w:rFonts w:cs="Arial"/>
          <w:szCs w:val="24"/>
          <w:lang w:val="es-ES_tradnl"/>
        </w:rPr>
        <w:t xml:space="preserve">que se reutilizan por parte de ALUR SA por </w:t>
      </w:r>
      <w:r w:rsidR="00C47CD1" w:rsidRPr="00571249">
        <w:rPr>
          <w:rFonts w:cs="Arial"/>
          <w:szCs w:val="24"/>
          <w:lang w:val="es-ES_tradnl"/>
        </w:rPr>
        <w:t>saldos de etanol en tanques ya vendidos y facturados a ANCAP</w:t>
      </w:r>
      <w:r w:rsidR="002D7796" w:rsidRPr="00571249">
        <w:rPr>
          <w:rFonts w:cs="Arial"/>
          <w:szCs w:val="24"/>
          <w:lang w:val="es-ES_tradnl"/>
        </w:rPr>
        <w:t>,</w:t>
      </w:r>
      <w:r w:rsidR="00CD0B6C" w:rsidRPr="00571249">
        <w:rPr>
          <w:rFonts w:cs="Arial"/>
          <w:szCs w:val="24"/>
          <w:lang w:val="es-ES_tradnl"/>
        </w:rPr>
        <w:t xml:space="preserve"> a efecto de</w:t>
      </w:r>
      <w:r w:rsidR="00C47CD1" w:rsidRPr="00571249">
        <w:rPr>
          <w:rFonts w:cs="Arial"/>
          <w:szCs w:val="24"/>
          <w:lang w:val="es-ES_tradnl"/>
        </w:rPr>
        <w:t xml:space="preserve"> almacenar nuevas producciones de etanol</w:t>
      </w:r>
      <w:r w:rsidR="002D7796" w:rsidRPr="00571249">
        <w:rPr>
          <w:rFonts w:cs="Arial"/>
          <w:szCs w:val="24"/>
          <w:lang w:val="es-ES_tradnl"/>
        </w:rPr>
        <w:t>.</w:t>
      </w:r>
    </w:p>
    <w:p w:rsidR="00C47CD1" w:rsidRPr="00571249" w:rsidRDefault="00612889" w:rsidP="005A7331">
      <w:pPr>
        <w:keepNext/>
        <w:widowControl w:val="0"/>
        <w:tabs>
          <w:tab w:val="left" w:pos="426"/>
        </w:tabs>
        <w:spacing w:after="0" w:line="360" w:lineRule="auto"/>
        <w:rPr>
          <w:rFonts w:cs="Arial"/>
          <w:szCs w:val="24"/>
          <w:lang w:val="es-ES_tradnl"/>
        </w:rPr>
      </w:pPr>
      <w:r w:rsidRPr="00571249">
        <w:rPr>
          <w:rFonts w:cs="Arial"/>
          <w:b/>
          <w:szCs w:val="24"/>
          <w:lang w:val="es-ES_tradnl"/>
        </w:rPr>
        <w:t>4.2.15</w:t>
      </w:r>
      <w:r w:rsidR="002D7796" w:rsidRPr="00571249">
        <w:rPr>
          <w:rFonts w:cs="Arial"/>
          <w:szCs w:val="24"/>
          <w:lang w:val="es-ES_tradnl"/>
        </w:rPr>
        <w:t xml:space="preserve"> </w:t>
      </w:r>
      <w:r w:rsidR="005C0F31" w:rsidRPr="00571249">
        <w:rPr>
          <w:rFonts w:cs="Arial"/>
          <w:szCs w:val="24"/>
          <w:lang w:val="es-ES_tradnl"/>
        </w:rPr>
        <w:t>Elaborar Manuales que establezcan los procedimientos de custodia, vigilancia, mantenimiento de inventarios y registro en todos</w:t>
      </w:r>
      <w:r w:rsidR="00C47CD1" w:rsidRPr="00571249">
        <w:rPr>
          <w:rFonts w:cs="Arial"/>
          <w:szCs w:val="24"/>
          <w:lang w:val="es-ES_tradnl"/>
        </w:rPr>
        <w:t xml:space="preserve"> los depósitos de </w:t>
      </w:r>
      <w:r w:rsidR="007D60F8" w:rsidRPr="00571249">
        <w:rPr>
          <w:rFonts w:cs="Arial"/>
          <w:szCs w:val="24"/>
          <w:lang w:val="es-ES_tradnl"/>
        </w:rPr>
        <w:t>B</w:t>
      </w:r>
      <w:r w:rsidR="00C47CD1" w:rsidRPr="00571249">
        <w:rPr>
          <w:rFonts w:cs="Arial"/>
          <w:szCs w:val="24"/>
          <w:lang w:val="es-ES_tradnl"/>
        </w:rPr>
        <w:t xml:space="preserve">ienes de </w:t>
      </w:r>
      <w:r w:rsidR="007D60F8" w:rsidRPr="00571249">
        <w:rPr>
          <w:rFonts w:cs="Arial"/>
          <w:szCs w:val="24"/>
          <w:lang w:val="es-ES_tradnl"/>
        </w:rPr>
        <w:t>C</w:t>
      </w:r>
      <w:r w:rsidR="00C47CD1" w:rsidRPr="00571249">
        <w:rPr>
          <w:rFonts w:cs="Arial"/>
          <w:szCs w:val="24"/>
          <w:lang w:val="es-ES_tradnl"/>
        </w:rPr>
        <w:t>ambio</w:t>
      </w:r>
      <w:r w:rsidR="007D60F8" w:rsidRPr="00571249">
        <w:rPr>
          <w:rFonts w:cs="Arial"/>
          <w:szCs w:val="24"/>
          <w:lang w:val="es-ES_tradnl"/>
        </w:rPr>
        <w:t>.</w:t>
      </w:r>
    </w:p>
    <w:p w:rsidR="00DE0F64" w:rsidRDefault="00612889" w:rsidP="005A7331">
      <w:pPr>
        <w:keepNext/>
        <w:widowControl w:val="0"/>
        <w:tabs>
          <w:tab w:val="left" w:pos="426"/>
        </w:tabs>
        <w:spacing w:after="0" w:line="360" w:lineRule="auto"/>
        <w:rPr>
          <w:rFonts w:cs="Arial"/>
          <w:szCs w:val="24"/>
          <w:lang w:val="es-ES_tradnl"/>
        </w:rPr>
      </w:pPr>
      <w:r w:rsidRPr="00571249">
        <w:rPr>
          <w:rFonts w:cs="Arial"/>
          <w:b/>
          <w:szCs w:val="24"/>
          <w:lang w:val="es-ES_tradnl"/>
        </w:rPr>
        <w:t>4.2.16</w:t>
      </w:r>
      <w:r w:rsidR="007D60F8" w:rsidRPr="00571249">
        <w:rPr>
          <w:rFonts w:cs="Arial"/>
          <w:szCs w:val="24"/>
          <w:lang w:val="es-ES_tradnl"/>
        </w:rPr>
        <w:t xml:space="preserve"> Ampliar el horario de vigilancia a las 24 horas en los locales de depósito de</w:t>
      </w:r>
      <w:r w:rsidR="00C47CD1" w:rsidRPr="00571249">
        <w:rPr>
          <w:rFonts w:cs="Arial"/>
          <w:szCs w:val="24"/>
          <w:lang w:val="es-ES_tradnl"/>
        </w:rPr>
        <w:t xml:space="preserve"> la Planta de Carrasco</w:t>
      </w:r>
      <w:r w:rsidR="007D60F8" w:rsidRPr="00571249">
        <w:rPr>
          <w:rFonts w:cs="Arial"/>
          <w:szCs w:val="24"/>
          <w:lang w:val="es-ES_tradnl"/>
        </w:rPr>
        <w:t xml:space="preserve"> y restringir el acceso a la Planta de Lubricantes de la Teja al personal autorizado.</w:t>
      </w:r>
    </w:p>
    <w:p w:rsidR="00DE0F64" w:rsidRDefault="00DE0F64" w:rsidP="005A7331">
      <w:pPr>
        <w:keepNext/>
        <w:widowControl w:val="0"/>
        <w:tabs>
          <w:tab w:val="left" w:pos="426"/>
        </w:tabs>
        <w:spacing w:after="0" w:line="360" w:lineRule="auto"/>
        <w:rPr>
          <w:rFonts w:cs="Arial"/>
          <w:szCs w:val="24"/>
          <w:lang w:val="es-ES_tradnl"/>
        </w:rPr>
      </w:pPr>
    </w:p>
    <w:p w:rsidR="00DE0F64" w:rsidRDefault="00DE0F64" w:rsidP="005A7331">
      <w:pPr>
        <w:keepNext/>
        <w:widowControl w:val="0"/>
        <w:tabs>
          <w:tab w:val="left" w:pos="426"/>
        </w:tabs>
        <w:spacing w:after="0" w:line="360" w:lineRule="auto"/>
        <w:rPr>
          <w:rFonts w:cs="Arial"/>
          <w:szCs w:val="24"/>
          <w:lang w:val="es-ES_tradnl"/>
        </w:rPr>
      </w:pPr>
    </w:p>
    <w:p w:rsidR="00C82F0B" w:rsidRPr="00571249" w:rsidRDefault="00DE0F64" w:rsidP="005A7331">
      <w:pPr>
        <w:keepNext/>
        <w:widowControl w:val="0"/>
        <w:tabs>
          <w:tab w:val="left" w:pos="426"/>
        </w:tabs>
        <w:spacing w:after="0" w:line="360" w:lineRule="auto"/>
        <w:rPr>
          <w:rFonts w:cs="Arial"/>
          <w:szCs w:val="24"/>
          <w:lang w:val="es-ES_tradnl"/>
        </w:rPr>
      </w:pPr>
      <w:proofErr w:type="spellStart"/>
      <w:proofErr w:type="gramStart"/>
      <w:r>
        <w:rPr>
          <w:rFonts w:cs="Arial"/>
          <w:szCs w:val="24"/>
          <w:lang w:val="es-ES_tradnl"/>
        </w:rPr>
        <w:t>lc</w:t>
      </w:r>
      <w:proofErr w:type="spellEnd"/>
      <w:proofErr w:type="gramEnd"/>
    </w:p>
    <w:sectPr w:rsidR="00C82F0B" w:rsidRPr="00571249" w:rsidSect="00081C3E">
      <w:footerReference w:type="default" r:id="rId9"/>
      <w:pgSz w:w="11906" w:h="16838" w:code="9"/>
      <w:pgMar w:top="3289" w:right="1701" w:bottom="1134" w:left="1701" w:header="68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CD" w:rsidRDefault="001357CD" w:rsidP="00C47CD1">
      <w:pPr>
        <w:spacing w:after="0" w:line="240" w:lineRule="auto"/>
      </w:pPr>
      <w:r>
        <w:separator/>
      </w:r>
    </w:p>
  </w:endnote>
  <w:endnote w:type="continuationSeparator" w:id="0">
    <w:p w:rsidR="001357CD" w:rsidRDefault="001357CD" w:rsidP="00C4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3178"/>
      <w:docPartObj>
        <w:docPartGallery w:val="Page Numbers (Bottom of Page)"/>
        <w:docPartUnique/>
      </w:docPartObj>
    </w:sdtPr>
    <w:sdtContent>
      <w:p w:rsidR="001357CD" w:rsidRDefault="001357CD">
        <w:pPr>
          <w:pStyle w:val="Piedepgina"/>
          <w:jc w:val="center"/>
        </w:pPr>
        <w:r>
          <w:fldChar w:fldCharType="begin"/>
        </w:r>
        <w:r>
          <w:instrText>PAGE   \* MERGEFORMAT</w:instrText>
        </w:r>
        <w:r>
          <w:fldChar w:fldCharType="separate"/>
        </w:r>
        <w:r w:rsidR="002230CB" w:rsidRPr="002230CB">
          <w:rPr>
            <w:noProof/>
            <w:lang w:val="es-ES"/>
          </w:rPr>
          <w:t>1</w:t>
        </w:r>
        <w:r>
          <w:fldChar w:fldCharType="end"/>
        </w:r>
      </w:p>
    </w:sdtContent>
  </w:sdt>
  <w:p w:rsidR="001357CD" w:rsidRDefault="001357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CD" w:rsidRDefault="001357CD" w:rsidP="00C47CD1">
      <w:pPr>
        <w:spacing w:after="0" w:line="240" w:lineRule="auto"/>
      </w:pPr>
      <w:r>
        <w:separator/>
      </w:r>
    </w:p>
  </w:footnote>
  <w:footnote w:type="continuationSeparator" w:id="0">
    <w:p w:rsidR="001357CD" w:rsidRDefault="001357CD" w:rsidP="00C47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613F"/>
    <w:multiLevelType w:val="hybridMultilevel"/>
    <w:tmpl w:val="E31AEF70"/>
    <w:lvl w:ilvl="0" w:tplc="83C6A440">
      <w:start w:val="1"/>
      <w:numFmt w:val="bullet"/>
      <w:lvlText w:val="-"/>
      <w:lvlJc w:val="left"/>
      <w:pPr>
        <w:ind w:left="720" w:hanging="360"/>
      </w:pPr>
      <w:rPr>
        <w:rFonts w:ascii="Arial" w:eastAsia="Calibr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EDF266D"/>
    <w:multiLevelType w:val="hybridMultilevel"/>
    <w:tmpl w:val="DED668D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0F722B2F"/>
    <w:multiLevelType w:val="hybridMultilevel"/>
    <w:tmpl w:val="BC8CDDEE"/>
    <w:lvl w:ilvl="0" w:tplc="90463E5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564CB3"/>
    <w:multiLevelType w:val="multilevel"/>
    <w:tmpl w:val="5C2691F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DF0532"/>
    <w:multiLevelType w:val="hybridMultilevel"/>
    <w:tmpl w:val="89CCC476"/>
    <w:lvl w:ilvl="0" w:tplc="96968B1E">
      <w:start w:val="1"/>
      <w:numFmt w:val="decimal"/>
      <w:lvlText w:val="%1)"/>
      <w:lvlJc w:val="left"/>
      <w:pPr>
        <w:ind w:left="720" w:hanging="360"/>
      </w:pPr>
      <w:rPr>
        <w:rFonts w:ascii="Arial" w:hAnsi="Arial" w:hint="default"/>
        <w:b/>
        <w:i w:val="0"/>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1B9029EC"/>
    <w:multiLevelType w:val="hybridMultilevel"/>
    <w:tmpl w:val="F80A44EE"/>
    <w:lvl w:ilvl="0" w:tplc="88EEB944">
      <w:start w:val="1"/>
      <w:numFmt w:val="bullet"/>
      <w:lvlText w:val="_"/>
      <w:lvlJc w:val="left"/>
      <w:pPr>
        <w:ind w:left="1500" w:hanging="360"/>
      </w:pPr>
      <w:rPr>
        <w:rFonts w:ascii="Arial" w:eastAsia="Calibri" w:hAnsi="Arial" w:hint="default"/>
      </w:rPr>
    </w:lvl>
    <w:lvl w:ilvl="1" w:tplc="380A0003" w:tentative="1">
      <w:start w:val="1"/>
      <w:numFmt w:val="bullet"/>
      <w:lvlText w:val="o"/>
      <w:lvlJc w:val="left"/>
      <w:pPr>
        <w:ind w:left="2220" w:hanging="360"/>
      </w:pPr>
      <w:rPr>
        <w:rFonts w:ascii="Courier New" w:hAnsi="Courier New" w:cs="Courier New" w:hint="default"/>
      </w:rPr>
    </w:lvl>
    <w:lvl w:ilvl="2" w:tplc="380A0005" w:tentative="1">
      <w:start w:val="1"/>
      <w:numFmt w:val="bullet"/>
      <w:lvlText w:val=""/>
      <w:lvlJc w:val="left"/>
      <w:pPr>
        <w:ind w:left="2940" w:hanging="360"/>
      </w:pPr>
      <w:rPr>
        <w:rFonts w:ascii="Wingdings" w:hAnsi="Wingdings" w:hint="default"/>
      </w:rPr>
    </w:lvl>
    <w:lvl w:ilvl="3" w:tplc="380A0001" w:tentative="1">
      <w:start w:val="1"/>
      <w:numFmt w:val="bullet"/>
      <w:lvlText w:val=""/>
      <w:lvlJc w:val="left"/>
      <w:pPr>
        <w:ind w:left="3660" w:hanging="360"/>
      </w:pPr>
      <w:rPr>
        <w:rFonts w:ascii="Symbol" w:hAnsi="Symbol" w:hint="default"/>
      </w:rPr>
    </w:lvl>
    <w:lvl w:ilvl="4" w:tplc="380A0003" w:tentative="1">
      <w:start w:val="1"/>
      <w:numFmt w:val="bullet"/>
      <w:lvlText w:val="o"/>
      <w:lvlJc w:val="left"/>
      <w:pPr>
        <w:ind w:left="4380" w:hanging="360"/>
      </w:pPr>
      <w:rPr>
        <w:rFonts w:ascii="Courier New" w:hAnsi="Courier New" w:cs="Courier New" w:hint="default"/>
      </w:rPr>
    </w:lvl>
    <w:lvl w:ilvl="5" w:tplc="380A0005" w:tentative="1">
      <w:start w:val="1"/>
      <w:numFmt w:val="bullet"/>
      <w:lvlText w:val=""/>
      <w:lvlJc w:val="left"/>
      <w:pPr>
        <w:ind w:left="5100" w:hanging="360"/>
      </w:pPr>
      <w:rPr>
        <w:rFonts w:ascii="Wingdings" w:hAnsi="Wingdings" w:hint="default"/>
      </w:rPr>
    </w:lvl>
    <w:lvl w:ilvl="6" w:tplc="380A0001" w:tentative="1">
      <w:start w:val="1"/>
      <w:numFmt w:val="bullet"/>
      <w:lvlText w:val=""/>
      <w:lvlJc w:val="left"/>
      <w:pPr>
        <w:ind w:left="5820" w:hanging="360"/>
      </w:pPr>
      <w:rPr>
        <w:rFonts w:ascii="Symbol" w:hAnsi="Symbol" w:hint="default"/>
      </w:rPr>
    </w:lvl>
    <w:lvl w:ilvl="7" w:tplc="380A0003" w:tentative="1">
      <w:start w:val="1"/>
      <w:numFmt w:val="bullet"/>
      <w:lvlText w:val="o"/>
      <w:lvlJc w:val="left"/>
      <w:pPr>
        <w:ind w:left="6540" w:hanging="360"/>
      </w:pPr>
      <w:rPr>
        <w:rFonts w:ascii="Courier New" w:hAnsi="Courier New" w:cs="Courier New" w:hint="default"/>
      </w:rPr>
    </w:lvl>
    <w:lvl w:ilvl="8" w:tplc="380A0005" w:tentative="1">
      <w:start w:val="1"/>
      <w:numFmt w:val="bullet"/>
      <w:lvlText w:val=""/>
      <w:lvlJc w:val="left"/>
      <w:pPr>
        <w:ind w:left="7260" w:hanging="360"/>
      </w:pPr>
      <w:rPr>
        <w:rFonts w:ascii="Wingdings" w:hAnsi="Wingdings" w:hint="default"/>
      </w:rPr>
    </w:lvl>
  </w:abstractNum>
  <w:abstractNum w:abstractNumId="6">
    <w:nsid w:val="1C7E4EB4"/>
    <w:multiLevelType w:val="multilevel"/>
    <w:tmpl w:val="1480DEB0"/>
    <w:lvl w:ilvl="0">
      <w:start w:val="2"/>
      <w:numFmt w:val="decimal"/>
      <w:lvlText w:val="%1."/>
      <w:lvlJc w:val="left"/>
      <w:pPr>
        <w:ind w:left="405" w:hanging="405"/>
      </w:pPr>
      <w:rPr>
        <w:rFonts w:ascii="Arial" w:hAnsi="Arial" w:hint="default"/>
        <w:sz w:val="24"/>
      </w:rPr>
    </w:lvl>
    <w:lvl w:ilvl="1">
      <w:start w:val="2"/>
      <w:numFmt w:val="decimal"/>
      <w:lvlText w:val="%1.%2-"/>
      <w:lvlJc w:val="left"/>
      <w:pPr>
        <w:ind w:left="1185" w:hanging="405"/>
      </w:pPr>
      <w:rPr>
        <w:rFonts w:ascii="Arial" w:hAnsi="Arial" w:hint="default"/>
        <w:sz w:val="24"/>
      </w:rPr>
    </w:lvl>
    <w:lvl w:ilvl="2">
      <w:start w:val="1"/>
      <w:numFmt w:val="decimal"/>
      <w:lvlText w:val="%1.%2-%3."/>
      <w:lvlJc w:val="left"/>
      <w:pPr>
        <w:ind w:left="2280" w:hanging="720"/>
      </w:pPr>
      <w:rPr>
        <w:rFonts w:ascii="Arial" w:hAnsi="Arial" w:hint="default"/>
        <w:sz w:val="24"/>
      </w:rPr>
    </w:lvl>
    <w:lvl w:ilvl="3">
      <w:start w:val="1"/>
      <w:numFmt w:val="decimal"/>
      <w:lvlText w:val="%1.%2-%3.%4."/>
      <w:lvlJc w:val="left"/>
      <w:pPr>
        <w:ind w:left="3060" w:hanging="720"/>
      </w:pPr>
      <w:rPr>
        <w:rFonts w:ascii="Arial" w:hAnsi="Arial" w:hint="default"/>
        <w:sz w:val="24"/>
      </w:rPr>
    </w:lvl>
    <w:lvl w:ilvl="4">
      <w:start w:val="1"/>
      <w:numFmt w:val="decimal"/>
      <w:lvlText w:val="%1.%2-%3.%4.%5."/>
      <w:lvlJc w:val="left"/>
      <w:pPr>
        <w:ind w:left="4200" w:hanging="1080"/>
      </w:pPr>
      <w:rPr>
        <w:rFonts w:ascii="Arial" w:hAnsi="Arial" w:hint="default"/>
        <w:sz w:val="24"/>
      </w:rPr>
    </w:lvl>
    <w:lvl w:ilvl="5">
      <w:start w:val="1"/>
      <w:numFmt w:val="decimal"/>
      <w:lvlText w:val="%1.%2-%3.%4.%5.%6."/>
      <w:lvlJc w:val="left"/>
      <w:pPr>
        <w:ind w:left="4980" w:hanging="1080"/>
      </w:pPr>
      <w:rPr>
        <w:rFonts w:ascii="Arial" w:hAnsi="Arial" w:hint="default"/>
        <w:sz w:val="24"/>
      </w:rPr>
    </w:lvl>
    <w:lvl w:ilvl="6">
      <w:start w:val="1"/>
      <w:numFmt w:val="decimal"/>
      <w:lvlText w:val="%1.%2-%3.%4.%5.%6.%7."/>
      <w:lvlJc w:val="left"/>
      <w:pPr>
        <w:ind w:left="6120" w:hanging="1440"/>
      </w:pPr>
      <w:rPr>
        <w:rFonts w:ascii="Arial" w:hAnsi="Arial" w:hint="default"/>
        <w:sz w:val="24"/>
      </w:rPr>
    </w:lvl>
    <w:lvl w:ilvl="7">
      <w:start w:val="1"/>
      <w:numFmt w:val="decimal"/>
      <w:lvlText w:val="%1.%2-%3.%4.%5.%6.%7.%8."/>
      <w:lvlJc w:val="left"/>
      <w:pPr>
        <w:ind w:left="6900" w:hanging="1440"/>
      </w:pPr>
      <w:rPr>
        <w:rFonts w:ascii="Arial" w:hAnsi="Arial" w:hint="default"/>
        <w:sz w:val="24"/>
      </w:rPr>
    </w:lvl>
    <w:lvl w:ilvl="8">
      <w:start w:val="1"/>
      <w:numFmt w:val="decimal"/>
      <w:lvlText w:val="%1.%2-%3.%4.%5.%6.%7.%8.%9."/>
      <w:lvlJc w:val="left"/>
      <w:pPr>
        <w:ind w:left="8040" w:hanging="1800"/>
      </w:pPr>
      <w:rPr>
        <w:rFonts w:ascii="Arial" w:hAnsi="Arial" w:hint="default"/>
        <w:sz w:val="24"/>
      </w:rPr>
    </w:lvl>
  </w:abstractNum>
  <w:abstractNum w:abstractNumId="7">
    <w:nsid w:val="1F8262E0"/>
    <w:multiLevelType w:val="hybridMultilevel"/>
    <w:tmpl w:val="30161216"/>
    <w:lvl w:ilvl="0" w:tplc="38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222"/>
        </w:tabs>
        <w:ind w:left="1222" w:hanging="360"/>
      </w:pPr>
      <w:rPr>
        <w:rFonts w:ascii="Courier New" w:hAnsi="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8">
    <w:nsid w:val="23B339DB"/>
    <w:multiLevelType w:val="hybridMultilevel"/>
    <w:tmpl w:val="1010AE6A"/>
    <w:lvl w:ilvl="0" w:tplc="73B66A86">
      <w:start w:val="3"/>
      <w:numFmt w:val="decimal"/>
      <w:lvlText w:val="%1"/>
      <w:lvlJc w:val="left"/>
      <w:pPr>
        <w:ind w:left="720" w:hanging="360"/>
      </w:pPr>
      <w:rPr>
        <w:rFonts w:ascii="Arial" w:hAnsi="Arial" w:hint="default"/>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nsid w:val="27563690"/>
    <w:multiLevelType w:val="hybridMultilevel"/>
    <w:tmpl w:val="284EBDD2"/>
    <w:lvl w:ilvl="0" w:tplc="A5427A8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2AB34E21"/>
    <w:multiLevelType w:val="hybridMultilevel"/>
    <w:tmpl w:val="29841FF6"/>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2E150DDF"/>
    <w:multiLevelType w:val="multilevel"/>
    <w:tmpl w:val="D2628E4E"/>
    <w:lvl w:ilvl="0">
      <w:start w:val="2"/>
      <w:numFmt w:val="decimal"/>
      <w:lvlText w:val="%1"/>
      <w:lvlJc w:val="left"/>
      <w:pPr>
        <w:ind w:left="360" w:hanging="360"/>
      </w:pPr>
      <w:rPr>
        <w:rFonts w:ascii="Arial" w:hAnsi="Arial" w:hint="default"/>
        <w:sz w:val="24"/>
      </w:rPr>
    </w:lvl>
    <w:lvl w:ilvl="1">
      <w:start w:val="1"/>
      <w:numFmt w:val="decimal"/>
      <w:lvlText w:val="%1.%2"/>
      <w:lvlJc w:val="left"/>
      <w:pPr>
        <w:ind w:left="1140" w:hanging="360"/>
      </w:pPr>
      <w:rPr>
        <w:rFonts w:ascii="Arial" w:hAnsi="Arial" w:hint="default"/>
        <w:sz w:val="24"/>
      </w:rPr>
    </w:lvl>
    <w:lvl w:ilvl="2">
      <w:start w:val="1"/>
      <w:numFmt w:val="decimal"/>
      <w:lvlText w:val="%1.%2.%3"/>
      <w:lvlJc w:val="left"/>
      <w:pPr>
        <w:ind w:left="2280" w:hanging="720"/>
      </w:pPr>
      <w:rPr>
        <w:rFonts w:ascii="Arial" w:hAnsi="Arial" w:hint="default"/>
        <w:sz w:val="24"/>
      </w:rPr>
    </w:lvl>
    <w:lvl w:ilvl="3">
      <w:start w:val="1"/>
      <w:numFmt w:val="decimal"/>
      <w:lvlText w:val="%1.%2.%3.%4"/>
      <w:lvlJc w:val="left"/>
      <w:pPr>
        <w:ind w:left="3060" w:hanging="720"/>
      </w:pPr>
      <w:rPr>
        <w:rFonts w:ascii="Arial" w:hAnsi="Arial" w:hint="default"/>
        <w:sz w:val="24"/>
      </w:rPr>
    </w:lvl>
    <w:lvl w:ilvl="4">
      <w:start w:val="1"/>
      <w:numFmt w:val="decimal"/>
      <w:lvlText w:val="%1.%2.%3.%4.%5"/>
      <w:lvlJc w:val="left"/>
      <w:pPr>
        <w:ind w:left="4200" w:hanging="1080"/>
      </w:pPr>
      <w:rPr>
        <w:rFonts w:ascii="Arial" w:hAnsi="Arial" w:hint="default"/>
        <w:sz w:val="24"/>
      </w:rPr>
    </w:lvl>
    <w:lvl w:ilvl="5">
      <w:start w:val="1"/>
      <w:numFmt w:val="decimal"/>
      <w:lvlText w:val="%1.%2.%3.%4.%5.%6"/>
      <w:lvlJc w:val="left"/>
      <w:pPr>
        <w:ind w:left="4980" w:hanging="1080"/>
      </w:pPr>
      <w:rPr>
        <w:rFonts w:ascii="Arial" w:hAnsi="Arial" w:hint="default"/>
        <w:sz w:val="24"/>
      </w:rPr>
    </w:lvl>
    <w:lvl w:ilvl="6">
      <w:start w:val="1"/>
      <w:numFmt w:val="decimal"/>
      <w:lvlText w:val="%1.%2.%3.%4.%5.%6.%7"/>
      <w:lvlJc w:val="left"/>
      <w:pPr>
        <w:ind w:left="6120" w:hanging="1440"/>
      </w:pPr>
      <w:rPr>
        <w:rFonts w:ascii="Arial" w:hAnsi="Arial" w:hint="default"/>
        <w:sz w:val="24"/>
      </w:rPr>
    </w:lvl>
    <w:lvl w:ilvl="7">
      <w:start w:val="1"/>
      <w:numFmt w:val="decimal"/>
      <w:lvlText w:val="%1.%2.%3.%4.%5.%6.%7.%8"/>
      <w:lvlJc w:val="left"/>
      <w:pPr>
        <w:ind w:left="6900" w:hanging="1440"/>
      </w:pPr>
      <w:rPr>
        <w:rFonts w:ascii="Arial" w:hAnsi="Arial" w:hint="default"/>
        <w:sz w:val="24"/>
      </w:rPr>
    </w:lvl>
    <w:lvl w:ilvl="8">
      <w:start w:val="1"/>
      <w:numFmt w:val="decimal"/>
      <w:lvlText w:val="%1.%2.%3.%4.%5.%6.%7.%8.%9"/>
      <w:lvlJc w:val="left"/>
      <w:pPr>
        <w:ind w:left="7680" w:hanging="1440"/>
      </w:pPr>
      <w:rPr>
        <w:rFonts w:ascii="Arial" w:hAnsi="Arial" w:hint="default"/>
        <w:sz w:val="24"/>
      </w:rPr>
    </w:lvl>
  </w:abstractNum>
  <w:abstractNum w:abstractNumId="12">
    <w:nsid w:val="35937D0F"/>
    <w:multiLevelType w:val="multilevel"/>
    <w:tmpl w:val="E580DF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5B35B28"/>
    <w:multiLevelType w:val="multilevel"/>
    <w:tmpl w:val="8FD2E076"/>
    <w:lvl w:ilvl="0">
      <w:start w:val="2"/>
      <w:numFmt w:val="decimal"/>
      <w:lvlText w:val="%1."/>
      <w:lvlJc w:val="left"/>
      <w:pPr>
        <w:ind w:left="405" w:hanging="40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4">
    <w:nsid w:val="406935D1"/>
    <w:multiLevelType w:val="hybridMultilevel"/>
    <w:tmpl w:val="525E5FB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nsid w:val="4A2B1154"/>
    <w:multiLevelType w:val="hybridMultilevel"/>
    <w:tmpl w:val="719C05F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58894CFA"/>
    <w:multiLevelType w:val="hybridMultilevel"/>
    <w:tmpl w:val="CC7EA0EE"/>
    <w:lvl w:ilvl="0" w:tplc="83C6A440">
      <w:start w:val="1"/>
      <w:numFmt w:val="bullet"/>
      <w:lvlText w:val="-"/>
      <w:lvlJc w:val="left"/>
      <w:pPr>
        <w:ind w:left="788" w:hanging="360"/>
      </w:pPr>
      <w:rPr>
        <w:rFonts w:ascii="Arial" w:eastAsia="Calibri" w:hAnsi="Arial" w:cs="Arial" w:hint="default"/>
      </w:rPr>
    </w:lvl>
    <w:lvl w:ilvl="1" w:tplc="380A0003" w:tentative="1">
      <w:start w:val="1"/>
      <w:numFmt w:val="bullet"/>
      <w:lvlText w:val="o"/>
      <w:lvlJc w:val="left"/>
      <w:pPr>
        <w:ind w:left="1508" w:hanging="360"/>
      </w:pPr>
      <w:rPr>
        <w:rFonts w:ascii="Courier New" w:hAnsi="Courier New" w:cs="Courier New" w:hint="default"/>
      </w:rPr>
    </w:lvl>
    <w:lvl w:ilvl="2" w:tplc="380A0005" w:tentative="1">
      <w:start w:val="1"/>
      <w:numFmt w:val="bullet"/>
      <w:lvlText w:val=""/>
      <w:lvlJc w:val="left"/>
      <w:pPr>
        <w:ind w:left="2228" w:hanging="360"/>
      </w:pPr>
      <w:rPr>
        <w:rFonts w:ascii="Wingdings" w:hAnsi="Wingdings" w:hint="default"/>
      </w:rPr>
    </w:lvl>
    <w:lvl w:ilvl="3" w:tplc="380A0001" w:tentative="1">
      <w:start w:val="1"/>
      <w:numFmt w:val="bullet"/>
      <w:lvlText w:val=""/>
      <w:lvlJc w:val="left"/>
      <w:pPr>
        <w:ind w:left="2948" w:hanging="360"/>
      </w:pPr>
      <w:rPr>
        <w:rFonts w:ascii="Symbol" w:hAnsi="Symbol" w:hint="default"/>
      </w:rPr>
    </w:lvl>
    <w:lvl w:ilvl="4" w:tplc="380A0003" w:tentative="1">
      <w:start w:val="1"/>
      <w:numFmt w:val="bullet"/>
      <w:lvlText w:val="o"/>
      <w:lvlJc w:val="left"/>
      <w:pPr>
        <w:ind w:left="3668" w:hanging="360"/>
      </w:pPr>
      <w:rPr>
        <w:rFonts w:ascii="Courier New" w:hAnsi="Courier New" w:cs="Courier New" w:hint="default"/>
      </w:rPr>
    </w:lvl>
    <w:lvl w:ilvl="5" w:tplc="380A0005" w:tentative="1">
      <w:start w:val="1"/>
      <w:numFmt w:val="bullet"/>
      <w:lvlText w:val=""/>
      <w:lvlJc w:val="left"/>
      <w:pPr>
        <w:ind w:left="4388" w:hanging="360"/>
      </w:pPr>
      <w:rPr>
        <w:rFonts w:ascii="Wingdings" w:hAnsi="Wingdings" w:hint="default"/>
      </w:rPr>
    </w:lvl>
    <w:lvl w:ilvl="6" w:tplc="380A0001" w:tentative="1">
      <w:start w:val="1"/>
      <w:numFmt w:val="bullet"/>
      <w:lvlText w:val=""/>
      <w:lvlJc w:val="left"/>
      <w:pPr>
        <w:ind w:left="5108" w:hanging="360"/>
      </w:pPr>
      <w:rPr>
        <w:rFonts w:ascii="Symbol" w:hAnsi="Symbol" w:hint="default"/>
      </w:rPr>
    </w:lvl>
    <w:lvl w:ilvl="7" w:tplc="380A0003" w:tentative="1">
      <w:start w:val="1"/>
      <w:numFmt w:val="bullet"/>
      <w:lvlText w:val="o"/>
      <w:lvlJc w:val="left"/>
      <w:pPr>
        <w:ind w:left="5828" w:hanging="360"/>
      </w:pPr>
      <w:rPr>
        <w:rFonts w:ascii="Courier New" w:hAnsi="Courier New" w:cs="Courier New" w:hint="default"/>
      </w:rPr>
    </w:lvl>
    <w:lvl w:ilvl="8" w:tplc="380A0005" w:tentative="1">
      <w:start w:val="1"/>
      <w:numFmt w:val="bullet"/>
      <w:lvlText w:val=""/>
      <w:lvlJc w:val="left"/>
      <w:pPr>
        <w:ind w:left="6548" w:hanging="360"/>
      </w:pPr>
      <w:rPr>
        <w:rFonts w:ascii="Wingdings" w:hAnsi="Wingdings" w:hint="default"/>
      </w:rPr>
    </w:lvl>
  </w:abstractNum>
  <w:abstractNum w:abstractNumId="17">
    <w:nsid w:val="5A216446"/>
    <w:multiLevelType w:val="multilevel"/>
    <w:tmpl w:val="38E61A2A"/>
    <w:lvl w:ilvl="0">
      <w:start w:val="3"/>
      <w:numFmt w:val="decimal"/>
      <w:lvlText w:val="%1"/>
      <w:lvlJc w:val="left"/>
      <w:pPr>
        <w:ind w:left="720" w:hanging="720"/>
      </w:pPr>
      <w:rPr>
        <w:rFonts w:hint="default"/>
      </w:rPr>
    </w:lvl>
    <w:lvl w:ilvl="1">
      <w:start w:val="1"/>
      <w:numFmt w:val="decimal"/>
      <w:lvlText w:val="%1.%2"/>
      <w:lvlJc w:val="left"/>
      <w:pPr>
        <w:ind w:left="1316" w:hanging="720"/>
      </w:pPr>
      <w:rPr>
        <w:rFonts w:hint="default"/>
      </w:rPr>
    </w:lvl>
    <w:lvl w:ilvl="2">
      <w:start w:val="1"/>
      <w:numFmt w:val="decimal"/>
      <w:lvlText w:val="%1.%2.%3"/>
      <w:lvlJc w:val="left"/>
      <w:pPr>
        <w:ind w:left="2280" w:hanging="720"/>
      </w:pPr>
      <w:rPr>
        <w:rFonts w:hint="default"/>
      </w:rPr>
    </w:lvl>
    <w:lvl w:ilvl="3">
      <w:start w:val="2"/>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568" w:hanging="1800"/>
      </w:pPr>
      <w:rPr>
        <w:rFonts w:hint="default"/>
      </w:rPr>
    </w:lvl>
  </w:abstractNum>
  <w:abstractNum w:abstractNumId="18">
    <w:nsid w:val="630C043B"/>
    <w:multiLevelType w:val="multilevel"/>
    <w:tmpl w:val="D2628E4E"/>
    <w:lvl w:ilvl="0">
      <w:start w:val="2"/>
      <w:numFmt w:val="decimal"/>
      <w:lvlText w:val="%1"/>
      <w:lvlJc w:val="left"/>
      <w:pPr>
        <w:ind w:left="360" w:hanging="360"/>
      </w:pPr>
      <w:rPr>
        <w:rFonts w:ascii="Arial" w:hAnsi="Arial" w:hint="default"/>
        <w:sz w:val="24"/>
      </w:rPr>
    </w:lvl>
    <w:lvl w:ilvl="1">
      <w:start w:val="1"/>
      <w:numFmt w:val="decimal"/>
      <w:lvlText w:val="%1.%2"/>
      <w:lvlJc w:val="left"/>
      <w:pPr>
        <w:ind w:left="1140" w:hanging="360"/>
      </w:pPr>
      <w:rPr>
        <w:rFonts w:ascii="Arial" w:hAnsi="Arial" w:hint="default"/>
        <w:sz w:val="24"/>
      </w:rPr>
    </w:lvl>
    <w:lvl w:ilvl="2">
      <w:start w:val="1"/>
      <w:numFmt w:val="decimal"/>
      <w:lvlText w:val="%1.%2.%3"/>
      <w:lvlJc w:val="left"/>
      <w:pPr>
        <w:ind w:left="2280" w:hanging="720"/>
      </w:pPr>
      <w:rPr>
        <w:rFonts w:ascii="Arial" w:hAnsi="Arial" w:hint="default"/>
        <w:sz w:val="24"/>
      </w:rPr>
    </w:lvl>
    <w:lvl w:ilvl="3">
      <w:start w:val="1"/>
      <w:numFmt w:val="decimal"/>
      <w:lvlText w:val="%1.%2.%3.%4"/>
      <w:lvlJc w:val="left"/>
      <w:pPr>
        <w:ind w:left="3060" w:hanging="720"/>
      </w:pPr>
      <w:rPr>
        <w:rFonts w:ascii="Arial" w:hAnsi="Arial" w:hint="default"/>
        <w:sz w:val="24"/>
      </w:rPr>
    </w:lvl>
    <w:lvl w:ilvl="4">
      <w:start w:val="1"/>
      <w:numFmt w:val="decimal"/>
      <w:lvlText w:val="%1.%2.%3.%4.%5"/>
      <w:lvlJc w:val="left"/>
      <w:pPr>
        <w:ind w:left="4200" w:hanging="1080"/>
      </w:pPr>
      <w:rPr>
        <w:rFonts w:ascii="Arial" w:hAnsi="Arial" w:hint="default"/>
        <w:sz w:val="24"/>
      </w:rPr>
    </w:lvl>
    <w:lvl w:ilvl="5">
      <w:start w:val="1"/>
      <w:numFmt w:val="decimal"/>
      <w:lvlText w:val="%1.%2.%3.%4.%5.%6"/>
      <w:lvlJc w:val="left"/>
      <w:pPr>
        <w:ind w:left="4980" w:hanging="1080"/>
      </w:pPr>
      <w:rPr>
        <w:rFonts w:ascii="Arial" w:hAnsi="Arial" w:hint="default"/>
        <w:sz w:val="24"/>
      </w:rPr>
    </w:lvl>
    <w:lvl w:ilvl="6">
      <w:start w:val="1"/>
      <w:numFmt w:val="decimal"/>
      <w:lvlText w:val="%1.%2.%3.%4.%5.%6.%7"/>
      <w:lvlJc w:val="left"/>
      <w:pPr>
        <w:ind w:left="6120" w:hanging="1440"/>
      </w:pPr>
      <w:rPr>
        <w:rFonts w:ascii="Arial" w:hAnsi="Arial" w:hint="default"/>
        <w:sz w:val="24"/>
      </w:rPr>
    </w:lvl>
    <w:lvl w:ilvl="7">
      <w:start w:val="1"/>
      <w:numFmt w:val="decimal"/>
      <w:lvlText w:val="%1.%2.%3.%4.%5.%6.%7.%8"/>
      <w:lvlJc w:val="left"/>
      <w:pPr>
        <w:ind w:left="6900" w:hanging="1440"/>
      </w:pPr>
      <w:rPr>
        <w:rFonts w:ascii="Arial" w:hAnsi="Arial" w:hint="default"/>
        <w:sz w:val="24"/>
      </w:rPr>
    </w:lvl>
    <w:lvl w:ilvl="8">
      <w:start w:val="1"/>
      <w:numFmt w:val="decimal"/>
      <w:lvlText w:val="%1.%2.%3.%4.%5.%6.%7.%8.%9"/>
      <w:lvlJc w:val="left"/>
      <w:pPr>
        <w:ind w:left="7680" w:hanging="1440"/>
      </w:pPr>
      <w:rPr>
        <w:rFonts w:ascii="Arial" w:hAnsi="Arial" w:hint="default"/>
        <w:sz w:val="24"/>
      </w:rPr>
    </w:lvl>
  </w:abstractNum>
  <w:abstractNum w:abstractNumId="19">
    <w:nsid w:val="64667128"/>
    <w:multiLevelType w:val="multilevel"/>
    <w:tmpl w:val="959866F6"/>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8141963"/>
    <w:multiLevelType w:val="multilevel"/>
    <w:tmpl w:val="283CD0B6"/>
    <w:lvl w:ilvl="0">
      <w:start w:val="2"/>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1">
    <w:nsid w:val="6C5A0ECC"/>
    <w:multiLevelType w:val="hybridMultilevel"/>
    <w:tmpl w:val="210E9A78"/>
    <w:lvl w:ilvl="0" w:tplc="8F4850D0">
      <w:start w:val="1"/>
      <w:numFmt w:val="upperRoman"/>
      <w:lvlText w:val="%1-"/>
      <w:lvlJc w:val="left"/>
      <w:pPr>
        <w:ind w:left="1080" w:hanging="360"/>
      </w:pPr>
      <w:rPr>
        <w:rFonts w:ascii="Arial" w:eastAsia="Calibri" w:hAnsi="Arial" w:cs="Arial"/>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2">
    <w:nsid w:val="6CEC69DC"/>
    <w:multiLevelType w:val="hybridMultilevel"/>
    <w:tmpl w:val="EA62785E"/>
    <w:lvl w:ilvl="0" w:tplc="88EEB944">
      <w:start w:val="1"/>
      <w:numFmt w:val="bullet"/>
      <w:lvlText w:val="_"/>
      <w:lvlJc w:val="left"/>
      <w:pPr>
        <w:ind w:left="720" w:hanging="360"/>
      </w:pPr>
      <w:rPr>
        <w:rFonts w:ascii="Arial" w:eastAsia="Calibri" w:hAnsi="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6E016FE6"/>
    <w:multiLevelType w:val="hybridMultilevel"/>
    <w:tmpl w:val="23F27BCA"/>
    <w:lvl w:ilvl="0" w:tplc="380A0005">
      <w:start w:val="1"/>
      <w:numFmt w:val="bullet"/>
      <w:lvlText w:val=""/>
      <w:lvlJc w:val="left"/>
      <w:pPr>
        <w:ind w:left="1146" w:hanging="360"/>
      </w:pPr>
      <w:rPr>
        <w:rFonts w:ascii="Wingdings" w:hAnsi="Wingdings" w:hint="default"/>
      </w:rPr>
    </w:lvl>
    <w:lvl w:ilvl="1" w:tplc="380A0003" w:tentative="1">
      <w:start w:val="1"/>
      <w:numFmt w:val="bullet"/>
      <w:lvlText w:val="o"/>
      <w:lvlJc w:val="left"/>
      <w:pPr>
        <w:ind w:left="1866" w:hanging="360"/>
      </w:pPr>
      <w:rPr>
        <w:rFonts w:ascii="Courier New" w:hAnsi="Courier New" w:cs="Courier New" w:hint="default"/>
      </w:rPr>
    </w:lvl>
    <w:lvl w:ilvl="2" w:tplc="380A0005" w:tentative="1">
      <w:start w:val="1"/>
      <w:numFmt w:val="bullet"/>
      <w:lvlText w:val=""/>
      <w:lvlJc w:val="left"/>
      <w:pPr>
        <w:ind w:left="2586" w:hanging="360"/>
      </w:pPr>
      <w:rPr>
        <w:rFonts w:ascii="Wingdings" w:hAnsi="Wingdings" w:hint="default"/>
      </w:rPr>
    </w:lvl>
    <w:lvl w:ilvl="3" w:tplc="380A0001" w:tentative="1">
      <w:start w:val="1"/>
      <w:numFmt w:val="bullet"/>
      <w:lvlText w:val=""/>
      <w:lvlJc w:val="left"/>
      <w:pPr>
        <w:ind w:left="3306" w:hanging="360"/>
      </w:pPr>
      <w:rPr>
        <w:rFonts w:ascii="Symbol" w:hAnsi="Symbol" w:hint="default"/>
      </w:rPr>
    </w:lvl>
    <w:lvl w:ilvl="4" w:tplc="380A0003" w:tentative="1">
      <w:start w:val="1"/>
      <w:numFmt w:val="bullet"/>
      <w:lvlText w:val="o"/>
      <w:lvlJc w:val="left"/>
      <w:pPr>
        <w:ind w:left="4026" w:hanging="360"/>
      </w:pPr>
      <w:rPr>
        <w:rFonts w:ascii="Courier New" w:hAnsi="Courier New" w:cs="Courier New" w:hint="default"/>
      </w:rPr>
    </w:lvl>
    <w:lvl w:ilvl="5" w:tplc="380A0005" w:tentative="1">
      <w:start w:val="1"/>
      <w:numFmt w:val="bullet"/>
      <w:lvlText w:val=""/>
      <w:lvlJc w:val="left"/>
      <w:pPr>
        <w:ind w:left="4746" w:hanging="360"/>
      </w:pPr>
      <w:rPr>
        <w:rFonts w:ascii="Wingdings" w:hAnsi="Wingdings" w:hint="default"/>
      </w:rPr>
    </w:lvl>
    <w:lvl w:ilvl="6" w:tplc="380A0001" w:tentative="1">
      <w:start w:val="1"/>
      <w:numFmt w:val="bullet"/>
      <w:lvlText w:val=""/>
      <w:lvlJc w:val="left"/>
      <w:pPr>
        <w:ind w:left="5466" w:hanging="360"/>
      </w:pPr>
      <w:rPr>
        <w:rFonts w:ascii="Symbol" w:hAnsi="Symbol" w:hint="default"/>
      </w:rPr>
    </w:lvl>
    <w:lvl w:ilvl="7" w:tplc="380A0003" w:tentative="1">
      <w:start w:val="1"/>
      <w:numFmt w:val="bullet"/>
      <w:lvlText w:val="o"/>
      <w:lvlJc w:val="left"/>
      <w:pPr>
        <w:ind w:left="6186" w:hanging="360"/>
      </w:pPr>
      <w:rPr>
        <w:rFonts w:ascii="Courier New" w:hAnsi="Courier New" w:cs="Courier New" w:hint="default"/>
      </w:rPr>
    </w:lvl>
    <w:lvl w:ilvl="8" w:tplc="380A0005" w:tentative="1">
      <w:start w:val="1"/>
      <w:numFmt w:val="bullet"/>
      <w:lvlText w:val=""/>
      <w:lvlJc w:val="left"/>
      <w:pPr>
        <w:ind w:left="6906" w:hanging="360"/>
      </w:pPr>
      <w:rPr>
        <w:rFonts w:ascii="Wingdings" w:hAnsi="Wingdings" w:hint="default"/>
      </w:rPr>
    </w:lvl>
  </w:abstractNum>
  <w:abstractNum w:abstractNumId="24">
    <w:nsid w:val="6FEC0994"/>
    <w:multiLevelType w:val="hybridMultilevel"/>
    <w:tmpl w:val="4F4CACB2"/>
    <w:lvl w:ilvl="0" w:tplc="88EEB944">
      <w:start w:val="1"/>
      <w:numFmt w:val="bullet"/>
      <w:lvlText w:val="_"/>
      <w:lvlJc w:val="left"/>
      <w:pPr>
        <w:ind w:left="780" w:hanging="360"/>
      </w:pPr>
      <w:rPr>
        <w:rFonts w:ascii="Arial" w:eastAsia="Calibri" w:hAnsi="Arial" w:hint="default"/>
      </w:rPr>
    </w:lvl>
    <w:lvl w:ilvl="1" w:tplc="380A0003" w:tentative="1">
      <w:start w:val="1"/>
      <w:numFmt w:val="bullet"/>
      <w:lvlText w:val="o"/>
      <w:lvlJc w:val="left"/>
      <w:pPr>
        <w:ind w:left="1500" w:hanging="360"/>
      </w:pPr>
      <w:rPr>
        <w:rFonts w:ascii="Courier New" w:hAnsi="Courier New" w:cs="Courier New" w:hint="default"/>
      </w:rPr>
    </w:lvl>
    <w:lvl w:ilvl="2" w:tplc="380A0005" w:tentative="1">
      <w:start w:val="1"/>
      <w:numFmt w:val="bullet"/>
      <w:lvlText w:val=""/>
      <w:lvlJc w:val="left"/>
      <w:pPr>
        <w:ind w:left="2220" w:hanging="360"/>
      </w:pPr>
      <w:rPr>
        <w:rFonts w:ascii="Wingdings" w:hAnsi="Wingdings" w:hint="default"/>
      </w:rPr>
    </w:lvl>
    <w:lvl w:ilvl="3" w:tplc="380A0001" w:tentative="1">
      <w:start w:val="1"/>
      <w:numFmt w:val="bullet"/>
      <w:lvlText w:val=""/>
      <w:lvlJc w:val="left"/>
      <w:pPr>
        <w:ind w:left="2940" w:hanging="360"/>
      </w:pPr>
      <w:rPr>
        <w:rFonts w:ascii="Symbol" w:hAnsi="Symbol" w:hint="default"/>
      </w:rPr>
    </w:lvl>
    <w:lvl w:ilvl="4" w:tplc="380A0003" w:tentative="1">
      <w:start w:val="1"/>
      <w:numFmt w:val="bullet"/>
      <w:lvlText w:val="o"/>
      <w:lvlJc w:val="left"/>
      <w:pPr>
        <w:ind w:left="3660" w:hanging="360"/>
      </w:pPr>
      <w:rPr>
        <w:rFonts w:ascii="Courier New" w:hAnsi="Courier New" w:cs="Courier New" w:hint="default"/>
      </w:rPr>
    </w:lvl>
    <w:lvl w:ilvl="5" w:tplc="380A0005" w:tentative="1">
      <w:start w:val="1"/>
      <w:numFmt w:val="bullet"/>
      <w:lvlText w:val=""/>
      <w:lvlJc w:val="left"/>
      <w:pPr>
        <w:ind w:left="4380" w:hanging="360"/>
      </w:pPr>
      <w:rPr>
        <w:rFonts w:ascii="Wingdings" w:hAnsi="Wingdings" w:hint="default"/>
      </w:rPr>
    </w:lvl>
    <w:lvl w:ilvl="6" w:tplc="380A0001" w:tentative="1">
      <w:start w:val="1"/>
      <w:numFmt w:val="bullet"/>
      <w:lvlText w:val=""/>
      <w:lvlJc w:val="left"/>
      <w:pPr>
        <w:ind w:left="5100" w:hanging="360"/>
      </w:pPr>
      <w:rPr>
        <w:rFonts w:ascii="Symbol" w:hAnsi="Symbol" w:hint="default"/>
      </w:rPr>
    </w:lvl>
    <w:lvl w:ilvl="7" w:tplc="380A0003" w:tentative="1">
      <w:start w:val="1"/>
      <w:numFmt w:val="bullet"/>
      <w:lvlText w:val="o"/>
      <w:lvlJc w:val="left"/>
      <w:pPr>
        <w:ind w:left="5820" w:hanging="360"/>
      </w:pPr>
      <w:rPr>
        <w:rFonts w:ascii="Courier New" w:hAnsi="Courier New" w:cs="Courier New" w:hint="default"/>
      </w:rPr>
    </w:lvl>
    <w:lvl w:ilvl="8" w:tplc="380A0005" w:tentative="1">
      <w:start w:val="1"/>
      <w:numFmt w:val="bullet"/>
      <w:lvlText w:val=""/>
      <w:lvlJc w:val="left"/>
      <w:pPr>
        <w:ind w:left="6540" w:hanging="360"/>
      </w:pPr>
      <w:rPr>
        <w:rFonts w:ascii="Wingdings" w:hAnsi="Wingdings" w:hint="default"/>
      </w:rPr>
    </w:lvl>
  </w:abstractNum>
  <w:abstractNum w:abstractNumId="25">
    <w:nsid w:val="73473168"/>
    <w:multiLevelType w:val="hybridMultilevel"/>
    <w:tmpl w:val="0ECE7562"/>
    <w:lvl w:ilvl="0" w:tplc="719E5BA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6">
    <w:nsid w:val="75940C84"/>
    <w:multiLevelType w:val="multilevel"/>
    <w:tmpl w:val="9702CB94"/>
    <w:lvl w:ilvl="0">
      <w:start w:val="3"/>
      <w:numFmt w:val="decimal"/>
      <w:lvlText w:val="%1"/>
      <w:lvlJc w:val="left"/>
      <w:pPr>
        <w:ind w:left="720" w:hanging="720"/>
      </w:pPr>
      <w:rPr>
        <w:rFonts w:hint="default"/>
      </w:rPr>
    </w:lvl>
    <w:lvl w:ilvl="1">
      <w:start w:val="1"/>
      <w:numFmt w:val="decimal"/>
      <w:lvlText w:val="%1.%2"/>
      <w:lvlJc w:val="left"/>
      <w:pPr>
        <w:ind w:left="1240" w:hanging="720"/>
      </w:pPr>
      <w:rPr>
        <w:rFonts w:hint="default"/>
      </w:rPr>
    </w:lvl>
    <w:lvl w:ilvl="2">
      <w:start w:val="2"/>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27">
    <w:nsid w:val="77071082"/>
    <w:multiLevelType w:val="hybridMultilevel"/>
    <w:tmpl w:val="AEF0DC5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8134DA0"/>
    <w:multiLevelType w:val="hybridMultilevel"/>
    <w:tmpl w:val="F5601EE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9">
    <w:nsid w:val="7A5B5274"/>
    <w:multiLevelType w:val="hybridMultilevel"/>
    <w:tmpl w:val="C9D23466"/>
    <w:lvl w:ilvl="0" w:tplc="83C6A440">
      <w:start w:val="1"/>
      <w:numFmt w:val="bullet"/>
      <w:lvlText w:val="-"/>
      <w:lvlJc w:val="left"/>
      <w:pPr>
        <w:ind w:left="1440" w:hanging="360"/>
      </w:pPr>
      <w:rPr>
        <w:rFonts w:ascii="Arial" w:eastAsia="Calibri" w:hAnsi="Arial" w:cs="Aria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27"/>
  </w:num>
  <w:num w:numId="2">
    <w:abstractNumId w:val="2"/>
  </w:num>
  <w:num w:numId="3">
    <w:abstractNumId w:val="7"/>
  </w:num>
  <w:num w:numId="4">
    <w:abstractNumId w:val="28"/>
  </w:num>
  <w:num w:numId="5">
    <w:abstractNumId w:val="21"/>
  </w:num>
  <w:num w:numId="6">
    <w:abstractNumId w:val="20"/>
  </w:num>
  <w:num w:numId="7">
    <w:abstractNumId w:val="17"/>
  </w:num>
  <w:num w:numId="8">
    <w:abstractNumId w:val="26"/>
  </w:num>
  <w:num w:numId="9">
    <w:abstractNumId w:val="15"/>
  </w:num>
  <w:num w:numId="10">
    <w:abstractNumId w:val="14"/>
  </w:num>
  <w:num w:numId="11">
    <w:abstractNumId w:val="10"/>
  </w:num>
  <w:num w:numId="12">
    <w:abstractNumId w:val="4"/>
  </w:num>
  <w:num w:numId="13">
    <w:abstractNumId w:val="29"/>
  </w:num>
  <w:num w:numId="14">
    <w:abstractNumId w:val="3"/>
  </w:num>
  <w:num w:numId="15">
    <w:abstractNumId w:val="19"/>
  </w:num>
  <w:num w:numId="16">
    <w:abstractNumId w:val="12"/>
  </w:num>
  <w:num w:numId="17">
    <w:abstractNumId w:val="24"/>
  </w:num>
  <w:num w:numId="18">
    <w:abstractNumId w:val="16"/>
  </w:num>
  <w:num w:numId="19">
    <w:abstractNumId w:val="0"/>
  </w:num>
  <w:num w:numId="20">
    <w:abstractNumId w:val="22"/>
  </w:num>
  <w:num w:numId="21">
    <w:abstractNumId w:val="5"/>
  </w:num>
  <w:num w:numId="22">
    <w:abstractNumId w:val="25"/>
  </w:num>
  <w:num w:numId="23">
    <w:abstractNumId w:val="9"/>
  </w:num>
  <w:num w:numId="24">
    <w:abstractNumId w:val="11"/>
  </w:num>
  <w:num w:numId="25">
    <w:abstractNumId w:val="6"/>
  </w:num>
  <w:num w:numId="26">
    <w:abstractNumId w:val="13"/>
  </w:num>
  <w:num w:numId="27">
    <w:abstractNumId w:val="1"/>
  </w:num>
  <w:num w:numId="28">
    <w:abstractNumId w:val="23"/>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4B"/>
    <w:rsid w:val="00026358"/>
    <w:rsid w:val="00062A13"/>
    <w:rsid w:val="00081C3E"/>
    <w:rsid w:val="0008504E"/>
    <w:rsid w:val="000908E0"/>
    <w:rsid w:val="000A251D"/>
    <w:rsid w:val="000B3D69"/>
    <w:rsid w:val="000C73EF"/>
    <w:rsid w:val="000F1F50"/>
    <w:rsid w:val="000F227A"/>
    <w:rsid w:val="00101964"/>
    <w:rsid w:val="00105EFD"/>
    <w:rsid w:val="00114090"/>
    <w:rsid w:val="00126162"/>
    <w:rsid w:val="001357CD"/>
    <w:rsid w:val="00136D9B"/>
    <w:rsid w:val="0016364D"/>
    <w:rsid w:val="0017703D"/>
    <w:rsid w:val="00180D0A"/>
    <w:rsid w:val="00182617"/>
    <w:rsid w:val="001A174A"/>
    <w:rsid w:val="001C0847"/>
    <w:rsid w:val="001C0A2F"/>
    <w:rsid w:val="001C0E77"/>
    <w:rsid w:val="001D281A"/>
    <w:rsid w:val="001D7C04"/>
    <w:rsid w:val="001E320F"/>
    <w:rsid w:val="001E41D0"/>
    <w:rsid w:val="001E5B9D"/>
    <w:rsid w:val="001F28AB"/>
    <w:rsid w:val="0021016E"/>
    <w:rsid w:val="00211C78"/>
    <w:rsid w:val="00212182"/>
    <w:rsid w:val="002230CB"/>
    <w:rsid w:val="00226EDF"/>
    <w:rsid w:val="00235ABC"/>
    <w:rsid w:val="00245364"/>
    <w:rsid w:val="002728CA"/>
    <w:rsid w:val="0028020E"/>
    <w:rsid w:val="00285177"/>
    <w:rsid w:val="0028634B"/>
    <w:rsid w:val="002A2B5B"/>
    <w:rsid w:val="002B4A92"/>
    <w:rsid w:val="002C6ECA"/>
    <w:rsid w:val="002D7796"/>
    <w:rsid w:val="002E32FF"/>
    <w:rsid w:val="002F36A7"/>
    <w:rsid w:val="002F5336"/>
    <w:rsid w:val="00325DD1"/>
    <w:rsid w:val="00331296"/>
    <w:rsid w:val="003313B6"/>
    <w:rsid w:val="00332528"/>
    <w:rsid w:val="003332F2"/>
    <w:rsid w:val="00333C3F"/>
    <w:rsid w:val="00336197"/>
    <w:rsid w:val="00341918"/>
    <w:rsid w:val="003575E4"/>
    <w:rsid w:val="00367230"/>
    <w:rsid w:val="00374BA6"/>
    <w:rsid w:val="003866DE"/>
    <w:rsid w:val="003C6A7C"/>
    <w:rsid w:val="003D6E03"/>
    <w:rsid w:val="003E3681"/>
    <w:rsid w:val="0041025B"/>
    <w:rsid w:val="00443E2F"/>
    <w:rsid w:val="00452022"/>
    <w:rsid w:val="00452641"/>
    <w:rsid w:val="00453BC0"/>
    <w:rsid w:val="00466793"/>
    <w:rsid w:val="0046744B"/>
    <w:rsid w:val="00473FC8"/>
    <w:rsid w:val="004C11F9"/>
    <w:rsid w:val="004F49F1"/>
    <w:rsid w:val="004F7E21"/>
    <w:rsid w:val="00521161"/>
    <w:rsid w:val="00550D76"/>
    <w:rsid w:val="00554290"/>
    <w:rsid w:val="00571249"/>
    <w:rsid w:val="005831F1"/>
    <w:rsid w:val="00586334"/>
    <w:rsid w:val="0059127B"/>
    <w:rsid w:val="00591A49"/>
    <w:rsid w:val="005A7331"/>
    <w:rsid w:val="005A75B7"/>
    <w:rsid w:val="005C0F31"/>
    <w:rsid w:val="005C7B46"/>
    <w:rsid w:val="005D373E"/>
    <w:rsid w:val="005D6618"/>
    <w:rsid w:val="005E299F"/>
    <w:rsid w:val="005F6B0F"/>
    <w:rsid w:val="00602BB8"/>
    <w:rsid w:val="00612889"/>
    <w:rsid w:val="0061675E"/>
    <w:rsid w:val="00621628"/>
    <w:rsid w:val="0063006C"/>
    <w:rsid w:val="00632562"/>
    <w:rsid w:val="0064202C"/>
    <w:rsid w:val="00645295"/>
    <w:rsid w:val="00655E49"/>
    <w:rsid w:val="00670510"/>
    <w:rsid w:val="00672164"/>
    <w:rsid w:val="0068686C"/>
    <w:rsid w:val="006B3ECE"/>
    <w:rsid w:val="006D1C43"/>
    <w:rsid w:val="006D77E9"/>
    <w:rsid w:val="006F11B5"/>
    <w:rsid w:val="007023A9"/>
    <w:rsid w:val="00712605"/>
    <w:rsid w:val="00714EAB"/>
    <w:rsid w:val="007462E9"/>
    <w:rsid w:val="007507C0"/>
    <w:rsid w:val="007558F3"/>
    <w:rsid w:val="00757660"/>
    <w:rsid w:val="00765DFD"/>
    <w:rsid w:val="00772ED7"/>
    <w:rsid w:val="0078033E"/>
    <w:rsid w:val="007A3043"/>
    <w:rsid w:val="007D2260"/>
    <w:rsid w:val="007D60F8"/>
    <w:rsid w:val="007E0D7D"/>
    <w:rsid w:val="007F01E6"/>
    <w:rsid w:val="007F747F"/>
    <w:rsid w:val="00807056"/>
    <w:rsid w:val="00810756"/>
    <w:rsid w:val="00834686"/>
    <w:rsid w:val="00834B02"/>
    <w:rsid w:val="008361C2"/>
    <w:rsid w:val="00877EAA"/>
    <w:rsid w:val="00895648"/>
    <w:rsid w:val="008A4566"/>
    <w:rsid w:val="008D3EB6"/>
    <w:rsid w:val="008E5C10"/>
    <w:rsid w:val="008E79BC"/>
    <w:rsid w:val="00912A6B"/>
    <w:rsid w:val="009272B5"/>
    <w:rsid w:val="00934C16"/>
    <w:rsid w:val="00950602"/>
    <w:rsid w:val="009526D4"/>
    <w:rsid w:val="00963347"/>
    <w:rsid w:val="00963A14"/>
    <w:rsid w:val="009B596B"/>
    <w:rsid w:val="009B76E4"/>
    <w:rsid w:val="009F6A2E"/>
    <w:rsid w:val="00A01199"/>
    <w:rsid w:val="00A247C4"/>
    <w:rsid w:val="00A26573"/>
    <w:rsid w:val="00A3281E"/>
    <w:rsid w:val="00A35D64"/>
    <w:rsid w:val="00A44A62"/>
    <w:rsid w:val="00A6312A"/>
    <w:rsid w:val="00A63916"/>
    <w:rsid w:val="00A669C5"/>
    <w:rsid w:val="00A77051"/>
    <w:rsid w:val="00A77C34"/>
    <w:rsid w:val="00AA526E"/>
    <w:rsid w:val="00AA547C"/>
    <w:rsid w:val="00AB06BF"/>
    <w:rsid w:val="00AB3093"/>
    <w:rsid w:val="00AC5406"/>
    <w:rsid w:val="00AD4291"/>
    <w:rsid w:val="00AE256C"/>
    <w:rsid w:val="00B17A40"/>
    <w:rsid w:val="00B3346A"/>
    <w:rsid w:val="00B41E85"/>
    <w:rsid w:val="00B7337D"/>
    <w:rsid w:val="00B908C0"/>
    <w:rsid w:val="00B93C3C"/>
    <w:rsid w:val="00B97728"/>
    <w:rsid w:val="00BC10FA"/>
    <w:rsid w:val="00BC43FE"/>
    <w:rsid w:val="00BC50A9"/>
    <w:rsid w:val="00BD6833"/>
    <w:rsid w:val="00BD77F9"/>
    <w:rsid w:val="00BE3443"/>
    <w:rsid w:val="00C462AC"/>
    <w:rsid w:val="00C47CD1"/>
    <w:rsid w:val="00C51528"/>
    <w:rsid w:val="00C5348D"/>
    <w:rsid w:val="00C54266"/>
    <w:rsid w:val="00C67C8C"/>
    <w:rsid w:val="00C80E34"/>
    <w:rsid w:val="00C82F0B"/>
    <w:rsid w:val="00CD0B6C"/>
    <w:rsid w:val="00CE0B6C"/>
    <w:rsid w:val="00D15037"/>
    <w:rsid w:val="00D348B6"/>
    <w:rsid w:val="00D37B4B"/>
    <w:rsid w:val="00D4269B"/>
    <w:rsid w:val="00D55CFE"/>
    <w:rsid w:val="00D71EA6"/>
    <w:rsid w:val="00D7773E"/>
    <w:rsid w:val="00D9730E"/>
    <w:rsid w:val="00DA2ACF"/>
    <w:rsid w:val="00DA7500"/>
    <w:rsid w:val="00DB0EC1"/>
    <w:rsid w:val="00DE0F64"/>
    <w:rsid w:val="00DE779A"/>
    <w:rsid w:val="00DF16F3"/>
    <w:rsid w:val="00E00286"/>
    <w:rsid w:val="00E02954"/>
    <w:rsid w:val="00E05035"/>
    <w:rsid w:val="00E36932"/>
    <w:rsid w:val="00E54C91"/>
    <w:rsid w:val="00EA3060"/>
    <w:rsid w:val="00EC2042"/>
    <w:rsid w:val="00EE1494"/>
    <w:rsid w:val="00F12070"/>
    <w:rsid w:val="00F30269"/>
    <w:rsid w:val="00F33402"/>
    <w:rsid w:val="00F34A9A"/>
    <w:rsid w:val="00F62B52"/>
    <w:rsid w:val="00F67716"/>
    <w:rsid w:val="00F82228"/>
    <w:rsid w:val="00F96D71"/>
    <w:rsid w:val="00FA3ED9"/>
    <w:rsid w:val="00FB4A20"/>
    <w:rsid w:val="00FC25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4B"/>
    <w:pPr>
      <w:jc w:val="both"/>
    </w:pPr>
    <w:rPr>
      <w:rFonts w:ascii="Arial" w:eastAsia="Calibri" w:hAnsi="Arial" w:cs="Times New Roman"/>
      <w:sz w:val="24"/>
    </w:rPr>
  </w:style>
  <w:style w:type="paragraph" w:styleId="Ttulo1">
    <w:name w:val="heading 1"/>
    <w:basedOn w:val="Normal"/>
    <w:next w:val="Normal"/>
    <w:link w:val="Ttulo1Car"/>
    <w:uiPriority w:val="99"/>
    <w:qFormat/>
    <w:rsid w:val="0028634B"/>
    <w:pPr>
      <w:keepNext/>
      <w:keepLines/>
      <w:spacing w:before="480" w:after="0"/>
      <w:jc w:val="left"/>
      <w:outlineLvl w:val="0"/>
    </w:pPr>
    <w:rPr>
      <w:rFonts w:ascii="Cambria" w:eastAsia="Times New Roman" w:hAnsi="Cambria"/>
      <w:b/>
      <w:bCs/>
      <w:color w:val="365F91"/>
      <w:sz w:val="28"/>
      <w:szCs w:val="28"/>
      <w:lang w:eastAsia="es-UY"/>
    </w:rPr>
  </w:style>
  <w:style w:type="paragraph" w:styleId="Ttulo3">
    <w:name w:val="heading 3"/>
    <w:basedOn w:val="Normal"/>
    <w:next w:val="Normal"/>
    <w:link w:val="Ttulo3Car"/>
    <w:uiPriority w:val="9"/>
    <w:unhideWhenUsed/>
    <w:qFormat/>
    <w:rsid w:val="00EC2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634B"/>
    <w:rPr>
      <w:rFonts w:ascii="Cambria" w:eastAsia="Times New Roman" w:hAnsi="Cambria" w:cs="Times New Roman"/>
      <w:b/>
      <w:bCs/>
      <w:color w:val="365F91"/>
      <w:sz w:val="28"/>
      <w:szCs w:val="28"/>
      <w:lang w:eastAsia="es-UY"/>
    </w:rPr>
  </w:style>
  <w:style w:type="paragraph" w:styleId="Textoindependiente">
    <w:name w:val="Body Text"/>
    <w:basedOn w:val="Normal"/>
    <w:link w:val="TextoindependienteCar"/>
    <w:semiHidden/>
    <w:rsid w:val="0028634B"/>
    <w:pPr>
      <w:spacing w:after="0" w:line="240" w:lineRule="auto"/>
    </w:pPr>
    <w:rPr>
      <w:rFonts w:ascii="Times New Roman" w:eastAsia="Times New Roman" w:hAnsi="Times New Roman"/>
      <w:sz w:val="20"/>
      <w:szCs w:val="20"/>
      <w:lang w:eastAsia="es-ES"/>
    </w:rPr>
  </w:style>
  <w:style w:type="character" w:customStyle="1" w:styleId="TextoindependienteCar">
    <w:name w:val="Texto independiente Car"/>
    <w:basedOn w:val="Fuentedeprrafopredeter"/>
    <w:link w:val="Textoindependiente"/>
    <w:semiHidden/>
    <w:rsid w:val="0028634B"/>
    <w:rPr>
      <w:rFonts w:ascii="Times New Roman" w:eastAsia="Times New Roman" w:hAnsi="Times New Roman" w:cs="Times New Roman"/>
      <w:sz w:val="20"/>
      <w:szCs w:val="20"/>
      <w:lang w:eastAsia="es-ES"/>
    </w:rPr>
  </w:style>
  <w:style w:type="paragraph" w:customStyle="1" w:styleId="Sangradetindependiente">
    <w:name w:val="SangrÌa de t. independiente"/>
    <w:basedOn w:val="Normal"/>
    <w:rsid w:val="0028634B"/>
    <w:pPr>
      <w:tabs>
        <w:tab w:val="left" w:pos="860"/>
      </w:tabs>
      <w:spacing w:after="260" w:line="240" w:lineRule="auto"/>
    </w:pPr>
    <w:rPr>
      <w:rFonts w:ascii="Times" w:eastAsia="Times New Roman" w:hAnsi="Times"/>
      <w:sz w:val="22"/>
      <w:szCs w:val="20"/>
      <w:lang w:val="es-ES" w:eastAsia="es-ES"/>
    </w:rPr>
  </w:style>
  <w:style w:type="paragraph" w:customStyle="1" w:styleId="Textonormal">
    <w:name w:val="Texto normal"/>
    <w:basedOn w:val="Textoindependiente"/>
    <w:rsid w:val="0028634B"/>
    <w:pPr>
      <w:widowControl w:val="0"/>
      <w:tabs>
        <w:tab w:val="left" w:pos="-720"/>
      </w:tabs>
      <w:suppressAutoHyphens/>
      <w:spacing w:line="480" w:lineRule="auto"/>
    </w:pPr>
    <w:rPr>
      <w:rFonts w:ascii="Courier" w:hAnsi="Courier" w:cs="Courier"/>
      <w:spacing w:val="-3"/>
      <w:sz w:val="24"/>
      <w:szCs w:val="24"/>
      <w:lang w:val="es-ES_tradnl"/>
    </w:rPr>
  </w:style>
  <w:style w:type="paragraph" w:styleId="Textodeglobo">
    <w:name w:val="Balloon Text"/>
    <w:basedOn w:val="Normal"/>
    <w:link w:val="TextodegloboCar"/>
    <w:uiPriority w:val="99"/>
    <w:semiHidden/>
    <w:unhideWhenUsed/>
    <w:rsid w:val="00C67C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7C8C"/>
    <w:rPr>
      <w:rFonts w:ascii="Tahoma" w:eastAsia="Calibri" w:hAnsi="Tahoma" w:cs="Tahoma"/>
      <w:sz w:val="16"/>
      <w:szCs w:val="16"/>
    </w:rPr>
  </w:style>
  <w:style w:type="paragraph" w:styleId="Textoindependiente2">
    <w:name w:val="Body Text 2"/>
    <w:basedOn w:val="Normal"/>
    <w:link w:val="Textoindependiente2Car"/>
    <w:uiPriority w:val="99"/>
    <w:semiHidden/>
    <w:unhideWhenUsed/>
    <w:rsid w:val="00C47CD1"/>
    <w:pPr>
      <w:spacing w:after="120" w:line="480" w:lineRule="auto"/>
    </w:pPr>
  </w:style>
  <w:style w:type="character" w:customStyle="1" w:styleId="Textoindependiente2Car">
    <w:name w:val="Texto independiente 2 Car"/>
    <w:basedOn w:val="Fuentedeprrafopredeter"/>
    <w:link w:val="Textoindependiente2"/>
    <w:uiPriority w:val="99"/>
    <w:semiHidden/>
    <w:rsid w:val="00C47CD1"/>
    <w:rPr>
      <w:rFonts w:ascii="Arial" w:eastAsia="Calibri" w:hAnsi="Arial" w:cs="Times New Roman"/>
      <w:sz w:val="24"/>
    </w:rPr>
  </w:style>
  <w:style w:type="paragraph" w:styleId="Sangra3detindependiente">
    <w:name w:val="Body Text Indent 3"/>
    <w:basedOn w:val="Normal"/>
    <w:link w:val="Sangra3detindependienteCar"/>
    <w:uiPriority w:val="99"/>
    <w:unhideWhenUsed/>
    <w:rsid w:val="00C47C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47CD1"/>
    <w:rPr>
      <w:rFonts w:ascii="Arial" w:eastAsia="Calibri" w:hAnsi="Arial" w:cs="Times New Roman"/>
      <w:sz w:val="16"/>
      <w:szCs w:val="16"/>
    </w:rPr>
  </w:style>
  <w:style w:type="paragraph" w:styleId="Prrafodelista">
    <w:name w:val="List Paragraph"/>
    <w:basedOn w:val="Normal"/>
    <w:uiPriority w:val="34"/>
    <w:qFormat/>
    <w:rsid w:val="00C47CD1"/>
    <w:pPr>
      <w:ind w:left="720"/>
      <w:contextualSpacing/>
      <w:jc w:val="left"/>
    </w:pPr>
    <w:rPr>
      <w:rFonts w:ascii="Calibri" w:hAnsi="Calibri"/>
      <w:sz w:val="22"/>
    </w:rPr>
  </w:style>
  <w:style w:type="paragraph" w:styleId="Encabezado">
    <w:name w:val="header"/>
    <w:basedOn w:val="Normal"/>
    <w:link w:val="EncabezadoCar"/>
    <w:uiPriority w:val="99"/>
    <w:unhideWhenUsed/>
    <w:rsid w:val="00C47C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CD1"/>
    <w:rPr>
      <w:rFonts w:ascii="Arial" w:eastAsia="Calibri" w:hAnsi="Arial" w:cs="Times New Roman"/>
      <w:sz w:val="24"/>
    </w:rPr>
  </w:style>
  <w:style w:type="paragraph" w:styleId="Piedepgina">
    <w:name w:val="footer"/>
    <w:basedOn w:val="Normal"/>
    <w:link w:val="PiedepginaCar"/>
    <w:uiPriority w:val="99"/>
    <w:unhideWhenUsed/>
    <w:rsid w:val="00C47C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CD1"/>
    <w:rPr>
      <w:rFonts w:ascii="Arial" w:eastAsia="Calibri" w:hAnsi="Arial" w:cs="Times New Roman"/>
      <w:sz w:val="24"/>
    </w:rPr>
  </w:style>
  <w:style w:type="character" w:customStyle="1" w:styleId="Ttulo3Car">
    <w:name w:val="Título 3 Car"/>
    <w:basedOn w:val="Fuentedeprrafopredeter"/>
    <w:link w:val="Ttulo3"/>
    <w:uiPriority w:val="9"/>
    <w:rsid w:val="00EC2042"/>
    <w:rPr>
      <w:rFonts w:asciiTheme="majorHAnsi" w:eastAsiaTheme="majorEastAsia" w:hAnsiTheme="majorHAnsi" w:cstheme="majorBidi"/>
      <w:b/>
      <w:bCs/>
      <w:color w:val="4F81BD" w:themeColor="accent1"/>
      <w:sz w:val="24"/>
    </w:rPr>
  </w:style>
  <w:style w:type="character" w:customStyle="1" w:styleId="ogd">
    <w:name w:val="_ogd"/>
    <w:basedOn w:val="Fuentedeprrafopredeter"/>
    <w:rsid w:val="00EC2042"/>
  </w:style>
  <w:style w:type="character" w:styleId="Hipervnculo">
    <w:name w:val="Hyperlink"/>
    <w:basedOn w:val="Fuentedeprrafopredeter"/>
    <w:uiPriority w:val="99"/>
    <w:semiHidden/>
    <w:unhideWhenUsed/>
    <w:rsid w:val="00EC2042"/>
    <w:rPr>
      <w:color w:val="0000FF"/>
      <w:u w:val="single"/>
    </w:rPr>
  </w:style>
  <w:style w:type="character" w:customStyle="1" w:styleId="apple-converted-space">
    <w:name w:val="apple-converted-space"/>
    <w:basedOn w:val="Fuentedeprrafopredeter"/>
    <w:rsid w:val="00EC2042"/>
  </w:style>
  <w:style w:type="character" w:customStyle="1" w:styleId="zmsearchresult">
    <w:name w:val="zmsearchresult"/>
    <w:basedOn w:val="Fuentedeprrafopredeter"/>
    <w:rsid w:val="00934C16"/>
  </w:style>
  <w:style w:type="character" w:customStyle="1" w:styleId="object">
    <w:name w:val="object"/>
    <w:basedOn w:val="Fuentedeprrafopredeter"/>
    <w:rsid w:val="00934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4B"/>
    <w:pPr>
      <w:jc w:val="both"/>
    </w:pPr>
    <w:rPr>
      <w:rFonts w:ascii="Arial" w:eastAsia="Calibri" w:hAnsi="Arial" w:cs="Times New Roman"/>
      <w:sz w:val="24"/>
    </w:rPr>
  </w:style>
  <w:style w:type="paragraph" w:styleId="Ttulo1">
    <w:name w:val="heading 1"/>
    <w:basedOn w:val="Normal"/>
    <w:next w:val="Normal"/>
    <w:link w:val="Ttulo1Car"/>
    <w:uiPriority w:val="99"/>
    <w:qFormat/>
    <w:rsid w:val="0028634B"/>
    <w:pPr>
      <w:keepNext/>
      <w:keepLines/>
      <w:spacing w:before="480" w:after="0"/>
      <w:jc w:val="left"/>
      <w:outlineLvl w:val="0"/>
    </w:pPr>
    <w:rPr>
      <w:rFonts w:ascii="Cambria" w:eastAsia="Times New Roman" w:hAnsi="Cambria"/>
      <w:b/>
      <w:bCs/>
      <w:color w:val="365F91"/>
      <w:sz w:val="28"/>
      <w:szCs w:val="28"/>
      <w:lang w:eastAsia="es-UY"/>
    </w:rPr>
  </w:style>
  <w:style w:type="paragraph" w:styleId="Ttulo3">
    <w:name w:val="heading 3"/>
    <w:basedOn w:val="Normal"/>
    <w:next w:val="Normal"/>
    <w:link w:val="Ttulo3Car"/>
    <w:uiPriority w:val="9"/>
    <w:unhideWhenUsed/>
    <w:qFormat/>
    <w:rsid w:val="00EC2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634B"/>
    <w:rPr>
      <w:rFonts w:ascii="Cambria" w:eastAsia="Times New Roman" w:hAnsi="Cambria" w:cs="Times New Roman"/>
      <w:b/>
      <w:bCs/>
      <w:color w:val="365F91"/>
      <w:sz w:val="28"/>
      <w:szCs w:val="28"/>
      <w:lang w:eastAsia="es-UY"/>
    </w:rPr>
  </w:style>
  <w:style w:type="paragraph" w:styleId="Textoindependiente">
    <w:name w:val="Body Text"/>
    <w:basedOn w:val="Normal"/>
    <w:link w:val="TextoindependienteCar"/>
    <w:semiHidden/>
    <w:rsid w:val="0028634B"/>
    <w:pPr>
      <w:spacing w:after="0" w:line="240" w:lineRule="auto"/>
    </w:pPr>
    <w:rPr>
      <w:rFonts w:ascii="Times New Roman" w:eastAsia="Times New Roman" w:hAnsi="Times New Roman"/>
      <w:sz w:val="20"/>
      <w:szCs w:val="20"/>
      <w:lang w:eastAsia="es-ES"/>
    </w:rPr>
  </w:style>
  <w:style w:type="character" w:customStyle="1" w:styleId="TextoindependienteCar">
    <w:name w:val="Texto independiente Car"/>
    <w:basedOn w:val="Fuentedeprrafopredeter"/>
    <w:link w:val="Textoindependiente"/>
    <w:semiHidden/>
    <w:rsid w:val="0028634B"/>
    <w:rPr>
      <w:rFonts w:ascii="Times New Roman" w:eastAsia="Times New Roman" w:hAnsi="Times New Roman" w:cs="Times New Roman"/>
      <w:sz w:val="20"/>
      <w:szCs w:val="20"/>
      <w:lang w:eastAsia="es-ES"/>
    </w:rPr>
  </w:style>
  <w:style w:type="paragraph" w:customStyle="1" w:styleId="Sangradetindependiente">
    <w:name w:val="SangrÌa de t. independiente"/>
    <w:basedOn w:val="Normal"/>
    <w:rsid w:val="0028634B"/>
    <w:pPr>
      <w:tabs>
        <w:tab w:val="left" w:pos="860"/>
      </w:tabs>
      <w:spacing w:after="260" w:line="240" w:lineRule="auto"/>
    </w:pPr>
    <w:rPr>
      <w:rFonts w:ascii="Times" w:eastAsia="Times New Roman" w:hAnsi="Times"/>
      <w:sz w:val="22"/>
      <w:szCs w:val="20"/>
      <w:lang w:val="es-ES" w:eastAsia="es-ES"/>
    </w:rPr>
  </w:style>
  <w:style w:type="paragraph" w:customStyle="1" w:styleId="Textonormal">
    <w:name w:val="Texto normal"/>
    <w:basedOn w:val="Textoindependiente"/>
    <w:rsid w:val="0028634B"/>
    <w:pPr>
      <w:widowControl w:val="0"/>
      <w:tabs>
        <w:tab w:val="left" w:pos="-720"/>
      </w:tabs>
      <w:suppressAutoHyphens/>
      <w:spacing w:line="480" w:lineRule="auto"/>
    </w:pPr>
    <w:rPr>
      <w:rFonts w:ascii="Courier" w:hAnsi="Courier" w:cs="Courier"/>
      <w:spacing w:val="-3"/>
      <w:sz w:val="24"/>
      <w:szCs w:val="24"/>
      <w:lang w:val="es-ES_tradnl"/>
    </w:rPr>
  </w:style>
  <w:style w:type="paragraph" w:styleId="Textodeglobo">
    <w:name w:val="Balloon Text"/>
    <w:basedOn w:val="Normal"/>
    <w:link w:val="TextodegloboCar"/>
    <w:uiPriority w:val="99"/>
    <w:semiHidden/>
    <w:unhideWhenUsed/>
    <w:rsid w:val="00C67C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7C8C"/>
    <w:rPr>
      <w:rFonts w:ascii="Tahoma" w:eastAsia="Calibri" w:hAnsi="Tahoma" w:cs="Tahoma"/>
      <w:sz w:val="16"/>
      <w:szCs w:val="16"/>
    </w:rPr>
  </w:style>
  <w:style w:type="paragraph" w:styleId="Textoindependiente2">
    <w:name w:val="Body Text 2"/>
    <w:basedOn w:val="Normal"/>
    <w:link w:val="Textoindependiente2Car"/>
    <w:uiPriority w:val="99"/>
    <w:semiHidden/>
    <w:unhideWhenUsed/>
    <w:rsid w:val="00C47CD1"/>
    <w:pPr>
      <w:spacing w:after="120" w:line="480" w:lineRule="auto"/>
    </w:pPr>
  </w:style>
  <w:style w:type="character" w:customStyle="1" w:styleId="Textoindependiente2Car">
    <w:name w:val="Texto independiente 2 Car"/>
    <w:basedOn w:val="Fuentedeprrafopredeter"/>
    <w:link w:val="Textoindependiente2"/>
    <w:uiPriority w:val="99"/>
    <w:semiHidden/>
    <w:rsid w:val="00C47CD1"/>
    <w:rPr>
      <w:rFonts w:ascii="Arial" w:eastAsia="Calibri" w:hAnsi="Arial" w:cs="Times New Roman"/>
      <w:sz w:val="24"/>
    </w:rPr>
  </w:style>
  <w:style w:type="paragraph" w:styleId="Sangra3detindependiente">
    <w:name w:val="Body Text Indent 3"/>
    <w:basedOn w:val="Normal"/>
    <w:link w:val="Sangra3detindependienteCar"/>
    <w:uiPriority w:val="99"/>
    <w:unhideWhenUsed/>
    <w:rsid w:val="00C47C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47CD1"/>
    <w:rPr>
      <w:rFonts w:ascii="Arial" w:eastAsia="Calibri" w:hAnsi="Arial" w:cs="Times New Roman"/>
      <w:sz w:val="16"/>
      <w:szCs w:val="16"/>
    </w:rPr>
  </w:style>
  <w:style w:type="paragraph" w:styleId="Prrafodelista">
    <w:name w:val="List Paragraph"/>
    <w:basedOn w:val="Normal"/>
    <w:uiPriority w:val="34"/>
    <w:qFormat/>
    <w:rsid w:val="00C47CD1"/>
    <w:pPr>
      <w:ind w:left="720"/>
      <w:contextualSpacing/>
      <w:jc w:val="left"/>
    </w:pPr>
    <w:rPr>
      <w:rFonts w:ascii="Calibri" w:hAnsi="Calibri"/>
      <w:sz w:val="22"/>
    </w:rPr>
  </w:style>
  <w:style w:type="paragraph" w:styleId="Encabezado">
    <w:name w:val="header"/>
    <w:basedOn w:val="Normal"/>
    <w:link w:val="EncabezadoCar"/>
    <w:uiPriority w:val="99"/>
    <w:unhideWhenUsed/>
    <w:rsid w:val="00C47C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CD1"/>
    <w:rPr>
      <w:rFonts w:ascii="Arial" w:eastAsia="Calibri" w:hAnsi="Arial" w:cs="Times New Roman"/>
      <w:sz w:val="24"/>
    </w:rPr>
  </w:style>
  <w:style w:type="paragraph" w:styleId="Piedepgina">
    <w:name w:val="footer"/>
    <w:basedOn w:val="Normal"/>
    <w:link w:val="PiedepginaCar"/>
    <w:uiPriority w:val="99"/>
    <w:unhideWhenUsed/>
    <w:rsid w:val="00C47C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CD1"/>
    <w:rPr>
      <w:rFonts w:ascii="Arial" w:eastAsia="Calibri" w:hAnsi="Arial" w:cs="Times New Roman"/>
      <w:sz w:val="24"/>
    </w:rPr>
  </w:style>
  <w:style w:type="character" w:customStyle="1" w:styleId="Ttulo3Car">
    <w:name w:val="Título 3 Car"/>
    <w:basedOn w:val="Fuentedeprrafopredeter"/>
    <w:link w:val="Ttulo3"/>
    <w:uiPriority w:val="9"/>
    <w:rsid w:val="00EC2042"/>
    <w:rPr>
      <w:rFonts w:asciiTheme="majorHAnsi" w:eastAsiaTheme="majorEastAsia" w:hAnsiTheme="majorHAnsi" w:cstheme="majorBidi"/>
      <w:b/>
      <w:bCs/>
      <w:color w:val="4F81BD" w:themeColor="accent1"/>
      <w:sz w:val="24"/>
    </w:rPr>
  </w:style>
  <w:style w:type="character" w:customStyle="1" w:styleId="ogd">
    <w:name w:val="_ogd"/>
    <w:basedOn w:val="Fuentedeprrafopredeter"/>
    <w:rsid w:val="00EC2042"/>
  </w:style>
  <w:style w:type="character" w:styleId="Hipervnculo">
    <w:name w:val="Hyperlink"/>
    <w:basedOn w:val="Fuentedeprrafopredeter"/>
    <w:uiPriority w:val="99"/>
    <w:semiHidden/>
    <w:unhideWhenUsed/>
    <w:rsid w:val="00EC2042"/>
    <w:rPr>
      <w:color w:val="0000FF"/>
      <w:u w:val="single"/>
    </w:rPr>
  </w:style>
  <w:style w:type="character" w:customStyle="1" w:styleId="apple-converted-space">
    <w:name w:val="apple-converted-space"/>
    <w:basedOn w:val="Fuentedeprrafopredeter"/>
    <w:rsid w:val="00EC2042"/>
  </w:style>
  <w:style w:type="character" w:customStyle="1" w:styleId="zmsearchresult">
    <w:name w:val="zmsearchresult"/>
    <w:basedOn w:val="Fuentedeprrafopredeter"/>
    <w:rsid w:val="00934C16"/>
  </w:style>
  <w:style w:type="character" w:customStyle="1" w:styleId="object">
    <w:name w:val="object"/>
    <w:basedOn w:val="Fuentedeprrafopredeter"/>
    <w:rsid w:val="0093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7051">
      <w:bodyDiv w:val="1"/>
      <w:marLeft w:val="0"/>
      <w:marRight w:val="0"/>
      <w:marTop w:val="0"/>
      <w:marBottom w:val="0"/>
      <w:divBdr>
        <w:top w:val="none" w:sz="0" w:space="0" w:color="auto"/>
        <w:left w:val="none" w:sz="0" w:space="0" w:color="auto"/>
        <w:bottom w:val="none" w:sz="0" w:space="0" w:color="auto"/>
        <w:right w:val="none" w:sz="0" w:space="0" w:color="auto"/>
      </w:divBdr>
    </w:div>
    <w:div w:id="917128023">
      <w:bodyDiv w:val="1"/>
      <w:marLeft w:val="0"/>
      <w:marRight w:val="0"/>
      <w:marTop w:val="0"/>
      <w:marBottom w:val="0"/>
      <w:divBdr>
        <w:top w:val="none" w:sz="0" w:space="0" w:color="auto"/>
        <w:left w:val="none" w:sz="0" w:space="0" w:color="auto"/>
        <w:bottom w:val="none" w:sz="0" w:space="0" w:color="auto"/>
        <w:right w:val="none" w:sz="0" w:space="0" w:color="auto"/>
      </w:divBdr>
    </w:div>
    <w:div w:id="174922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C98D-96EA-448A-8A42-5D0F100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5523</Words>
  <Characters>30382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Auditoria TCR</dc:creator>
  <cp:lastModifiedBy> </cp:lastModifiedBy>
  <cp:revision>4</cp:revision>
  <cp:lastPrinted>2016-11-29T17:30:00Z</cp:lastPrinted>
  <dcterms:created xsi:type="dcterms:W3CDTF">2016-12-02T13:23:00Z</dcterms:created>
  <dcterms:modified xsi:type="dcterms:W3CDTF">2017-05-26T18:32:00Z</dcterms:modified>
</cp:coreProperties>
</file>