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8E" w:rsidRPr="00FC2F8E" w:rsidRDefault="00FC2F8E" w:rsidP="00FC2F8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FC2F8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AF1F9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1363</w:t>
      </w:r>
      <w:r w:rsidRPr="00FC2F8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FC2F8E" w:rsidRPr="00FC2F8E" w:rsidRDefault="00FC2F8E" w:rsidP="00FC2F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FC2F8E" w:rsidRPr="00FC2F8E" w:rsidRDefault="00FC2F8E" w:rsidP="00FC2F8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FC2F8E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RESOLUCION ADOPTADA POR EL</w:t>
      </w:r>
    </w:p>
    <w:p w:rsidR="00FC2F8E" w:rsidRPr="00FC2F8E" w:rsidRDefault="00FC2F8E" w:rsidP="00FC2F8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FC2F8E" w:rsidRPr="00FC2F8E" w:rsidRDefault="00FC2F8E" w:rsidP="00FC2F8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FC2F8E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TRIBUNAL DE CUENTAS</w:t>
      </w:r>
    </w:p>
    <w:p w:rsidR="00FC2F8E" w:rsidRPr="00FC2F8E" w:rsidRDefault="00FC2F8E" w:rsidP="00FC2F8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FC2F8E" w:rsidRPr="00FC2F8E" w:rsidRDefault="00FC2F8E" w:rsidP="00FC2F8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FC2F8E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EN SESION DE FECHA 4 DE MAYO DE 2017</w:t>
      </w:r>
    </w:p>
    <w:p w:rsidR="00FC2F8E" w:rsidRPr="00FC2F8E" w:rsidRDefault="00FC2F8E" w:rsidP="00FC2F8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FC2F8E" w:rsidRPr="00FC2F8E" w:rsidRDefault="00FC2F8E" w:rsidP="00FC2F8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eastAsia="es-ES"/>
        </w:rPr>
      </w:pPr>
      <w:r w:rsidRPr="00FC2F8E">
        <w:rPr>
          <w:rFonts w:ascii="Helvetica" w:eastAsia="Times New Roman" w:hAnsi="Helvetica" w:cs="Times New Roman"/>
          <w:b/>
          <w:sz w:val="24"/>
          <w:szCs w:val="20"/>
          <w:lang w:eastAsia="es-ES"/>
        </w:rPr>
        <w:t>(E. E. Nº 201</w:t>
      </w:r>
      <w:r>
        <w:rPr>
          <w:rFonts w:ascii="Helvetica" w:eastAsia="Times New Roman" w:hAnsi="Helvetica" w:cs="Times New Roman"/>
          <w:b/>
          <w:sz w:val="24"/>
          <w:szCs w:val="20"/>
          <w:lang w:eastAsia="es-ES"/>
        </w:rPr>
        <w:t>6</w:t>
      </w:r>
      <w:r w:rsidRPr="00FC2F8E">
        <w:rPr>
          <w:rFonts w:ascii="Helvetica" w:eastAsia="Times New Roman" w:hAnsi="Helvetica" w:cs="Times New Roman"/>
          <w:b/>
          <w:sz w:val="24"/>
          <w:szCs w:val="20"/>
          <w:lang w:eastAsia="es-ES"/>
        </w:rPr>
        <w:t>-17-1-000</w:t>
      </w:r>
      <w:r>
        <w:rPr>
          <w:rFonts w:ascii="Helvetica" w:eastAsia="Times New Roman" w:hAnsi="Helvetica" w:cs="Times New Roman"/>
          <w:b/>
          <w:sz w:val="24"/>
          <w:szCs w:val="20"/>
          <w:lang w:eastAsia="es-ES"/>
        </w:rPr>
        <w:t>8736</w:t>
      </w:r>
      <w:r w:rsidRPr="00FC2F8E">
        <w:rPr>
          <w:rFonts w:ascii="Helvetica" w:eastAsia="Times New Roman" w:hAnsi="Helvetica" w:cs="Times New Roman"/>
          <w:b/>
          <w:sz w:val="24"/>
          <w:szCs w:val="20"/>
          <w:lang w:eastAsia="es-ES"/>
        </w:rPr>
        <w:t xml:space="preserve">, </w:t>
      </w:r>
      <w:proofErr w:type="spellStart"/>
      <w:r w:rsidRPr="00FC2F8E">
        <w:rPr>
          <w:rFonts w:ascii="Helvetica" w:eastAsia="Times New Roman" w:hAnsi="Helvetica" w:cs="Times New Roman"/>
          <w:b/>
          <w:sz w:val="24"/>
          <w:szCs w:val="20"/>
          <w:lang w:eastAsia="es-ES"/>
        </w:rPr>
        <w:t>Ent</w:t>
      </w:r>
      <w:proofErr w:type="spellEnd"/>
      <w:r w:rsidRPr="00FC2F8E">
        <w:rPr>
          <w:rFonts w:ascii="Helvetica" w:eastAsia="Times New Roman" w:hAnsi="Helvetica" w:cs="Times New Roman"/>
          <w:b/>
          <w:sz w:val="24"/>
          <w:szCs w:val="20"/>
          <w:lang w:eastAsia="es-ES"/>
        </w:rPr>
        <w:t>. N° 1</w:t>
      </w:r>
      <w:r>
        <w:rPr>
          <w:rFonts w:ascii="Helvetica" w:eastAsia="Times New Roman" w:hAnsi="Helvetica" w:cs="Times New Roman"/>
          <w:b/>
          <w:sz w:val="24"/>
          <w:szCs w:val="20"/>
          <w:lang w:eastAsia="es-ES"/>
        </w:rPr>
        <w:t>801</w:t>
      </w:r>
      <w:r w:rsidRPr="00FC2F8E">
        <w:rPr>
          <w:rFonts w:ascii="Helvetica" w:eastAsia="Times New Roman" w:hAnsi="Helvetica" w:cs="Times New Roman"/>
          <w:b/>
          <w:sz w:val="24"/>
          <w:szCs w:val="20"/>
          <w:lang w:eastAsia="es-ES"/>
        </w:rPr>
        <w:t>/17)</w:t>
      </w:r>
    </w:p>
    <w:p w:rsidR="00FC2F8E" w:rsidRDefault="00FC2F8E">
      <w:pPr>
        <w:rPr>
          <w:rFonts w:ascii="Arial" w:hAnsi="Arial" w:cs="Arial"/>
          <w:b/>
          <w:sz w:val="24"/>
          <w:szCs w:val="24"/>
          <w:lang w:val="es-ES"/>
        </w:rPr>
      </w:pPr>
    </w:p>
    <w:p w:rsidR="006F3724" w:rsidRPr="00993ADC" w:rsidRDefault="006F3724" w:rsidP="00A151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993ADC">
        <w:rPr>
          <w:rFonts w:ascii="Arial" w:hAnsi="Arial" w:cs="Arial"/>
          <w:b/>
          <w:sz w:val="24"/>
          <w:szCs w:val="24"/>
          <w:lang w:val="es-ES"/>
        </w:rPr>
        <w:t>VISTO: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 </w:t>
      </w:r>
      <w:r w:rsidR="00BE0C9E">
        <w:rPr>
          <w:rFonts w:ascii="Arial" w:hAnsi="Arial" w:cs="Arial"/>
          <w:sz w:val="24"/>
          <w:szCs w:val="24"/>
          <w:lang w:val="es-ES"/>
        </w:rPr>
        <w:t>l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as actuaciones remitidas por la </w:t>
      </w:r>
      <w:r w:rsidR="00812AF2" w:rsidRPr="00993ADC">
        <w:rPr>
          <w:rFonts w:ascii="Arial" w:hAnsi="Arial" w:cs="Arial"/>
          <w:sz w:val="24"/>
          <w:szCs w:val="24"/>
          <w:lang w:val="es-ES"/>
        </w:rPr>
        <w:t>Administración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 Nacional de </w:t>
      </w:r>
      <w:r w:rsidR="00812AF2" w:rsidRPr="00993ADC">
        <w:rPr>
          <w:rFonts w:ascii="Arial" w:hAnsi="Arial" w:cs="Arial"/>
          <w:sz w:val="24"/>
          <w:szCs w:val="24"/>
          <w:lang w:val="es-ES"/>
        </w:rPr>
        <w:t>Educación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 Publica (Consejo de </w:t>
      </w:r>
      <w:r w:rsidR="00812AF2" w:rsidRPr="00993ADC">
        <w:rPr>
          <w:rFonts w:ascii="Arial" w:hAnsi="Arial" w:cs="Arial"/>
          <w:sz w:val="24"/>
          <w:szCs w:val="24"/>
          <w:lang w:val="es-ES"/>
        </w:rPr>
        <w:t>Educación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 Secundaria) relacionadas con la</w:t>
      </w:r>
      <w:r w:rsidR="00E85ECA" w:rsidRPr="00993ADC">
        <w:rPr>
          <w:rFonts w:ascii="Arial" w:hAnsi="Arial" w:cs="Arial"/>
          <w:sz w:val="24"/>
          <w:szCs w:val="24"/>
          <w:lang w:val="es-ES"/>
        </w:rPr>
        <w:t xml:space="preserve"> reiteración de la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 ampliación de la </w:t>
      </w:r>
      <w:r w:rsidR="00812AF2" w:rsidRPr="00993ADC">
        <w:rPr>
          <w:rFonts w:ascii="Arial" w:hAnsi="Arial" w:cs="Arial"/>
          <w:sz w:val="24"/>
          <w:szCs w:val="24"/>
          <w:lang w:val="es-ES"/>
        </w:rPr>
        <w:t>Licitación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 Publica Nº 19/11 para la  contratación de empresas de limpieza para locales educativos de Montevideo, área Metropolitana (Canelones y San </w:t>
      </w:r>
      <w:r w:rsidR="00812AF2" w:rsidRPr="00993ADC">
        <w:rPr>
          <w:rFonts w:ascii="Arial" w:hAnsi="Arial" w:cs="Arial"/>
          <w:sz w:val="24"/>
          <w:szCs w:val="24"/>
          <w:lang w:val="es-ES"/>
        </w:rPr>
        <w:t>José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); </w:t>
      </w:r>
    </w:p>
    <w:p w:rsidR="00516345" w:rsidRPr="00993ADC" w:rsidRDefault="00516345" w:rsidP="00A151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3ADC">
        <w:rPr>
          <w:rFonts w:ascii="Arial" w:hAnsi="Arial" w:cs="Arial"/>
          <w:b/>
          <w:sz w:val="24"/>
          <w:szCs w:val="24"/>
          <w:lang w:val="es-ES"/>
        </w:rPr>
        <w:t>RESULTANDO: 1)</w:t>
      </w:r>
      <w:r w:rsidRPr="00993ADC">
        <w:rPr>
          <w:rFonts w:ascii="Arial" w:hAnsi="Arial" w:cs="Arial"/>
          <w:sz w:val="24"/>
          <w:szCs w:val="24"/>
          <w:lang w:val="es-ES"/>
        </w:rPr>
        <w:t xml:space="preserve"> </w:t>
      </w:r>
      <w:r w:rsidR="00BE0C9E">
        <w:rPr>
          <w:rFonts w:ascii="Arial" w:hAnsi="Arial" w:cs="Arial"/>
          <w:sz w:val="24"/>
          <w:szCs w:val="24"/>
          <w:lang w:val="es-ES"/>
        </w:rPr>
        <w:t>que c</w:t>
      </w:r>
      <w:proofErr w:type="spellStart"/>
      <w:r w:rsidRPr="00993ADC">
        <w:rPr>
          <w:rFonts w:ascii="Arial" w:hAnsi="Arial" w:cs="Arial"/>
          <w:sz w:val="24"/>
          <w:szCs w:val="24"/>
        </w:rPr>
        <w:t>on</w:t>
      </w:r>
      <w:proofErr w:type="spellEnd"/>
      <w:r w:rsidRPr="00993ADC">
        <w:rPr>
          <w:rFonts w:ascii="Arial" w:hAnsi="Arial" w:cs="Arial"/>
          <w:sz w:val="24"/>
          <w:szCs w:val="24"/>
        </w:rPr>
        <w:t xml:space="preserve"> fecha 18.1.12, e</w:t>
      </w:r>
      <w:r w:rsidRPr="00993ADC">
        <w:rPr>
          <w:rFonts w:ascii="Arial" w:hAnsi="Arial" w:cs="Arial"/>
          <w:bCs/>
          <w:sz w:val="24"/>
          <w:szCs w:val="24"/>
        </w:rPr>
        <w:t xml:space="preserve">l </w:t>
      </w:r>
      <w:r w:rsidRPr="00993ADC">
        <w:rPr>
          <w:rFonts w:ascii="Arial" w:hAnsi="Arial" w:cs="Arial"/>
          <w:sz w:val="24"/>
          <w:szCs w:val="24"/>
        </w:rPr>
        <w:t xml:space="preserve">Consejo Directivo Central dispuso adjudicar a  las siguientes empresas: Jorge Rebollo,  La Casa de la Mujer, Frederick SRL, </w:t>
      </w:r>
      <w:proofErr w:type="spellStart"/>
      <w:r w:rsidRPr="00993ADC">
        <w:rPr>
          <w:rFonts w:ascii="Arial" w:hAnsi="Arial" w:cs="Arial"/>
          <w:sz w:val="24"/>
          <w:szCs w:val="24"/>
        </w:rPr>
        <w:t>Negur</w:t>
      </w:r>
      <w:proofErr w:type="spellEnd"/>
      <w:r w:rsidRPr="00993ADC">
        <w:rPr>
          <w:rFonts w:ascii="Arial" w:hAnsi="Arial" w:cs="Arial"/>
          <w:sz w:val="24"/>
          <w:szCs w:val="24"/>
        </w:rPr>
        <w:t xml:space="preserve"> SA, </w:t>
      </w:r>
      <w:proofErr w:type="spellStart"/>
      <w:r w:rsidRPr="00993ADC">
        <w:rPr>
          <w:rFonts w:ascii="Arial" w:hAnsi="Arial" w:cs="Arial"/>
          <w:sz w:val="24"/>
          <w:szCs w:val="24"/>
        </w:rPr>
        <w:t>Ac</w:t>
      </w:r>
      <w:r w:rsidR="002E52D9" w:rsidRPr="00993ADC">
        <w:rPr>
          <w:rFonts w:ascii="Arial" w:hAnsi="Arial" w:cs="Arial"/>
          <w:sz w:val="24"/>
          <w:szCs w:val="24"/>
        </w:rPr>
        <w:t>q</w:t>
      </w:r>
      <w:r w:rsidRPr="00993ADC">
        <w:rPr>
          <w:rFonts w:ascii="Arial" w:hAnsi="Arial" w:cs="Arial"/>
          <w:sz w:val="24"/>
          <w:szCs w:val="24"/>
        </w:rPr>
        <w:t>u</w:t>
      </w:r>
      <w:r w:rsidR="002E52D9" w:rsidRPr="00993ADC">
        <w:rPr>
          <w:rFonts w:ascii="Arial" w:hAnsi="Arial" w:cs="Arial"/>
          <w:sz w:val="24"/>
          <w:szCs w:val="24"/>
        </w:rPr>
        <w:t>are</w:t>
      </w:r>
      <w:r w:rsidRPr="00993ADC">
        <w:rPr>
          <w:rFonts w:ascii="Arial" w:hAnsi="Arial" w:cs="Arial"/>
          <w:sz w:val="24"/>
          <w:szCs w:val="24"/>
        </w:rPr>
        <w:t>lla</w:t>
      </w:r>
      <w:proofErr w:type="spellEnd"/>
      <w:r w:rsidRPr="00993ADC">
        <w:rPr>
          <w:rFonts w:ascii="Arial" w:hAnsi="Arial" w:cs="Arial"/>
          <w:sz w:val="24"/>
          <w:szCs w:val="24"/>
        </w:rPr>
        <w:t xml:space="preserve"> SRL y Javier Michelena</w:t>
      </w:r>
      <w:r w:rsidR="00BE0C9E">
        <w:rPr>
          <w:rFonts w:ascii="Arial" w:hAnsi="Arial" w:cs="Arial"/>
          <w:sz w:val="24"/>
          <w:szCs w:val="24"/>
        </w:rPr>
        <w:t>,</w:t>
      </w:r>
      <w:r w:rsidRPr="00993ADC">
        <w:rPr>
          <w:rFonts w:ascii="Arial" w:hAnsi="Arial" w:cs="Arial"/>
          <w:sz w:val="24"/>
          <w:szCs w:val="24"/>
        </w:rPr>
        <w:t xml:space="preserve"> por</w:t>
      </w:r>
      <w:r w:rsidR="00843550">
        <w:rPr>
          <w:rFonts w:ascii="Arial" w:hAnsi="Arial" w:cs="Arial"/>
          <w:sz w:val="24"/>
          <w:szCs w:val="24"/>
        </w:rPr>
        <w:t xml:space="preserve"> un monto de hasta $ 30.300.000;</w:t>
      </w:r>
    </w:p>
    <w:p w:rsidR="00812AF2" w:rsidRPr="00993ADC" w:rsidRDefault="00516345" w:rsidP="00A15128">
      <w:pPr>
        <w:pStyle w:val="Textoindependiente"/>
        <w:ind w:firstLine="2694"/>
        <w:rPr>
          <w:bCs/>
        </w:rPr>
      </w:pPr>
      <w:r w:rsidRPr="00993ADC">
        <w:rPr>
          <w:b/>
          <w:bCs/>
        </w:rPr>
        <w:t>2)</w:t>
      </w:r>
      <w:r w:rsidRPr="00993ADC">
        <w:rPr>
          <w:bCs/>
        </w:rPr>
        <w:t xml:space="preserve"> que en sesión de fecha 15/2/12</w:t>
      </w:r>
      <w:r w:rsidR="00BE0C9E">
        <w:rPr>
          <w:bCs/>
        </w:rPr>
        <w:t>,</w:t>
      </w:r>
      <w:r w:rsidR="00A15128">
        <w:rPr>
          <w:bCs/>
        </w:rPr>
        <w:t xml:space="preserve"> </w:t>
      </w:r>
      <w:r w:rsidRPr="00993ADC">
        <w:rPr>
          <w:bCs/>
        </w:rPr>
        <w:t>este Tribunal observó el gasto</w:t>
      </w:r>
      <w:r w:rsidR="00BE0C9E">
        <w:rPr>
          <w:bCs/>
        </w:rPr>
        <w:t>,</w:t>
      </w:r>
      <w:r w:rsidRPr="00993ADC">
        <w:rPr>
          <w:bCs/>
        </w:rPr>
        <w:t xml:space="preserve"> en consideración a que este no fue dispuesto por el </w:t>
      </w:r>
      <w:r w:rsidR="00BE0C9E">
        <w:rPr>
          <w:bCs/>
        </w:rPr>
        <w:t>o</w:t>
      </w:r>
      <w:r w:rsidRPr="00993ADC">
        <w:rPr>
          <w:bCs/>
        </w:rPr>
        <w:t>rdenador primario como hubiera correspondido, atento al monto</w:t>
      </w:r>
      <w:r w:rsidR="00BE0C9E">
        <w:rPr>
          <w:bCs/>
        </w:rPr>
        <w:t xml:space="preserve"> a que ascendía</w:t>
      </w:r>
      <w:r w:rsidRPr="00993ADC">
        <w:rPr>
          <w:bCs/>
        </w:rPr>
        <w:t>. Posteriormente, por resolución Nº 95 de fecha 29 de febrero de 2012</w:t>
      </w:r>
      <w:r w:rsidR="00BE0C9E">
        <w:rPr>
          <w:bCs/>
        </w:rPr>
        <w:t>,</w:t>
      </w:r>
      <w:r w:rsidRPr="00993ADC">
        <w:rPr>
          <w:bCs/>
        </w:rPr>
        <w:t xml:space="preserve"> el Consejo Directivo Central reiter</w:t>
      </w:r>
      <w:r w:rsidR="00BE0C9E">
        <w:rPr>
          <w:bCs/>
        </w:rPr>
        <w:t>o</w:t>
      </w:r>
      <w:r w:rsidRPr="00993ADC">
        <w:rPr>
          <w:bCs/>
        </w:rPr>
        <w:t xml:space="preserve"> el gasto, siendo mantenida la observación por este Tribunal</w:t>
      </w:r>
      <w:r w:rsidR="00BE0C9E">
        <w:rPr>
          <w:bCs/>
        </w:rPr>
        <w:t xml:space="preserve">, </w:t>
      </w:r>
      <w:r w:rsidRPr="00993ADC">
        <w:rPr>
          <w:bCs/>
        </w:rPr>
        <w:t xml:space="preserve">en su </w:t>
      </w:r>
      <w:r w:rsidR="00BE0C9E">
        <w:rPr>
          <w:bCs/>
        </w:rPr>
        <w:t>a</w:t>
      </w:r>
      <w:r w:rsidRPr="00993ADC">
        <w:rPr>
          <w:bCs/>
        </w:rPr>
        <w:t xml:space="preserve">cuerdo de fecha 2.5.12; </w:t>
      </w:r>
    </w:p>
    <w:p w:rsidR="002E52D9" w:rsidRPr="00993ADC" w:rsidRDefault="00516345" w:rsidP="00A15128">
      <w:pPr>
        <w:pStyle w:val="Textoindependiente"/>
        <w:ind w:firstLine="2694"/>
      </w:pPr>
      <w:r w:rsidRPr="00993ADC">
        <w:rPr>
          <w:b/>
          <w:bCs/>
        </w:rPr>
        <w:t>3)</w:t>
      </w:r>
      <w:r w:rsidRPr="00993ADC">
        <w:rPr>
          <w:bCs/>
        </w:rPr>
        <w:t xml:space="preserve"> </w:t>
      </w:r>
      <w:r w:rsidR="002E52D9" w:rsidRPr="00993ADC">
        <w:rPr>
          <w:bCs/>
        </w:rPr>
        <w:t xml:space="preserve">que por </w:t>
      </w:r>
      <w:r w:rsidR="00812AF2" w:rsidRPr="00993ADC">
        <w:rPr>
          <w:bCs/>
        </w:rPr>
        <w:t>Resolución</w:t>
      </w:r>
      <w:r w:rsidR="002E52D9" w:rsidRPr="00993ADC">
        <w:rPr>
          <w:bCs/>
        </w:rPr>
        <w:t xml:space="preserve"> Nº 120 de fecha 28.11.16, el Consejo de </w:t>
      </w:r>
      <w:r w:rsidR="00812AF2" w:rsidRPr="00993ADC">
        <w:rPr>
          <w:bCs/>
        </w:rPr>
        <w:t>Educación</w:t>
      </w:r>
      <w:r w:rsidR="002E52D9" w:rsidRPr="00993ADC">
        <w:rPr>
          <w:bCs/>
        </w:rPr>
        <w:t xml:space="preserve"> Secundaria disp</w:t>
      </w:r>
      <w:r w:rsidR="00BE0C9E">
        <w:rPr>
          <w:bCs/>
        </w:rPr>
        <w:t xml:space="preserve">uso </w:t>
      </w:r>
      <w:r w:rsidR="002E52D9" w:rsidRPr="00993ADC">
        <w:rPr>
          <w:bCs/>
        </w:rPr>
        <w:t xml:space="preserve">  autorizar</w:t>
      </w:r>
      <w:r w:rsidR="00BE0C9E">
        <w:rPr>
          <w:bCs/>
        </w:rPr>
        <w:t>,</w:t>
      </w:r>
      <w:r w:rsidR="002E52D9" w:rsidRPr="00993ADC">
        <w:rPr>
          <w:bCs/>
        </w:rPr>
        <w:t xml:space="preserve"> por el periodo de hasta 6 meses la contratación con las firmas </w:t>
      </w:r>
      <w:r w:rsidR="002E52D9" w:rsidRPr="00993ADC">
        <w:t>Jorge Rebollo,  La Casa de la Mujer, Frederick SRL, Negur SA y Acquarrella SRL, hasta tanto se concret</w:t>
      </w:r>
      <w:r w:rsidR="00BE0C9E">
        <w:t>ara</w:t>
      </w:r>
      <w:r w:rsidR="002E52D9" w:rsidRPr="00993ADC">
        <w:t xml:space="preserve"> un nuevo llamado a </w:t>
      </w:r>
      <w:r w:rsidR="00BE0C9E">
        <w:t>l</w:t>
      </w:r>
      <w:r w:rsidR="00812AF2" w:rsidRPr="00993ADC">
        <w:t>icitación</w:t>
      </w:r>
      <w:r w:rsidR="002E52D9" w:rsidRPr="00993ADC">
        <w:t xml:space="preserve"> </w:t>
      </w:r>
      <w:r w:rsidR="00BE0C9E">
        <w:t>p</w:t>
      </w:r>
      <w:r w:rsidR="00BE0C9E" w:rsidRPr="00993ADC">
        <w:t>ública</w:t>
      </w:r>
      <w:r w:rsidR="00BE0C9E">
        <w:t>,</w:t>
      </w:r>
      <w:r w:rsidR="002E52D9" w:rsidRPr="00993ADC">
        <w:t xml:space="preserve"> </w:t>
      </w:r>
      <w:r w:rsidR="00484E60" w:rsidRPr="00993ADC">
        <w:t xml:space="preserve"> y encomendar a la </w:t>
      </w:r>
      <w:r w:rsidR="00812AF2" w:rsidRPr="00993ADC">
        <w:t>Comisión</w:t>
      </w:r>
      <w:r w:rsidR="00484E60" w:rsidRPr="00993ADC">
        <w:t xml:space="preserve"> Asesora de Adjudicaciones la elaboración del pliego para la realización de</w:t>
      </w:r>
      <w:r w:rsidR="00BE0C9E">
        <w:t xml:space="preserve">l </w:t>
      </w:r>
      <w:r w:rsidR="00484E60" w:rsidRPr="00993ADC">
        <w:t xml:space="preserve"> nuevo llamado;</w:t>
      </w:r>
    </w:p>
    <w:p w:rsidR="00E85ECA" w:rsidRPr="00993ADC" w:rsidRDefault="00E85ECA" w:rsidP="00A15128">
      <w:pPr>
        <w:pStyle w:val="Textoindependiente"/>
      </w:pPr>
    </w:p>
    <w:p w:rsidR="00812AF2" w:rsidRPr="00993ADC" w:rsidRDefault="00E85ECA" w:rsidP="00A15128">
      <w:pPr>
        <w:pStyle w:val="Textoindependiente"/>
        <w:ind w:firstLine="2694"/>
      </w:pPr>
      <w:r w:rsidRPr="00993ADC">
        <w:rPr>
          <w:b/>
        </w:rPr>
        <w:t>4)</w:t>
      </w:r>
      <w:r w:rsidRPr="00993ADC">
        <w:t xml:space="preserve"> que este Tr</w:t>
      </w:r>
      <w:r w:rsidR="00781D0C" w:rsidRPr="00993ADC">
        <w:t>ibunal</w:t>
      </w:r>
      <w:r w:rsidR="00BE0C9E">
        <w:t>,</w:t>
      </w:r>
      <w:r w:rsidR="00781D0C" w:rsidRPr="00993ADC">
        <w:t xml:space="preserve"> por Resolución N° 7</w:t>
      </w:r>
      <w:r w:rsidR="00A527FB" w:rsidRPr="00993ADC">
        <w:t>3/ 17 de fecha 11.1.17,  observó el gasto, por deriva</w:t>
      </w:r>
      <w:r w:rsidR="00781D0C" w:rsidRPr="00993ADC">
        <w:t>r de un procedimiento</w:t>
      </w:r>
      <w:r w:rsidR="00BE0C9E">
        <w:t xml:space="preserve"> cuyo gasto fue </w:t>
      </w:r>
      <w:r w:rsidR="00781D0C" w:rsidRPr="00993ADC">
        <w:t xml:space="preserve"> </w:t>
      </w:r>
      <w:r w:rsidR="00781D0C" w:rsidRPr="00993ADC">
        <w:lastRenderedPageBreak/>
        <w:t xml:space="preserve">oportunamente observado por este Tribunal por razones no subsanables, las que </w:t>
      </w:r>
      <w:r w:rsidR="00812AF2" w:rsidRPr="00993ADC">
        <w:t>irradian</w:t>
      </w:r>
      <w:r w:rsidR="00781D0C" w:rsidRPr="00993ADC">
        <w:t xml:space="preserve"> sus efectos a la ampliación;</w:t>
      </w:r>
    </w:p>
    <w:p w:rsidR="00781D0C" w:rsidRPr="00993ADC" w:rsidRDefault="00781D0C" w:rsidP="00A15128">
      <w:pPr>
        <w:pStyle w:val="Textoindependiente"/>
        <w:ind w:firstLine="2694"/>
      </w:pPr>
      <w:r w:rsidRPr="00993ADC">
        <w:rPr>
          <w:b/>
        </w:rPr>
        <w:t>5)</w:t>
      </w:r>
      <w:r w:rsidRPr="00993ADC">
        <w:t xml:space="preserve"> que</w:t>
      </w:r>
      <w:r w:rsidR="00BE0C9E">
        <w:t>,</w:t>
      </w:r>
      <w:r w:rsidRPr="00993ADC">
        <w:t xml:space="preserve"> </w:t>
      </w:r>
      <w:r w:rsidR="00ED2487" w:rsidRPr="00993ADC">
        <w:t>por Resolución N° 23 de fecha 22.3.17</w:t>
      </w:r>
      <w:r w:rsidR="00BE0C9E">
        <w:t>,</w:t>
      </w:r>
      <w:r w:rsidR="00ED2487" w:rsidRPr="00993ADC">
        <w:t xml:space="preserve"> el Consejo Directivo Central reiteró el gasto, </w:t>
      </w:r>
      <w:r w:rsidR="00BE0C9E">
        <w:t>aduciendo l</w:t>
      </w:r>
      <w:r w:rsidR="00ED2487" w:rsidRPr="00993ADC">
        <w:t xml:space="preserve">os mismos fundamentos </w:t>
      </w:r>
      <w:r w:rsidR="00BE0C9E">
        <w:t xml:space="preserve">expresados </w:t>
      </w:r>
      <w:r w:rsidR="00ED2487" w:rsidRPr="00993ADC">
        <w:t>en l</w:t>
      </w:r>
      <w:r w:rsidR="00417518" w:rsidRPr="00993ADC">
        <w:t>a reiteración del</w:t>
      </w:r>
      <w:r w:rsidR="00ED2487" w:rsidRPr="00993ADC">
        <w:t xml:space="preserve"> </w:t>
      </w:r>
      <w:r w:rsidR="00BE0C9E">
        <w:t xml:space="preserve"> gasto original</w:t>
      </w:r>
      <w:r w:rsidR="00417518" w:rsidRPr="00993ADC">
        <w:t>;</w:t>
      </w:r>
      <w:r w:rsidR="00ED2487" w:rsidRPr="00993ADC">
        <w:t xml:space="preserve"> </w:t>
      </w:r>
      <w:r w:rsidR="00BE0C9E">
        <w:t xml:space="preserve"> </w:t>
      </w:r>
    </w:p>
    <w:p w:rsidR="00A527FB" w:rsidRPr="00993ADC" w:rsidRDefault="00A527FB" w:rsidP="00A151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3ADC">
        <w:rPr>
          <w:rFonts w:ascii="Arial" w:hAnsi="Arial" w:cs="Arial"/>
          <w:b/>
          <w:sz w:val="24"/>
          <w:szCs w:val="24"/>
        </w:rPr>
        <w:t xml:space="preserve">CONSIDERANDO: </w:t>
      </w:r>
      <w:r w:rsidRPr="00993ADC">
        <w:rPr>
          <w:rFonts w:ascii="Arial" w:hAnsi="Arial" w:cs="Arial"/>
          <w:sz w:val="24"/>
          <w:szCs w:val="24"/>
        </w:rPr>
        <w:t xml:space="preserve">que los argumentos </w:t>
      </w:r>
      <w:r w:rsidR="00BE0C9E">
        <w:rPr>
          <w:rFonts w:ascii="Arial" w:hAnsi="Arial" w:cs="Arial"/>
          <w:sz w:val="24"/>
          <w:szCs w:val="24"/>
        </w:rPr>
        <w:t xml:space="preserve">aducidos por la Administración en la reiteración, </w:t>
      </w:r>
      <w:r w:rsidRPr="00993ADC">
        <w:rPr>
          <w:rFonts w:ascii="Arial" w:hAnsi="Arial" w:cs="Arial"/>
          <w:sz w:val="24"/>
          <w:szCs w:val="24"/>
        </w:rPr>
        <w:t xml:space="preserve">este Tribunal se pronunció oportunamente, - en Sesión de fecha 2.05.2012-, </w:t>
      </w:r>
      <w:r w:rsidR="00BE0C9E">
        <w:rPr>
          <w:rFonts w:ascii="Arial" w:hAnsi="Arial" w:cs="Arial"/>
          <w:sz w:val="24"/>
          <w:szCs w:val="24"/>
        </w:rPr>
        <w:t xml:space="preserve">manteniéndose </w:t>
      </w:r>
      <w:r w:rsidRPr="00993ADC">
        <w:rPr>
          <w:rFonts w:ascii="Arial" w:hAnsi="Arial" w:cs="Arial"/>
          <w:sz w:val="24"/>
          <w:szCs w:val="24"/>
        </w:rPr>
        <w:t xml:space="preserve"> incambiad</w:t>
      </w:r>
      <w:r w:rsidR="00BE0C9E">
        <w:rPr>
          <w:rFonts w:ascii="Arial" w:hAnsi="Arial" w:cs="Arial"/>
          <w:sz w:val="24"/>
          <w:szCs w:val="24"/>
        </w:rPr>
        <w:t>a</w:t>
      </w:r>
      <w:r w:rsidRPr="00993ADC">
        <w:rPr>
          <w:rFonts w:ascii="Arial" w:hAnsi="Arial" w:cs="Arial"/>
          <w:sz w:val="24"/>
          <w:szCs w:val="24"/>
        </w:rPr>
        <w:t xml:space="preserve"> la presente observación;</w:t>
      </w:r>
    </w:p>
    <w:p w:rsidR="00154E6B" w:rsidRPr="00993ADC" w:rsidRDefault="00154E6B" w:rsidP="00A15128">
      <w:pPr>
        <w:pStyle w:val="Textoindependiente"/>
        <w:ind w:firstLine="851"/>
      </w:pPr>
      <w:r w:rsidRPr="00993ADC">
        <w:rPr>
          <w:b/>
        </w:rPr>
        <w:t>ATENTO:</w:t>
      </w:r>
      <w:r w:rsidRPr="00993ADC">
        <w:t xml:space="preserve"> a lo expuesto precedentemente y a lo dispuesto por el </w:t>
      </w:r>
      <w:r w:rsidR="00843550">
        <w:t xml:space="preserve">                    A</w:t>
      </w:r>
      <w:r w:rsidRPr="00993ADC">
        <w:t xml:space="preserve">rt. 211 </w:t>
      </w:r>
      <w:r w:rsidR="00843550">
        <w:t>L</w:t>
      </w:r>
      <w:r w:rsidRPr="00993ADC">
        <w:t xml:space="preserve">it. B) de la </w:t>
      </w:r>
      <w:r w:rsidR="00812AF2" w:rsidRPr="00993ADC">
        <w:t>Constitución</w:t>
      </w:r>
      <w:r w:rsidRPr="00993ADC">
        <w:t xml:space="preserve"> de la Republica;</w:t>
      </w:r>
    </w:p>
    <w:p w:rsidR="00154E6B" w:rsidRPr="00993ADC" w:rsidRDefault="00154E6B" w:rsidP="00A15128">
      <w:pPr>
        <w:pStyle w:val="Textoindependiente"/>
        <w:jc w:val="center"/>
        <w:rPr>
          <w:b/>
        </w:rPr>
      </w:pPr>
      <w:r w:rsidRPr="00993ADC">
        <w:rPr>
          <w:b/>
        </w:rPr>
        <w:t>EL TRIBUNAL ACUERDA</w:t>
      </w:r>
    </w:p>
    <w:p w:rsidR="00417518" w:rsidRPr="00993ADC" w:rsidRDefault="00417518" w:rsidP="00843550">
      <w:pPr>
        <w:pStyle w:val="Textoindependiente"/>
        <w:numPr>
          <w:ilvl w:val="0"/>
          <w:numId w:val="2"/>
        </w:numPr>
      </w:pPr>
      <w:r w:rsidRPr="00993ADC">
        <w:t>Mantener la observación formulada por Resolu</w:t>
      </w:r>
      <w:r w:rsidR="00A15128">
        <w:t>ción N° 73/ 17 de fecha 11.1.17;</w:t>
      </w:r>
    </w:p>
    <w:p w:rsidR="00A15128" w:rsidRDefault="00812AF2" w:rsidP="00843550">
      <w:pPr>
        <w:pStyle w:val="Textoindependiente"/>
        <w:numPr>
          <w:ilvl w:val="0"/>
          <w:numId w:val="2"/>
        </w:numPr>
      </w:pPr>
      <w:r w:rsidRPr="00993ADC">
        <w:t>Comunicar</w:t>
      </w:r>
      <w:r w:rsidR="00BE0C9E">
        <w:t xml:space="preserve"> </w:t>
      </w:r>
      <w:r w:rsidR="00BE0C9E" w:rsidRPr="00993ADC">
        <w:t>a la Administración actuante</w:t>
      </w:r>
      <w:r w:rsidR="00BE0C9E">
        <w:t xml:space="preserve"> y</w:t>
      </w:r>
      <w:r w:rsidRPr="00993ADC">
        <w:t xml:space="preserve"> al Contador Delegado</w:t>
      </w:r>
      <w:r w:rsidR="00A15128">
        <w:t>;</w:t>
      </w:r>
      <w:bookmarkStart w:id="0" w:name="_GoBack"/>
      <w:bookmarkEnd w:id="0"/>
    </w:p>
    <w:p w:rsidR="00A15128" w:rsidRPr="00993ADC" w:rsidRDefault="00A15128" w:rsidP="0084355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3ADC">
        <w:rPr>
          <w:rFonts w:ascii="Arial" w:hAnsi="Arial" w:cs="Arial"/>
          <w:sz w:val="24"/>
          <w:szCs w:val="24"/>
        </w:rPr>
        <w:t>Dar cuenta a la Asamblea General.</w:t>
      </w:r>
    </w:p>
    <w:p w:rsidR="00154E6B" w:rsidRPr="00993ADC" w:rsidRDefault="00154E6B" w:rsidP="00843550">
      <w:pPr>
        <w:pStyle w:val="Textoindependiente"/>
        <w:ind w:left="360"/>
      </w:pPr>
    </w:p>
    <w:p w:rsidR="00A527FB" w:rsidRPr="00993ADC" w:rsidRDefault="00A527FB" w:rsidP="00A15128">
      <w:pPr>
        <w:pStyle w:val="Textoindependiente"/>
        <w:jc w:val="left"/>
      </w:pPr>
    </w:p>
    <w:p w:rsidR="00154E6B" w:rsidRPr="00993ADC" w:rsidRDefault="00A15128" w:rsidP="00154E6B">
      <w:pPr>
        <w:pStyle w:val="Textoindependiente"/>
        <w:jc w:val="left"/>
      </w:pPr>
      <w:proofErr w:type="spellStart"/>
      <w:proofErr w:type="gramStart"/>
      <w:r>
        <w:t>ag</w:t>
      </w:r>
      <w:proofErr w:type="spellEnd"/>
      <w:proofErr w:type="gramEnd"/>
    </w:p>
    <w:p w:rsidR="002E52D9" w:rsidRPr="00993ADC" w:rsidRDefault="002E52D9" w:rsidP="00516345">
      <w:pPr>
        <w:pStyle w:val="Textoindependiente"/>
        <w:rPr>
          <w:bCs/>
        </w:rPr>
      </w:pPr>
    </w:p>
    <w:p w:rsidR="00516345" w:rsidRPr="00993ADC" w:rsidRDefault="00516345" w:rsidP="006F3724">
      <w:pPr>
        <w:rPr>
          <w:rFonts w:ascii="Arial" w:hAnsi="Arial" w:cs="Arial"/>
          <w:sz w:val="24"/>
          <w:szCs w:val="24"/>
        </w:rPr>
      </w:pPr>
    </w:p>
    <w:sectPr w:rsidR="00516345" w:rsidRPr="00993ADC" w:rsidSect="003971E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5C8A"/>
    <w:multiLevelType w:val="hybridMultilevel"/>
    <w:tmpl w:val="9D846A62"/>
    <w:lvl w:ilvl="0" w:tplc="910884D0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6FB4D2F"/>
    <w:multiLevelType w:val="hybridMultilevel"/>
    <w:tmpl w:val="F886DD94"/>
    <w:lvl w:ilvl="0" w:tplc="3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391A03"/>
    <w:multiLevelType w:val="hybridMultilevel"/>
    <w:tmpl w:val="AF804F4E"/>
    <w:lvl w:ilvl="0" w:tplc="C06C9C0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ED2B38"/>
    <w:multiLevelType w:val="hybridMultilevel"/>
    <w:tmpl w:val="1278E34E"/>
    <w:lvl w:ilvl="0" w:tplc="44447A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24"/>
    <w:rsid w:val="00066A73"/>
    <w:rsid w:val="001202AC"/>
    <w:rsid w:val="00154E6B"/>
    <w:rsid w:val="00255110"/>
    <w:rsid w:val="002E52D9"/>
    <w:rsid w:val="003971E8"/>
    <w:rsid w:val="003C3F40"/>
    <w:rsid w:val="00417518"/>
    <w:rsid w:val="00484E60"/>
    <w:rsid w:val="00516345"/>
    <w:rsid w:val="006F3724"/>
    <w:rsid w:val="00781D0C"/>
    <w:rsid w:val="00812AF2"/>
    <w:rsid w:val="00843550"/>
    <w:rsid w:val="00865E60"/>
    <w:rsid w:val="00993ADC"/>
    <w:rsid w:val="00A15128"/>
    <w:rsid w:val="00A527FB"/>
    <w:rsid w:val="00AF1F94"/>
    <w:rsid w:val="00B5545B"/>
    <w:rsid w:val="00BE0C9E"/>
    <w:rsid w:val="00D41453"/>
    <w:rsid w:val="00D94746"/>
    <w:rsid w:val="00E5128C"/>
    <w:rsid w:val="00E85ECA"/>
    <w:rsid w:val="00EC6216"/>
    <w:rsid w:val="00ED2487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516345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6345"/>
    <w:rPr>
      <w:rFonts w:ascii="Arial" w:eastAsia="Times New Roman" w:hAnsi="Arial" w:cs="Arial"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812AF2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812AF2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516345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6345"/>
    <w:rPr>
      <w:rFonts w:ascii="Arial" w:eastAsia="Times New Roman" w:hAnsi="Arial" w:cs="Arial"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812AF2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812AF2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7</cp:revision>
  <cp:lastPrinted>2017-05-05T19:02:00Z</cp:lastPrinted>
  <dcterms:created xsi:type="dcterms:W3CDTF">2017-05-05T17:02:00Z</dcterms:created>
  <dcterms:modified xsi:type="dcterms:W3CDTF">2017-05-05T19:02:00Z</dcterms:modified>
</cp:coreProperties>
</file>