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DFE" w:rsidRPr="00786EEB" w:rsidRDefault="004E5DFE" w:rsidP="00DF454E">
      <w:pPr>
        <w:tabs>
          <w:tab w:val="center" w:pos="4253"/>
        </w:tabs>
        <w:suppressAutoHyphens/>
        <w:jc w:val="right"/>
        <w:rPr>
          <w:rFonts w:cs="Arial"/>
          <w:b/>
          <w:sz w:val="28"/>
          <w:szCs w:val="28"/>
          <w:lang w:val="es-ES_tradnl"/>
        </w:rPr>
      </w:pPr>
      <w:bookmarkStart w:id="0" w:name="_GoBack"/>
      <w:bookmarkEnd w:id="0"/>
      <w:r w:rsidRPr="00786EEB">
        <w:rPr>
          <w:rFonts w:cs="Arial"/>
          <w:b/>
          <w:sz w:val="28"/>
          <w:szCs w:val="28"/>
          <w:lang w:val="es-ES_tradnl"/>
        </w:rPr>
        <w:t xml:space="preserve">RES. </w:t>
      </w:r>
      <w:r>
        <w:rPr>
          <w:rFonts w:cs="Arial"/>
          <w:b/>
          <w:sz w:val="28"/>
          <w:szCs w:val="28"/>
          <w:lang w:val="es-ES_tradnl"/>
        </w:rPr>
        <w:t>4568</w:t>
      </w:r>
      <w:r w:rsidRPr="00786EEB">
        <w:rPr>
          <w:rFonts w:cs="Arial"/>
          <w:b/>
          <w:sz w:val="28"/>
          <w:szCs w:val="28"/>
          <w:lang w:val="es-ES_tradnl"/>
        </w:rPr>
        <w:t>/16</w:t>
      </w:r>
    </w:p>
    <w:p w:rsidR="004E5DFE" w:rsidRDefault="004E5DFE" w:rsidP="00DF454E">
      <w:pPr>
        <w:tabs>
          <w:tab w:val="center" w:pos="4253"/>
        </w:tabs>
        <w:suppressAutoHyphens/>
        <w:jc w:val="right"/>
        <w:rPr>
          <w:rFonts w:cs="Arial"/>
          <w:b/>
          <w:lang w:val="es-ES_tradnl"/>
        </w:rPr>
      </w:pPr>
    </w:p>
    <w:p w:rsidR="004E5DFE" w:rsidRPr="00762B34" w:rsidRDefault="004E5DFE">
      <w:pPr>
        <w:tabs>
          <w:tab w:val="center" w:pos="4253"/>
        </w:tabs>
        <w:suppressAutoHyphens/>
        <w:jc w:val="center"/>
        <w:rPr>
          <w:rFonts w:cs="Arial"/>
          <w:b/>
          <w:lang w:val="es-ES_tradnl"/>
        </w:rPr>
      </w:pPr>
      <w:r w:rsidRPr="00762B34">
        <w:rPr>
          <w:rFonts w:cs="Arial"/>
          <w:b/>
          <w:lang w:val="es-ES_tradnl"/>
        </w:rPr>
        <w:t>RESOLUCION ADOPTADA POR EL</w:t>
      </w:r>
    </w:p>
    <w:p w:rsidR="004E5DFE" w:rsidRPr="00762B34" w:rsidRDefault="004E5DFE">
      <w:pPr>
        <w:tabs>
          <w:tab w:val="left" w:pos="-720"/>
        </w:tabs>
        <w:suppressAutoHyphens/>
        <w:jc w:val="center"/>
        <w:rPr>
          <w:rFonts w:cs="Arial"/>
          <w:b/>
          <w:lang w:val="es-ES_tradnl"/>
        </w:rPr>
      </w:pPr>
    </w:p>
    <w:p w:rsidR="004E5DFE" w:rsidRPr="00762B34" w:rsidRDefault="004E5DFE">
      <w:pPr>
        <w:tabs>
          <w:tab w:val="center" w:pos="4253"/>
        </w:tabs>
        <w:suppressAutoHyphens/>
        <w:jc w:val="center"/>
        <w:rPr>
          <w:rFonts w:cs="Arial"/>
          <w:b/>
          <w:lang w:val="es-ES_tradnl"/>
        </w:rPr>
      </w:pPr>
      <w:r w:rsidRPr="00762B34">
        <w:rPr>
          <w:rFonts w:cs="Arial"/>
          <w:b/>
          <w:lang w:val="es-ES_tradnl"/>
        </w:rPr>
        <w:t>TRIBUNAL DE CUENTAS</w:t>
      </w:r>
    </w:p>
    <w:p w:rsidR="004E5DFE" w:rsidRPr="00762B34" w:rsidRDefault="004E5DFE">
      <w:pPr>
        <w:tabs>
          <w:tab w:val="left" w:pos="-720"/>
        </w:tabs>
        <w:suppressAutoHyphens/>
        <w:jc w:val="center"/>
        <w:rPr>
          <w:rFonts w:cs="Arial"/>
          <w:b/>
          <w:lang w:val="es-ES_tradnl"/>
        </w:rPr>
      </w:pPr>
    </w:p>
    <w:p w:rsidR="004E5DFE" w:rsidRPr="00762B34" w:rsidRDefault="004E5DFE">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28 DE DICIEMBRE </w:t>
      </w:r>
      <w:r>
        <w:rPr>
          <w:rFonts w:ascii="Helvetica" w:hAnsi="Helvetica"/>
          <w:b/>
          <w:lang w:val="es-ES_tradnl"/>
        </w:rPr>
        <w:t>DE 2016</w:t>
      </w:r>
    </w:p>
    <w:p w:rsidR="004E5DFE" w:rsidRPr="00762B34" w:rsidRDefault="004E5DFE">
      <w:pPr>
        <w:tabs>
          <w:tab w:val="center" w:pos="4253"/>
        </w:tabs>
        <w:suppressAutoHyphens/>
        <w:jc w:val="center"/>
        <w:rPr>
          <w:rFonts w:cs="Arial"/>
          <w:b/>
          <w:lang w:val="es-ES_tradnl"/>
        </w:rPr>
      </w:pPr>
    </w:p>
    <w:p w:rsidR="004E5DFE" w:rsidRPr="004E5DFE" w:rsidRDefault="004E5DFE">
      <w:pPr>
        <w:tabs>
          <w:tab w:val="center" w:pos="4253"/>
        </w:tabs>
        <w:suppressAutoHyphens/>
        <w:jc w:val="center"/>
        <w:rPr>
          <w:rFonts w:cs="Arial"/>
          <w:b/>
          <w:lang w:val="es-UY"/>
        </w:rPr>
      </w:pPr>
      <w:r w:rsidRPr="004E5DFE">
        <w:rPr>
          <w:rFonts w:cs="Arial"/>
          <w:b/>
          <w:lang w:val="es-UY"/>
        </w:rPr>
        <w:t xml:space="preserve">(E. E. Nº 2016-17-1-0003629, </w:t>
      </w:r>
      <w:proofErr w:type="spellStart"/>
      <w:r w:rsidRPr="004E5DFE">
        <w:rPr>
          <w:rFonts w:cs="Arial"/>
          <w:b/>
          <w:lang w:val="es-UY"/>
        </w:rPr>
        <w:t>Ent</w:t>
      </w:r>
      <w:proofErr w:type="spellEnd"/>
      <w:r w:rsidRPr="004E5DFE">
        <w:rPr>
          <w:rFonts w:cs="Arial"/>
          <w:b/>
          <w:lang w:val="es-UY"/>
        </w:rPr>
        <w:t>. N° 2786/16)</w:t>
      </w:r>
    </w:p>
    <w:p w:rsidR="004E5DFE" w:rsidRPr="004E5DFE" w:rsidRDefault="004E5DFE">
      <w:pPr>
        <w:tabs>
          <w:tab w:val="center" w:pos="4253"/>
        </w:tabs>
        <w:suppressAutoHyphens/>
        <w:jc w:val="center"/>
        <w:rPr>
          <w:rFonts w:ascii="Helvetica" w:hAnsi="Helvetica"/>
          <w:b/>
          <w:lang w:val="es-UY"/>
        </w:rPr>
      </w:pPr>
    </w:p>
    <w:p w:rsidR="00432944" w:rsidRPr="000862EC" w:rsidRDefault="00432944" w:rsidP="00432944">
      <w:pPr>
        <w:keepLines/>
        <w:autoSpaceDE w:val="0"/>
        <w:autoSpaceDN w:val="0"/>
        <w:adjustRightInd w:val="0"/>
        <w:spacing w:line="360" w:lineRule="auto"/>
        <w:ind w:firstLine="851"/>
        <w:jc w:val="both"/>
        <w:rPr>
          <w:rFonts w:cs="Arial"/>
          <w:color w:val="000000"/>
        </w:rPr>
      </w:pPr>
      <w:r w:rsidRPr="000862EC">
        <w:rPr>
          <w:rFonts w:cs="Arial"/>
          <w:b/>
          <w:bCs/>
          <w:color w:val="000000"/>
        </w:rPr>
        <w:t xml:space="preserve">VISTO: </w:t>
      </w:r>
      <w:r w:rsidRPr="000862EC">
        <w:rPr>
          <w:rFonts w:cs="Arial"/>
          <w:color w:val="000000"/>
        </w:rPr>
        <w:t xml:space="preserve">que este Tribunal ha examinado el Estado de Ejecución Presupuestal de </w:t>
      </w:r>
      <w:r w:rsidRPr="000862EC">
        <w:rPr>
          <w:rFonts w:cs="Arial"/>
          <w:bCs/>
        </w:rPr>
        <w:t xml:space="preserve">Administración Nacional Combustibles, Alcohol y Portland </w:t>
      </w:r>
      <w:r w:rsidRPr="000862EC">
        <w:rPr>
          <w:rFonts w:cs="Arial"/>
          <w:color w:val="000000"/>
        </w:rPr>
        <w:t>(ANCAP), correspondiente al Ejercicio 2015;</w:t>
      </w:r>
    </w:p>
    <w:p w:rsidR="00432944" w:rsidRPr="000862EC" w:rsidRDefault="00432944" w:rsidP="00432944">
      <w:pPr>
        <w:keepLines/>
        <w:autoSpaceDE w:val="0"/>
        <w:autoSpaceDN w:val="0"/>
        <w:adjustRightInd w:val="0"/>
        <w:spacing w:line="360" w:lineRule="auto"/>
        <w:ind w:firstLine="851"/>
        <w:jc w:val="both"/>
        <w:rPr>
          <w:rFonts w:cs="Arial"/>
          <w:color w:val="000000"/>
        </w:rPr>
      </w:pPr>
      <w:r w:rsidRPr="000862EC">
        <w:rPr>
          <w:rFonts w:cs="Arial"/>
          <w:b/>
          <w:bCs/>
          <w:color w:val="000000"/>
        </w:rPr>
        <w:t>RESULTANDO:</w:t>
      </w:r>
      <w:r w:rsidRPr="000862EC">
        <w:rPr>
          <w:rFonts w:cs="Arial"/>
          <w:color w:val="000000"/>
        </w:rPr>
        <w:t xml:space="preserve"> que el examen fue realizado de acuerdo con los Principios Fundamentales de Auditoría (ISSAI 100 y 200) y las Directrices de Auditoría Financiera (ISSAI 1000 a 1810) de la Organización Internacional de Entidades Fiscalizadoras Superiores (INTOSAI);</w:t>
      </w:r>
    </w:p>
    <w:p w:rsidR="00432944" w:rsidRPr="000862EC" w:rsidRDefault="00432944" w:rsidP="00432944">
      <w:pPr>
        <w:keepLines/>
        <w:autoSpaceDE w:val="0"/>
        <w:autoSpaceDN w:val="0"/>
        <w:adjustRightInd w:val="0"/>
        <w:spacing w:line="360" w:lineRule="auto"/>
        <w:ind w:firstLine="851"/>
        <w:jc w:val="both"/>
        <w:rPr>
          <w:rFonts w:cs="Arial"/>
          <w:color w:val="000000"/>
        </w:rPr>
      </w:pPr>
      <w:r w:rsidRPr="000862EC">
        <w:rPr>
          <w:rFonts w:cs="Arial"/>
          <w:b/>
          <w:bCs/>
          <w:color w:val="000000"/>
        </w:rPr>
        <w:t xml:space="preserve">CONSIDERANDO: </w:t>
      </w:r>
      <w:r w:rsidRPr="000862EC">
        <w:rPr>
          <w:rFonts w:cs="Arial"/>
          <w:color w:val="000000"/>
        </w:rPr>
        <w:t>que las conclusiones y evidencias obtenidas son las que se expresan en el Informe de Auditoría, que incluye el Dictamen e Informe a la Administración;</w:t>
      </w:r>
    </w:p>
    <w:p w:rsidR="00432944" w:rsidRPr="000862EC" w:rsidRDefault="00432944" w:rsidP="00432944">
      <w:pPr>
        <w:keepLines/>
        <w:autoSpaceDE w:val="0"/>
        <w:autoSpaceDN w:val="0"/>
        <w:adjustRightInd w:val="0"/>
        <w:spacing w:line="360" w:lineRule="auto"/>
        <w:ind w:firstLine="851"/>
        <w:jc w:val="both"/>
        <w:rPr>
          <w:rFonts w:cs="Arial"/>
          <w:color w:val="000000"/>
        </w:rPr>
      </w:pPr>
      <w:r w:rsidRPr="000862EC">
        <w:rPr>
          <w:rFonts w:cs="Arial"/>
          <w:b/>
          <w:bCs/>
          <w:color w:val="000000"/>
        </w:rPr>
        <w:t xml:space="preserve">ATENTO: </w:t>
      </w:r>
      <w:r w:rsidRPr="000862EC">
        <w:rPr>
          <w:rFonts w:cs="Arial"/>
          <w:color w:val="000000"/>
        </w:rPr>
        <w:t>a lo dispuesto por el Artículo 211 Literales C) y E) de la Constitución de la República;</w:t>
      </w:r>
    </w:p>
    <w:p w:rsidR="00432944" w:rsidRPr="000862EC" w:rsidRDefault="00432944" w:rsidP="00432944">
      <w:pPr>
        <w:keepLines/>
        <w:tabs>
          <w:tab w:val="left" w:pos="4478"/>
        </w:tabs>
        <w:spacing w:line="360" w:lineRule="auto"/>
        <w:jc w:val="center"/>
        <w:rPr>
          <w:rFonts w:cs="Arial"/>
          <w:b/>
          <w:bCs/>
          <w:color w:val="000000"/>
        </w:rPr>
      </w:pPr>
      <w:r w:rsidRPr="000862EC">
        <w:rPr>
          <w:rFonts w:cs="Arial"/>
          <w:b/>
          <w:bCs/>
          <w:color w:val="000000"/>
        </w:rPr>
        <w:t>EL TRIBUNAL ACUERDA</w:t>
      </w:r>
    </w:p>
    <w:p w:rsidR="00432944" w:rsidRPr="000862EC" w:rsidRDefault="00432944" w:rsidP="00432944">
      <w:pPr>
        <w:keepLines/>
        <w:numPr>
          <w:ilvl w:val="0"/>
          <w:numId w:val="1"/>
        </w:numPr>
        <w:tabs>
          <w:tab w:val="left" w:pos="405"/>
        </w:tabs>
        <w:spacing w:line="360" w:lineRule="auto"/>
        <w:jc w:val="both"/>
        <w:rPr>
          <w:rFonts w:cs="Arial"/>
          <w:color w:val="000000"/>
        </w:rPr>
      </w:pPr>
      <w:r w:rsidRPr="000862EC">
        <w:rPr>
          <w:rFonts w:cs="Arial"/>
          <w:color w:val="000000"/>
        </w:rPr>
        <w:t>Expedirse en los términos del Informe de Auditoría que se adjunta;</w:t>
      </w:r>
    </w:p>
    <w:p w:rsidR="00432944" w:rsidRPr="000862EC" w:rsidRDefault="00432944" w:rsidP="00432944">
      <w:pPr>
        <w:keepLines/>
        <w:numPr>
          <w:ilvl w:val="0"/>
          <w:numId w:val="1"/>
        </w:numPr>
        <w:tabs>
          <w:tab w:val="left" w:pos="405"/>
        </w:tabs>
        <w:spacing w:line="360" w:lineRule="auto"/>
        <w:jc w:val="both"/>
        <w:rPr>
          <w:rFonts w:cs="Arial"/>
          <w:color w:val="000000"/>
        </w:rPr>
      </w:pPr>
      <w:r w:rsidRPr="000862EC">
        <w:rPr>
          <w:rFonts w:cs="Arial"/>
          <w:color w:val="000000"/>
        </w:rPr>
        <w:t>Comunicar al Ministerio de Industria, Energía y Minería, a la Oficina de Planeamiento y Presupuesto, al Organismo y a los Contadores Delegados;</w:t>
      </w:r>
    </w:p>
    <w:p w:rsidR="00F2063A" w:rsidRPr="000862EC" w:rsidRDefault="00F2063A" w:rsidP="00F2063A">
      <w:pPr>
        <w:keepLines/>
        <w:numPr>
          <w:ilvl w:val="0"/>
          <w:numId w:val="1"/>
        </w:numPr>
        <w:tabs>
          <w:tab w:val="left" w:pos="405"/>
        </w:tabs>
        <w:spacing w:line="360" w:lineRule="auto"/>
        <w:jc w:val="both"/>
        <w:rPr>
          <w:rFonts w:cs="Arial"/>
          <w:color w:val="000000"/>
        </w:rPr>
      </w:pPr>
      <w:r w:rsidRPr="000862EC">
        <w:rPr>
          <w:rFonts w:cs="Arial"/>
          <w:color w:val="000000"/>
        </w:rPr>
        <w:t>Oficiar al Servicio Oficial de Radiodifusión y Espectáculos; y</w:t>
      </w:r>
    </w:p>
    <w:p w:rsidR="008502F4" w:rsidRPr="000862EC" w:rsidRDefault="00F2063A" w:rsidP="00F2063A">
      <w:pPr>
        <w:keepLines/>
        <w:numPr>
          <w:ilvl w:val="0"/>
          <w:numId w:val="1"/>
        </w:numPr>
        <w:tabs>
          <w:tab w:val="left" w:pos="405"/>
        </w:tabs>
        <w:spacing w:line="360" w:lineRule="auto"/>
        <w:jc w:val="both"/>
        <w:rPr>
          <w:rFonts w:cs="Arial"/>
          <w:color w:val="000000"/>
        </w:rPr>
      </w:pPr>
      <w:r w:rsidRPr="000862EC">
        <w:rPr>
          <w:rFonts w:cs="Arial"/>
          <w:color w:val="000000"/>
        </w:rPr>
        <w:t>Dar cuenta a la Asamblea General.</w:t>
      </w:r>
    </w:p>
    <w:p w:rsidR="004E5DFE" w:rsidRDefault="004E5DFE">
      <w:pPr>
        <w:spacing w:after="200" w:line="276" w:lineRule="auto"/>
        <w:rPr>
          <w:rFonts w:cs="Arial"/>
          <w:color w:val="000000"/>
        </w:rPr>
      </w:pPr>
    </w:p>
    <w:p w:rsidR="004E5DFE" w:rsidRDefault="004E5DFE">
      <w:pPr>
        <w:spacing w:after="200" w:line="276" w:lineRule="auto"/>
        <w:rPr>
          <w:rFonts w:cs="Arial"/>
          <w:color w:val="000000"/>
        </w:rPr>
      </w:pPr>
    </w:p>
    <w:p w:rsidR="00DF454E" w:rsidRDefault="004E5DFE" w:rsidP="004E5DFE">
      <w:pPr>
        <w:spacing w:after="200" w:line="276" w:lineRule="auto"/>
        <w:rPr>
          <w:rFonts w:cs="Arial"/>
          <w:color w:val="000000"/>
        </w:rPr>
      </w:pPr>
      <w:proofErr w:type="spellStart"/>
      <w:proofErr w:type="gramStart"/>
      <w:r>
        <w:rPr>
          <w:rFonts w:cs="Arial"/>
          <w:color w:val="000000"/>
        </w:rPr>
        <w:t>cr</w:t>
      </w:r>
      <w:proofErr w:type="spellEnd"/>
      <w:proofErr w:type="gramEnd"/>
    </w:p>
    <w:p w:rsidR="003D139B" w:rsidRPr="000862EC" w:rsidRDefault="003D139B" w:rsidP="00F2063A">
      <w:pPr>
        <w:keepLines/>
        <w:spacing w:line="360" w:lineRule="auto"/>
        <w:jc w:val="center"/>
        <w:rPr>
          <w:rFonts w:cs="Arial"/>
          <w:b/>
          <w:bCs/>
          <w:color w:val="000000"/>
        </w:rPr>
      </w:pPr>
      <w:r>
        <w:rPr>
          <w:rFonts w:cs="Arial"/>
          <w:b/>
          <w:bCs/>
          <w:color w:val="000000"/>
        </w:rPr>
        <w:lastRenderedPageBreak/>
        <w:t>DICT</w:t>
      </w:r>
      <w:r w:rsidRPr="000862EC">
        <w:rPr>
          <w:rFonts w:cs="Arial"/>
          <w:b/>
          <w:bCs/>
          <w:color w:val="000000"/>
        </w:rPr>
        <w:t>AMEN</w:t>
      </w:r>
    </w:p>
    <w:p w:rsidR="003D139B" w:rsidRPr="000862EC" w:rsidRDefault="003D139B" w:rsidP="00F2063A">
      <w:pPr>
        <w:keepLines/>
        <w:autoSpaceDE w:val="0"/>
        <w:autoSpaceDN w:val="0"/>
        <w:adjustRightInd w:val="0"/>
        <w:spacing w:line="360" w:lineRule="auto"/>
        <w:jc w:val="both"/>
        <w:rPr>
          <w:rFonts w:cs="Arial"/>
          <w:color w:val="000000"/>
        </w:rPr>
      </w:pPr>
    </w:p>
    <w:p w:rsidR="003D139B" w:rsidRPr="000862EC" w:rsidRDefault="003D139B" w:rsidP="00F2063A">
      <w:pPr>
        <w:keepLines/>
        <w:autoSpaceDE w:val="0"/>
        <w:autoSpaceDN w:val="0"/>
        <w:adjustRightInd w:val="0"/>
        <w:spacing w:line="360" w:lineRule="auto"/>
        <w:jc w:val="both"/>
        <w:rPr>
          <w:rFonts w:cs="Arial"/>
          <w:color w:val="000000"/>
        </w:rPr>
      </w:pPr>
      <w:r w:rsidRPr="000862EC">
        <w:rPr>
          <w:rFonts w:cs="Arial"/>
          <w:color w:val="000000"/>
        </w:rPr>
        <w:t xml:space="preserve">El Tribunal de Cuentas ha examinado el Estado de Ejecución Presupuestal de la </w:t>
      </w:r>
      <w:r w:rsidRPr="000862EC">
        <w:rPr>
          <w:rFonts w:cs="Arial"/>
          <w:bCs/>
        </w:rPr>
        <w:t>Administración Nacional Combustibles, Alcohol y Portland</w:t>
      </w:r>
      <w:r w:rsidRPr="000862EC">
        <w:rPr>
          <w:rFonts w:cs="Arial"/>
          <w:color w:val="000000"/>
        </w:rPr>
        <w:t xml:space="preserve"> (ANCAP) correspondiente al período 1º de enero al 31 de diciembre de 2015.</w:t>
      </w:r>
    </w:p>
    <w:p w:rsidR="003D139B" w:rsidRPr="000862EC" w:rsidRDefault="003D139B" w:rsidP="00F2063A">
      <w:pPr>
        <w:keepLines/>
        <w:spacing w:line="360" w:lineRule="auto"/>
        <w:jc w:val="both"/>
        <w:rPr>
          <w:rFonts w:eastAsia="Arial Unicode MS" w:cs="Arial"/>
          <w:lang w:eastAsia="ar-SA"/>
        </w:rPr>
      </w:pPr>
      <w:r w:rsidRPr="000862EC">
        <w:rPr>
          <w:rFonts w:eastAsia="Arial Unicode MS" w:cs="Arial"/>
          <w:spacing w:val="-3"/>
          <w:lang w:val="es-UY" w:eastAsia="ar-SA"/>
        </w:rPr>
        <w:t>También se presentan, en caso de corresponder, los incumplimientos legales constatados en el curso de la auditoria efectuada.</w:t>
      </w:r>
    </w:p>
    <w:p w:rsidR="003D139B" w:rsidRPr="000862EC" w:rsidRDefault="003D139B" w:rsidP="00F2063A">
      <w:pPr>
        <w:autoSpaceDE w:val="0"/>
        <w:autoSpaceDN w:val="0"/>
        <w:adjustRightInd w:val="0"/>
        <w:spacing w:line="360" w:lineRule="auto"/>
        <w:jc w:val="both"/>
        <w:rPr>
          <w:rFonts w:cs="Arial"/>
          <w:b/>
          <w:spacing w:val="-3"/>
        </w:rPr>
      </w:pPr>
      <w:r w:rsidRPr="000862EC">
        <w:rPr>
          <w:rFonts w:cs="Arial"/>
          <w:b/>
          <w:spacing w:val="-3"/>
        </w:rPr>
        <w:t>Responsabilidad de la Dirección</w:t>
      </w:r>
    </w:p>
    <w:p w:rsidR="003D139B" w:rsidRPr="000862EC" w:rsidRDefault="003D139B" w:rsidP="00F2063A">
      <w:pPr>
        <w:autoSpaceDE w:val="0"/>
        <w:autoSpaceDN w:val="0"/>
        <w:adjustRightInd w:val="0"/>
        <w:spacing w:line="360" w:lineRule="auto"/>
        <w:jc w:val="both"/>
        <w:rPr>
          <w:rFonts w:cs="Arial"/>
          <w:spacing w:val="-3"/>
        </w:rPr>
      </w:pPr>
      <w:r w:rsidRPr="000862EC">
        <w:rPr>
          <w:rFonts w:cs="Arial"/>
          <w:spacing w:val="-3"/>
        </w:rPr>
        <w:t xml:space="preserve">La Dirección de </w:t>
      </w:r>
      <w:r w:rsidRPr="000862EC">
        <w:rPr>
          <w:rFonts w:cs="Arial"/>
          <w:color w:val="000000"/>
        </w:rPr>
        <w:t xml:space="preserve">ANCAP </w:t>
      </w:r>
      <w:r w:rsidRPr="000862EC">
        <w:rPr>
          <w:rFonts w:cs="Arial"/>
          <w:spacing w:val="-3"/>
        </w:rPr>
        <w:t xml:space="preserve">es responsable por la preparación y la razonable presentación de dicho estado, de acuerdo con </w:t>
      </w:r>
      <w:r w:rsidRPr="000862EC">
        <w:rPr>
          <w:rFonts w:cs="Arial"/>
          <w:color w:val="000000"/>
        </w:rPr>
        <w:t xml:space="preserve">las disposiciones legales vigentes, </w:t>
      </w:r>
      <w:r w:rsidRPr="000862EC">
        <w:rPr>
          <w:rFonts w:cs="Arial"/>
          <w:spacing w:val="-3"/>
        </w:rPr>
        <w:t>las normas y criterios establecidos en el TOCAF, en la Ordenanza       N° 75 de este Tribunal y en el Presupuesto vigente.</w:t>
      </w:r>
    </w:p>
    <w:p w:rsidR="003D139B" w:rsidRDefault="003D139B" w:rsidP="00DF454E">
      <w:pPr>
        <w:autoSpaceDE w:val="0"/>
        <w:autoSpaceDN w:val="0"/>
        <w:adjustRightInd w:val="0"/>
        <w:spacing w:line="360" w:lineRule="auto"/>
        <w:jc w:val="both"/>
        <w:rPr>
          <w:rFonts w:cs="Arial"/>
          <w:spacing w:val="-3"/>
        </w:rPr>
      </w:pPr>
      <w:r w:rsidRPr="000862EC">
        <w:rPr>
          <w:rFonts w:cs="Arial"/>
          <w:spacing w:val="-3"/>
        </w:rPr>
        <w:t>Esta responsabilidad incluye diseñar, implementar y mantener un sistema de control interno adecuado para la preparación y presentación razonable del mencionado estado que esté libre de errores significativos, ya sea debido a fraude o error, seleccionar y aplicar políticas contables apropiadas.</w:t>
      </w:r>
    </w:p>
    <w:p w:rsidR="003D139B" w:rsidRDefault="003D139B" w:rsidP="00DF454E">
      <w:pPr>
        <w:autoSpaceDE w:val="0"/>
        <w:autoSpaceDN w:val="0"/>
        <w:adjustRightInd w:val="0"/>
        <w:spacing w:line="360" w:lineRule="auto"/>
        <w:jc w:val="both"/>
        <w:rPr>
          <w:rFonts w:cs="Arial"/>
          <w:b/>
          <w:bCs/>
        </w:rPr>
      </w:pPr>
      <w:r w:rsidRPr="000862EC">
        <w:rPr>
          <w:rFonts w:cs="Arial"/>
          <w:b/>
          <w:bCs/>
        </w:rPr>
        <w:t>Responsabilidad del Auditor</w:t>
      </w:r>
    </w:p>
    <w:p w:rsidR="003D139B" w:rsidRPr="000862EC" w:rsidRDefault="003D139B" w:rsidP="00DF454E">
      <w:pPr>
        <w:autoSpaceDE w:val="0"/>
        <w:autoSpaceDN w:val="0"/>
        <w:adjustRightInd w:val="0"/>
        <w:spacing w:line="360" w:lineRule="auto"/>
        <w:jc w:val="both"/>
        <w:rPr>
          <w:rFonts w:cs="Arial"/>
        </w:rPr>
      </w:pPr>
      <w:r w:rsidRPr="000862EC">
        <w:rPr>
          <w:rFonts w:cs="Arial"/>
          <w:spacing w:val="-3"/>
        </w:rPr>
        <w:t xml:space="preserve">La responsabilidad del Tribunal de Cuentas es expresar una opinión sobre el Estado de Ejecución Presupuestal basada en la auditoría realizada. Esta auditoría fue practicada de acuerdo con los Principios Fundamentales de Auditoría (ISSAI 100 y 200) y las Directrices de Auditoría Financiera (ISSAI </w:t>
      </w:r>
      <w:smartTag w:uri="urn:schemas-microsoft-com:office:smarttags" w:element="metricconverter">
        <w:smartTagPr>
          <w:attr w:name="ProductID" w:val="1000 a"/>
        </w:smartTagPr>
        <w:r w:rsidRPr="000862EC">
          <w:rPr>
            <w:rFonts w:cs="Arial"/>
            <w:spacing w:val="-3"/>
          </w:rPr>
          <w:t>1000 a</w:t>
        </w:r>
      </w:smartTag>
      <w:r w:rsidRPr="000862EC">
        <w:rPr>
          <w:rFonts w:cs="Arial"/>
          <w:spacing w:val="-3"/>
        </w:rPr>
        <w:t xml:space="preserve"> 1810) de la Organización Internacional de Entidades Fiscalizadoras Superiores (INTOSAI). Estas normas requieren que se cumpla con requisitos éticos, se planifique y se realice la auditoría para obtener seguridad razonable acerca de si el estado presentado está libre de errores significativos.</w:t>
      </w:r>
      <w:r w:rsidR="004D1A79">
        <w:rPr>
          <w:rFonts w:cs="Arial"/>
          <w:spacing w:val="-3"/>
        </w:rPr>
        <w:t xml:space="preserve"> </w:t>
      </w:r>
      <w:r w:rsidRPr="000862EC">
        <w:rPr>
          <w:rFonts w:cs="Arial"/>
        </w:rPr>
        <w:t>Una auditoría implica realizar procedimientos para obtener evidencia acerca de los montos y revelaciones contables. Los procedimientos seleccionados dependen del juicio profesional del auditor. También incluye examinar, sobre una base selectiva, la forma de cumplimiento de las Leyes de Presupuesto y Contabilidad, la evidencia que respalda los importes y las revelaciones en el estado de ejecución presupuestal, evaluando tanto las normas contables utilizadas por la Dirección, como la presentación del estado en su conjunto. Se considera que la evidencia de auditoría obtenida brinda una base suficiente y apropiada para sustentar la opinión.</w:t>
      </w:r>
    </w:p>
    <w:p w:rsidR="003D139B" w:rsidRPr="000862EC" w:rsidRDefault="003D139B" w:rsidP="00DF454E">
      <w:pPr>
        <w:spacing w:line="360" w:lineRule="auto"/>
        <w:jc w:val="both"/>
        <w:rPr>
          <w:rFonts w:cs="Arial"/>
          <w:b/>
        </w:rPr>
      </w:pPr>
      <w:r w:rsidRPr="000862EC">
        <w:rPr>
          <w:rFonts w:cs="Arial"/>
          <w:b/>
        </w:rPr>
        <w:t>Opinión</w:t>
      </w:r>
    </w:p>
    <w:p w:rsidR="003D139B" w:rsidRPr="000862EC" w:rsidRDefault="003D139B" w:rsidP="00DF454E">
      <w:pPr>
        <w:spacing w:line="360" w:lineRule="auto"/>
        <w:jc w:val="both"/>
        <w:rPr>
          <w:rFonts w:cs="Arial"/>
          <w:spacing w:val="-3"/>
          <w:lang w:val="es-ES_tradnl"/>
        </w:rPr>
      </w:pPr>
      <w:r w:rsidRPr="000862EC">
        <w:rPr>
          <w:rFonts w:cs="Arial"/>
          <w:spacing w:val="-3"/>
          <w:lang w:val="es-ES_tradnl"/>
        </w:rPr>
        <w:t xml:space="preserve">En opinión del Tribunal de Cuentas, el estado mencionado presenta razonablemente, en todos sus aspectos importantes, la ejecución presupuestal de ANCAP </w:t>
      </w:r>
      <w:r w:rsidRPr="000862EC">
        <w:rPr>
          <w:rFonts w:cs="Arial"/>
        </w:rPr>
        <w:t>correspondiente al período 1° de enero al 31 de diciembre de 2015</w:t>
      </w:r>
      <w:r w:rsidRPr="000862EC">
        <w:rPr>
          <w:rFonts w:cs="Arial"/>
          <w:spacing w:val="-3"/>
          <w:lang w:val="es-ES_tradnl"/>
        </w:rPr>
        <w:t>, de acuerdo con las disposiciones legales aplicables, las normas y los criterios establecidos en el TOCAF, en la Ordenanza N° 75 del Tribunal de Cuentas y en el Decreto aprobatorio del Presupuesto del Ejercicio 2015.</w:t>
      </w:r>
    </w:p>
    <w:p w:rsidR="003D139B" w:rsidRPr="000862EC" w:rsidRDefault="003D139B" w:rsidP="00F2063A">
      <w:pPr>
        <w:autoSpaceDE w:val="0"/>
        <w:autoSpaceDN w:val="0"/>
        <w:adjustRightInd w:val="0"/>
        <w:spacing w:line="336" w:lineRule="auto"/>
        <w:jc w:val="both"/>
        <w:rPr>
          <w:rFonts w:cs="Arial"/>
          <w:bCs/>
        </w:rPr>
      </w:pPr>
      <w:r w:rsidRPr="000862EC">
        <w:rPr>
          <w:rFonts w:cs="Arial"/>
          <w:bCs/>
        </w:rPr>
        <w:t>En relación a la normativa vigente, relacionada con el estado objeto de examen, el Tribunal de Cuentas constató los siguientes incumplimientos:</w:t>
      </w:r>
    </w:p>
    <w:p w:rsidR="003D139B" w:rsidRPr="000862EC" w:rsidRDefault="003D139B" w:rsidP="000854B6">
      <w:pPr>
        <w:keepLines/>
        <w:numPr>
          <w:ilvl w:val="0"/>
          <w:numId w:val="2"/>
        </w:numPr>
        <w:spacing w:line="360" w:lineRule="auto"/>
        <w:ind w:left="360"/>
        <w:jc w:val="both"/>
        <w:rPr>
          <w:rFonts w:eastAsia="Arial Unicode MS" w:cs="Arial"/>
          <w:b/>
          <w:lang w:eastAsia="en-US"/>
        </w:rPr>
      </w:pPr>
      <w:r w:rsidRPr="000862EC">
        <w:rPr>
          <w:rFonts w:eastAsia="Arial Unicode MS" w:cs="Arial"/>
          <w:b/>
          <w:lang w:eastAsia="en-US"/>
        </w:rPr>
        <w:t>Artículo 12 y Numeral 1</w:t>
      </w:r>
      <w:r>
        <w:rPr>
          <w:rFonts w:eastAsia="Arial Unicode MS" w:cs="Arial"/>
          <w:b/>
          <w:lang w:eastAsia="en-US"/>
        </w:rPr>
        <w:t>)</w:t>
      </w:r>
      <w:r w:rsidRPr="000862EC">
        <w:rPr>
          <w:rFonts w:eastAsia="Arial Unicode MS" w:cs="Arial"/>
          <w:b/>
          <w:lang w:eastAsia="en-US"/>
        </w:rPr>
        <w:t xml:space="preserve"> del Artículo 95 del TOCAF</w:t>
      </w:r>
    </w:p>
    <w:p w:rsidR="003D139B" w:rsidRPr="000862EC" w:rsidRDefault="003D139B" w:rsidP="00DF454E">
      <w:pPr>
        <w:spacing w:line="360" w:lineRule="auto"/>
        <w:ind w:left="567"/>
        <w:jc w:val="both"/>
        <w:rPr>
          <w:rFonts w:cs="Arial"/>
        </w:rPr>
      </w:pPr>
      <w:r w:rsidRPr="000862EC">
        <w:rPr>
          <w:rFonts w:cs="Arial"/>
        </w:rPr>
        <w:t>El Ente no registra ni expone en los estados presentados los ingresos de acuerdo al criterio de lo percibido, incumpliendo las normas citadas.</w:t>
      </w:r>
    </w:p>
    <w:p w:rsidR="003D139B" w:rsidRPr="000862EC" w:rsidRDefault="003D139B" w:rsidP="00DF454E">
      <w:pPr>
        <w:keepLines/>
        <w:numPr>
          <w:ilvl w:val="0"/>
          <w:numId w:val="2"/>
        </w:numPr>
        <w:spacing w:line="360" w:lineRule="auto"/>
        <w:ind w:left="360"/>
        <w:jc w:val="both"/>
        <w:rPr>
          <w:rFonts w:cs="Arial"/>
        </w:rPr>
      </w:pPr>
      <w:r w:rsidRPr="000862EC">
        <w:rPr>
          <w:rFonts w:eastAsia="Arial Unicode MS" w:cs="Arial"/>
          <w:b/>
          <w:lang w:eastAsia="en-US"/>
        </w:rPr>
        <w:t>Artículos 95, 96 y 128  del TOCAF y Numeral 2) de la Ordenanza N° 75</w:t>
      </w:r>
    </w:p>
    <w:p w:rsidR="003D139B" w:rsidRPr="000862EC" w:rsidRDefault="003D139B" w:rsidP="00DF454E">
      <w:pPr>
        <w:pStyle w:val="Prrafodelista"/>
        <w:spacing w:line="360" w:lineRule="auto"/>
        <w:ind w:left="567"/>
        <w:jc w:val="both"/>
        <w:rPr>
          <w:rFonts w:cs="Arial"/>
        </w:rPr>
      </w:pPr>
      <w:r w:rsidRPr="000862EC">
        <w:rPr>
          <w:rFonts w:cs="Arial"/>
        </w:rPr>
        <w:t xml:space="preserve">-El Ente no presenta el resultado de la Ejecución Presupuestal, </w:t>
      </w:r>
      <w:r w:rsidRPr="000862EC">
        <w:rPr>
          <w:rFonts w:cs="Arial"/>
          <w:color w:val="000000"/>
        </w:rPr>
        <w:t xml:space="preserve">que para </w:t>
      </w:r>
      <w:r w:rsidRPr="000862EC">
        <w:rPr>
          <w:rFonts w:cs="Arial"/>
        </w:rPr>
        <w:t xml:space="preserve"> el Ejercicio 2015 es deficitario por</w:t>
      </w:r>
      <w:r>
        <w:rPr>
          <w:rFonts w:cs="Arial"/>
        </w:rPr>
        <w:t xml:space="preserve"> un</w:t>
      </w:r>
      <w:r w:rsidRPr="000862EC">
        <w:rPr>
          <w:rFonts w:cs="Arial"/>
        </w:rPr>
        <w:t xml:space="preserve"> importe de </w:t>
      </w:r>
      <w:r w:rsidRPr="000862EC">
        <w:rPr>
          <w:rFonts w:cs="Arial"/>
          <w:bCs/>
          <w:color w:val="000000"/>
        </w:rPr>
        <w:t>$13.230:946.010</w:t>
      </w:r>
      <w:r w:rsidRPr="000862EC">
        <w:rPr>
          <w:rFonts w:cs="Arial"/>
          <w:color w:val="000000"/>
        </w:rPr>
        <w:t>.</w:t>
      </w:r>
    </w:p>
    <w:p w:rsidR="003D139B" w:rsidRPr="000862EC" w:rsidRDefault="003D139B" w:rsidP="00AF2FD4">
      <w:pPr>
        <w:pStyle w:val="Prrafodelista"/>
        <w:tabs>
          <w:tab w:val="left" w:pos="1134"/>
          <w:tab w:val="right" w:pos="5387"/>
          <w:tab w:val="right" w:pos="8222"/>
        </w:tabs>
        <w:spacing w:line="360" w:lineRule="auto"/>
        <w:ind w:left="567"/>
        <w:jc w:val="both"/>
        <w:rPr>
          <w:rFonts w:cs="Arial"/>
        </w:rPr>
      </w:pPr>
      <w:r w:rsidRPr="000862EC">
        <w:rPr>
          <w:rFonts w:cs="Arial"/>
        </w:rPr>
        <w:t>-</w:t>
      </w:r>
      <w:r>
        <w:rPr>
          <w:rFonts w:cs="Arial"/>
        </w:rPr>
        <w:t>Presenta información de recursos aplicados al financiamiento de dicho déficit por un total $ 11.896.592.670, omitiendo información de fuentes de financiamiento por un importe de $ 1.334:353.340.</w:t>
      </w:r>
    </w:p>
    <w:p w:rsidR="003D139B" w:rsidRPr="000862EC" w:rsidRDefault="003D139B" w:rsidP="00AF2FD4">
      <w:pPr>
        <w:pStyle w:val="Prrafodelista"/>
        <w:tabs>
          <w:tab w:val="left" w:pos="1134"/>
          <w:tab w:val="right" w:pos="5387"/>
          <w:tab w:val="right" w:pos="8222"/>
        </w:tabs>
        <w:spacing w:line="360" w:lineRule="auto"/>
        <w:ind w:left="567"/>
        <w:jc w:val="both"/>
        <w:rPr>
          <w:rFonts w:cs="Arial"/>
        </w:rPr>
      </w:pPr>
      <w:r w:rsidRPr="008932EE">
        <w:rPr>
          <w:rFonts w:cs="Arial"/>
        </w:rPr>
        <w:t xml:space="preserve">- </w:t>
      </w:r>
      <w:r>
        <w:rPr>
          <w:rFonts w:cs="Arial"/>
        </w:rPr>
        <w:t xml:space="preserve">Imputa los créditos presupuestables duplicando el importe de </w:t>
      </w:r>
      <w:r w:rsidRPr="008932EE">
        <w:rPr>
          <w:rFonts w:cs="Arial"/>
        </w:rPr>
        <w:t>$419:507.260</w:t>
      </w:r>
      <w:r>
        <w:rPr>
          <w:rFonts w:cs="Arial"/>
        </w:rPr>
        <w:t>,</w:t>
      </w:r>
      <w:r w:rsidRPr="008932EE">
        <w:rPr>
          <w:rFonts w:cs="Arial"/>
        </w:rPr>
        <w:t xml:space="preserve"> </w:t>
      </w:r>
      <w:r>
        <w:rPr>
          <w:rFonts w:cs="Arial"/>
        </w:rPr>
        <w:t xml:space="preserve">correspondientes a </w:t>
      </w:r>
      <w:r w:rsidRPr="008932EE">
        <w:rPr>
          <w:rFonts w:cs="Arial"/>
        </w:rPr>
        <w:t xml:space="preserve">gastos de fletes de los embarques de las importaciones FOB, </w:t>
      </w:r>
      <w:r>
        <w:rPr>
          <w:rFonts w:cs="Arial"/>
        </w:rPr>
        <w:t>y</w:t>
      </w:r>
      <w:r w:rsidRPr="008932EE">
        <w:rPr>
          <w:rFonts w:cs="Arial"/>
        </w:rPr>
        <w:t xml:space="preserve"> aumenta en </w:t>
      </w:r>
      <w:r>
        <w:rPr>
          <w:rFonts w:cs="Arial"/>
        </w:rPr>
        <w:t>el mismo monto</w:t>
      </w:r>
      <w:r w:rsidRPr="008932EE">
        <w:rPr>
          <w:rFonts w:cs="Arial"/>
        </w:rPr>
        <w:t xml:space="preserve"> el concepto  “Otros Ingresos”</w:t>
      </w:r>
      <w:r>
        <w:rPr>
          <w:rFonts w:cs="Arial"/>
        </w:rPr>
        <w:t>,</w:t>
      </w:r>
      <w:r w:rsidRPr="008932EE">
        <w:rPr>
          <w:rFonts w:cs="Arial"/>
        </w:rPr>
        <w:t xml:space="preserve"> a efectos de </w:t>
      </w:r>
      <w:proofErr w:type="spellStart"/>
      <w:r w:rsidRPr="008932EE">
        <w:rPr>
          <w:rFonts w:cs="Arial"/>
        </w:rPr>
        <w:t>netear</w:t>
      </w:r>
      <w:proofErr w:type="spellEnd"/>
      <w:r w:rsidRPr="008932EE">
        <w:rPr>
          <w:rFonts w:cs="Arial"/>
        </w:rPr>
        <w:t xml:space="preserve"> dicha duplicación.</w:t>
      </w:r>
    </w:p>
    <w:p w:rsidR="003D139B" w:rsidRPr="000862EC" w:rsidRDefault="003D139B" w:rsidP="00AF2FD4">
      <w:pPr>
        <w:pStyle w:val="Prrafodelista"/>
        <w:spacing w:line="360" w:lineRule="auto"/>
        <w:ind w:left="567"/>
        <w:jc w:val="both"/>
        <w:rPr>
          <w:rFonts w:cs="Arial"/>
        </w:rPr>
      </w:pPr>
      <w:r w:rsidRPr="000862EC">
        <w:rPr>
          <w:rFonts w:cs="Arial"/>
        </w:rPr>
        <w:t xml:space="preserve">-No </w:t>
      </w:r>
      <w:r>
        <w:rPr>
          <w:rFonts w:cs="Arial"/>
        </w:rPr>
        <w:t>incluye</w:t>
      </w:r>
      <w:r w:rsidRPr="000862EC">
        <w:rPr>
          <w:rFonts w:cs="Arial"/>
        </w:rPr>
        <w:t xml:space="preserve"> entre los estados demostrativos del Balance de Ejecución Presupuestal, el del grado de cumplimiento de metas y objetivos y compromisos de inversiones no ejecutadas.</w:t>
      </w:r>
    </w:p>
    <w:p w:rsidR="003D139B" w:rsidRPr="000862EC" w:rsidRDefault="003D139B" w:rsidP="00AF2FD4">
      <w:pPr>
        <w:pStyle w:val="Prrafodelista"/>
        <w:spacing w:line="360" w:lineRule="auto"/>
        <w:ind w:left="567"/>
        <w:jc w:val="both"/>
        <w:rPr>
          <w:rFonts w:cs="Arial"/>
        </w:rPr>
      </w:pPr>
      <w:r w:rsidRPr="000862EC">
        <w:rPr>
          <w:rFonts w:cs="Arial"/>
        </w:rPr>
        <w:t xml:space="preserve">-No </w:t>
      </w:r>
      <w:r>
        <w:rPr>
          <w:rFonts w:cs="Arial"/>
        </w:rPr>
        <w:t>informa</w:t>
      </w:r>
      <w:r w:rsidRPr="000862EC">
        <w:rPr>
          <w:rFonts w:cs="Arial"/>
        </w:rPr>
        <w:t xml:space="preserve"> los compromisos referidos a gastos de inversión contraídos y no ejecutados en el Ejercicio, indicando los que tienen créditos para el </w:t>
      </w:r>
      <w:r>
        <w:rPr>
          <w:rFonts w:cs="Arial"/>
        </w:rPr>
        <w:t>e</w:t>
      </w:r>
      <w:r w:rsidRPr="000862EC">
        <w:rPr>
          <w:rFonts w:cs="Arial"/>
        </w:rPr>
        <w:t>jercicio siguiente y aquellos que, no teniéndolo, deban ser reprogramados.</w:t>
      </w:r>
    </w:p>
    <w:p w:rsidR="003D139B" w:rsidRPr="000862EC" w:rsidRDefault="003D139B" w:rsidP="000854B6">
      <w:pPr>
        <w:keepLines/>
        <w:numPr>
          <w:ilvl w:val="0"/>
          <w:numId w:val="2"/>
        </w:numPr>
        <w:spacing w:line="360" w:lineRule="auto"/>
        <w:ind w:left="360"/>
        <w:jc w:val="both"/>
        <w:rPr>
          <w:rFonts w:eastAsia="Arial Unicode MS" w:cs="Arial"/>
          <w:b/>
          <w:lang w:eastAsia="en-US"/>
        </w:rPr>
      </w:pPr>
      <w:r w:rsidRPr="000862EC">
        <w:rPr>
          <w:rFonts w:eastAsia="Arial Unicode MS" w:cs="Arial"/>
          <w:b/>
          <w:lang w:eastAsia="en-US"/>
        </w:rPr>
        <w:t>Artículos 32 y 43 del TOCAF (Fraccionamiento del gasto)</w:t>
      </w:r>
    </w:p>
    <w:p w:rsidR="003D139B" w:rsidRDefault="003D139B" w:rsidP="000F4060">
      <w:pPr>
        <w:spacing w:line="360" w:lineRule="auto"/>
        <w:ind w:left="567"/>
        <w:jc w:val="both"/>
        <w:rPr>
          <w:rFonts w:cs="Arial"/>
          <w:color w:val="000000"/>
        </w:rPr>
      </w:pPr>
      <w:r w:rsidRPr="000862EC">
        <w:rPr>
          <w:rFonts w:cs="Arial"/>
          <w:color w:val="000000"/>
        </w:rPr>
        <w:t xml:space="preserve">Se constató que durante el Ejercicio 2015, se efectuaron compras sin </w:t>
      </w:r>
      <w:r w:rsidRPr="000862EC">
        <w:rPr>
          <w:rFonts w:cs="Arial"/>
        </w:rPr>
        <w:t>adoptar las medidas necesarias para contratar los suministros o servicios por grupos de artículos en incumplimiento con lo previsto en la</w:t>
      </w:r>
      <w:r>
        <w:rPr>
          <w:rFonts w:cs="Arial"/>
        </w:rPr>
        <w:t>s</w:t>
      </w:r>
      <w:r w:rsidRPr="000862EC">
        <w:rPr>
          <w:rFonts w:cs="Arial"/>
        </w:rPr>
        <w:t xml:space="preserve"> </w:t>
      </w:r>
      <w:r>
        <w:rPr>
          <w:rFonts w:cs="Arial"/>
        </w:rPr>
        <w:t>disposiciones mencionadas</w:t>
      </w:r>
      <w:r w:rsidRPr="000862EC">
        <w:rPr>
          <w:rFonts w:cs="Arial"/>
          <w:color w:val="000000"/>
        </w:rPr>
        <w:t>.</w:t>
      </w:r>
    </w:p>
    <w:p w:rsidR="003D139B" w:rsidRPr="000862EC" w:rsidRDefault="003D139B" w:rsidP="00C65D34">
      <w:pPr>
        <w:keepLines/>
        <w:numPr>
          <w:ilvl w:val="0"/>
          <w:numId w:val="2"/>
        </w:numPr>
        <w:spacing w:line="360" w:lineRule="auto"/>
        <w:ind w:left="360"/>
        <w:jc w:val="both"/>
        <w:rPr>
          <w:rFonts w:eastAsia="Arial Unicode MS" w:cs="Arial"/>
          <w:b/>
          <w:lang w:eastAsia="en-US"/>
        </w:rPr>
      </w:pPr>
      <w:r w:rsidRPr="000862EC">
        <w:rPr>
          <w:rFonts w:eastAsia="Arial Unicode MS" w:cs="Arial"/>
          <w:b/>
          <w:lang w:eastAsia="en-US"/>
        </w:rPr>
        <w:t>Inexistencia de norma legal habilitante y Artículo 20 del TOCAF</w:t>
      </w:r>
    </w:p>
    <w:p w:rsidR="003D139B" w:rsidRPr="000862EC" w:rsidRDefault="003D139B" w:rsidP="00C65D34">
      <w:pPr>
        <w:tabs>
          <w:tab w:val="left" w:pos="1134"/>
          <w:tab w:val="right" w:pos="5387"/>
          <w:tab w:val="right" w:pos="8222"/>
        </w:tabs>
        <w:spacing w:line="360" w:lineRule="auto"/>
        <w:ind w:left="567"/>
        <w:jc w:val="both"/>
        <w:rPr>
          <w:rFonts w:cs="Arial"/>
        </w:rPr>
      </w:pPr>
      <w:r w:rsidRPr="000862EC">
        <w:rPr>
          <w:rFonts w:cs="Arial"/>
          <w:lang w:val="es-CO"/>
        </w:rPr>
        <w:t>Al 31 de diciembre de 2015, un funcionario de ANCAP prestaba funciones en</w:t>
      </w:r>
      <w:r w:rsidRPr="000862EC">
        <w:rPr>
          <w:rFonts w:cs="Arial"/>
        </w:rPr>
        <w:t xml:space="preserve"> la empresa DUCSA, siendo de cargo de ANCAP el pago de sus retribuciones personales, sin haber realizado </w:t>
      </w:r>
      <w:r>
        <w:rPr>
          <w:rFonts w:cs="Arial"/>
        </w:rPr>
        <w:t xml:space="preserve">la </w:t>
      </w:r>
      <w:r w:rsidRPr="000862EC">
        <w:rPr>
          <w:rFonts w:cs="Arial"/>
        </w:rPr>
        <w:t>efectiva prestación del servicio en el Ente.</w:t>
      </w:r>
    </w:p>
    <w:p w:rsidR="003D139B" w:rsidRPr="000862EC" w:rsidRDefault="003D139B" w:rsidP="00F2063A">
      <w:pPr>
        <w:keepLines/>
        <w:numPr>
          <w:ilvl w:val="0"/>
          <w:numId w:val="2"/>
        </w:numPr>
        <w:spacing w:line="360" w:lineRule="auto"/>
        <w:ind w:left="360"/>
        <w:jc w:val="both"/>
        <w:rPr>
          <w:rFonts w:eastAsia="Arial Unicode MS" w:cs="Arial"/>
          <w:b/>
        </w:rPr>
      </w:pPr>
      <w:r w:rsidRPr="000862EC">
        <w:rPr>
          <w:rFonts w:eastAsia="Arial Unicode MS" w:cs="Arial"/>
          <w:b/>
          <w:lang w:eastAsia="en-US"/>
        </w:rPr>
        <w:t xml:space="preserve">Artículo 4 de la Ley 16.462 y Artículo 16 de la Ley 18.996 (Retribución de los miembros de los Directorios de los Organismos comprendidos en el </w:t>
      </w:r>
      <w:hyperlink r:id="rId8" w:anchor="art221" w:tgtFrame="_blank" w:tooltip="Constitución vigente a la presente Ley" w:history="1">
        <w:r w:rsidRPr="000862EC">
          <w:rPr>
            <w:rFonts w:eastAsia="Arial Unicode MS" w:cs="Arial"/>
            <w:b/>
            <w:lang w:eastAsia="en-US"/>
          </w:rPr>
          <w:t>Artículo 221 de la Constitución de la República</w:t>
        </w:r>
      </w:hyperlink>
      <w:r w:rsidRPr="000862EC">
        <w:rPr>
          <w:rFonts w:eastAsia="Arial Unicode MS" w:cs="Arial"/>
          <w:b/>
          <w:lang w:eastAsia="en-US"/>
        </w:rPr>
        <w:t>)</w:t>
      </w:r>
    </w:p>
    <w:p w:rsidR="003D139B" w:rsidRPr="000862EC" w:rsidRDefault="003D139B" w:rsidP="0055521C">
      <w:pPr>
        <w:keepLines/>
        <w:spacing w:line="360" w:lineRule="auto"/>
        <w:ind w:left="567"/>
        <w:jc w:val="both"/>
        <w:rPr>
          <w:rFonts w:cs="Arial"/>
        </w:rPr>
      </w:pPr>
      <w:r w:rsidRPr="000862EC">
        <w:rPr>
          <w:rFonts w:cs="Arial"/>
        </w:rPr>
        <w:t>Se constató que las retribuciones de los Directores del Ente superaron los topes que se establecen en aplicación de las normas citadas.</w:t>
      </w:r>
    </w:p>
    <w:p w:rsidR="003D139B" w:rsidRPr="000862EC" w:rsidRDefault="003D139B" w:rsidP="00F2063A">
      <w:pPr>
        <w:keepLines/>
        <w:numPr>
          <w:ilvl w:val="0"/>
          <w:numId w:val="2"/>
        </w:numPr>
        <w:spacing w:line="360" w:lineRule="auto"/>
        <w:ind w:left="360"/>
        <w:jc w:val="both"/>
        <w:rPr>
          <w:rFonts w:eastAsia="Arial Unicode MS" w:cs="Arial"/>
          <w:b/>
          <w:lang w:eastAsia="en-US"/>
        </w:rPr>
      </w:pPr>
      <w:r w:rsidRPr="000862EC">
        <w:rPr>
          <w:rFonts w:eastAsia="Arial Unicode MS" w:cs="Arial"/>
          <w:b/>
          <w:lang w:eastAsia="en-US"/>
        </w:rPr>
        <w:t>Artículo 23 de la Ley 17.556 y Artículo 16 de la Ley 18.996 (tope erogaciones de Secretaría)</w:t>
      </w:r>
    </w:p>
    <w:p w:rsidR="003D139B" w:rsidRPr="000862EC" w:rsidRDefault="003D139B" w:rsidP="0055521C">
      <w:pPr>
        <w:keepLines/>
        <w:spacing w:line="360" w:lineRule="auto"/>
        <w:ind w:left="567"/>
        <w:jc w:val="both"/>
        <w:rPr>
          <w:rFonts w:cs="Arial"/>
        </w:rPr>
      </w:pPr>
      <w:r w:rsidRPr="000862EC">
        <w:rPr>
          <w:rFonts w:cs="Arial"/>
          <w:bCs/>
        </w:rPr>
        <w:t xml:space="preserve">El total de erogaciones de cada Secretaría excede el tope previsto en los artículos </w:t>
      </w:r>
      <w:r>
        <w:rPr>
          <w:rFonts w:cs="Arial"/>
          <w:bCs/>
        </w:rPr>
        <w:t>expuestos</w:t>
      </w:r>
      <w:r w:rsidRPr="000862EC">
        <w:rPr>
          <w:rFonts w:cs="Arial"/>
          <w:bCs/>
        </w:rPr>
        <w:t xml:space="preserve">. Asimismo, las personas designadas para esas funciones perciben </w:t>
      </w:r>
      <w:r w:rsidRPr="000862EC">
        <w:rPr>
          <w:rFonts w:cs="Arial"/>
        </w:rPr>
        <w:t>partidas salariales adicionales a las previstas en la normativa vigente.</w:t>
      </w:r>
    </w:p>
    <w:p w:rsidR="003D139B" w:rsidRPr="000862EC" w:rsidRDefault="003D139B" w:rsidP="0055521C">
      <w:pPr>
        <w:tabs>
          <w:tab w:val="left" w:pos="1134"/>
          <w:tab w:val="right" w:pos="5387"/>
          <w:tab w:val="right" w:pos="8222"/>
        </w:tabs>
        <w:spacing w:line="360" w:lineRule="auto"/>
        <w:ind w:left="567"/>
        <w:rPr>
          <w:rFonts w:cs="Arial"/>
          <w:lang w:val="es-CO"/>
        </w:rPr>
      </w:pPr>
    </w:p>
    <w:p w:rsidR="003D139B" w:rsidRPr="0067571C" w:rsidRDefault="003D139B" w:rsidP="0067571C">
      <w:pPr>
        <w:keepLines/>
        <w:numPr>
          <w:ilvl w:val="0"/>
          <w:numId w:val="2"/>
        </w:numPr>
        <w:spacing w:line="360" w:lineRule="auto"/>
        <w:ind w:left="360"/>
        <w:jc w:val="both"/>
        <w:rPr>
          <w:rFonts w:eastAsia="Arial Unicode MS" w:cs="Arial"/>
          <w:b/>
          <w:lang w:eastAsia="en-US"/>
        </w:rPr>
      </w:pPr>
      <w:r w:rsidRPr="0067571C">
        <w:rPr>
          <w:rFonts w:eastAsia="Arial Unicode MS" w:cs="Arial"/>
          <w:b/>
          <w:lang w:eastAsia="en-US"/>
        </w:rPr>
        <w:t>Artículo 87 de la Ley 14.416 (tope de horas extras)</w:t>
      </w:r>
    </w:p>
    <w:p w:rsidR="003D139B" w:rsidRPr="0067571C" w:rsidRDefault="003D139B" w:rsidP="0067571C">
      <w:pPr>
        <w:keepLines/>
        <w:spacing w:line="360" w:lineRule="auto"/>
        <w:ind w:left="567"/>
        <w:jc w:val="both"/>
        <w:rPr>
          <w:rFonts w:cs="Arial"/>
        </w:rPr>
      </w:pPr>
      <w:r w:rsidRPr="0067571C">
        <w:rPr>
          <w:rFonts w:cs="Arial"/>
        </w:rPr>
        <w:t>Los importes pagos por concepto de horas extras exceden el tope previsto en la ley mencionada.</w:t>
      </w:r>
    </w:p>
    <w:p w:rsidR="003D139B" w:rsidRPr="00F55D50" w:rsidRDefault="003D139B" w:rsidP="00F2063A">
      <w:pPr>
        <w:keepLines/>
        <w:numPr>
          <w:ilvl w:val="0"/>
          <w:numId w:val="2"/>
        </w:numPr>
        <w:spacing w:line="360" w:lineRule="auto"/>
        <w:ind w:left="360"/>
        <w:jc w:val="both"/>
        <w:rPr>
          <w:rFonts w:eastAsia="Arial Unicode MS" w:cs="Arial"/>
          <w:b/>
          <w:lang w:eastAsia="en-US"/>
        </w:rPr>
      </w:pPr>
      <w:r w:rsidRPr="00F55D50">
        <w:rPr>
          <w:rFonts w:eastAsia="Arial Unicode MS" w:cs="Arial"/>
          <w:b/>
          <w:lang w:eastAsia="en-US"/>
        </w:rPr>
        <w:t>Artículo 49 de la Ley Nº 18.651</w:t>
      </w:r>
    </w:p>
    <w:p w:rsidR="003D139B" w:rsidRDefault="003D139B" w:rsidP="0055521C">
      <w:pPr>
        <w:tabs>
          <w:tab w:val="left" w:pos="1134"/>
          <w:tab w:val="right" w:pos="5387"/>
          <w:tab w:val="right" w:pos="8222"/>
        </w:tabs>
        <w:spacing w:line="360" w:lineRule="auto"/>
        <w:ind w:left="567"/>
        <w:jc w:val="both"/>
        <w:rPr>
          <w:rFonts w:cs="Arial"/>
          <w:lang w:val="es-CO"/>
        </w:rPr>
      </w:pPr>
      <w:r w:rsidRPr="00F55D50">
        <w:rPr>
          <w:rFonts w:cs="Arial"/>
        </w:rPr>
        <w:t>Durante el Ejercicio no se contrat</w:t>
      </w:r>
      <w:r>
        <w:rPr>
          <w:rFonts w:cs="Arial"/>
        </w:rPr>
        <w:t>aron</w:t>
      </w:r>
      <w:r w:rsidRPr="00F55D50">
        <w:rPr>
          <w:rFonts w:cs="Arial"/>
        </w:rPr>
        <w:t xml:space="preserve"> personas con </w:t>
      </w:r>
      <w:r w:rsidRPr="00F55D50">
        <w:rPr>
          <w:rFonts w:cs="Arial"/>
          <w:lang w:val="es-CO"/>
        </w:rPr>
        <w:t xml:space="preserve">discapacidad </w:t>
      </w:r>
      <w:r>
        <w:rPr>
          <w:rFonts w:cs="Arial"/>
          <w:lang w:val="es-CO"/>
        </w:rPr>
        <w:t xml:space="preserve">de acuerdo a lo dispuesto </w:t>
      </w:r>
      <w:r w:rsidRPr="00F55D50">
        <w:rPr>
          <w:rFonts w:cs="Arial"/>
          <w:lang w:val="es-CO"/>
        </w:rPr>
        <w:t>en la citada norma.</w:t>
      </w:r>
    </w:p>
    <w:p w:rsidR="003D139B" w:rsidRDefault="003D139B" w:rsidP="00E678B6">
      <w:pPr>
        <w:keepLines/>
        <w:numPr>
          <w:ilvl w:val="0"/>
          <w:numId w:val="2"/>
        </w:numPr>
        <w:spacing w:line="360" w:lineRule="auto"/>
        <w:ind w:left="360"/>
        <w:jc w:val="both"/>
        <w:rPr>
          <w:rFonts w:eastAsia="Arial Unicode MS" w:cs="Arial"/>
          <w:b/>
          <w:lang w:eastAsia="en-US"/>
        </w:rPr>
      </w:pPr>
      <w:r>
        <w:rPr>
          <w:rFonts w:eastAsia="Arial Unicode MS" w:cs="Arial"/>
          <w:b/>
          <w:lang w:eastAsia="en-US"/>
        </w:rPr>
        <w:t>Artículo 226 de la Ley Nº 18.172 y Artículo 17 de la Ley Nº 17904</w:t>
      </w:r>
    </w:p>
    <w:p w:rsidR="003D139B" w:rsidRPr="00E678B6" w:rsidRDefault="003D139B" w:rsidP="00E678B6">
      <w:pPr>
        <w:keepLines/>
        <w:spacing w:line="360" w:lineRule="auto"/>
        <w:ind w:left="567"/>
        <w:jc w:val="both"/>
        <w:rPr>
          <w:rFonts w:eastAsia="Arial Unicode MS" w:cs="Arial"/>
          <w:lang w:eastAsia="en-US"/>
        </w:rPr>
      </w:pPr>
      <w:r>
        <w:rPr>
          <w:rFonts w:eastAsia="Arial Unicode MS" w:cs="Arial"/>
          <w:lang w:eastAsia="en-US"/>
        </w:rPr>
        <w:t xml:space="preserve">Con relación a lo previsto en la normativa vigente en el ejercicio no se dio cumplimiento a </w:t>
      </w:r>
      <w:r w:rsidR="00DF454E">
        <w:rPr>
          <w:rFonts w:eastAsia="Arial Unicode MS" w:cs="Arial"/>
          <w:lang w:eastAsia="en-US"/>
        </w:rPr>
        <w:t>lo establecido en dicha norma.</w:t>
      </w:r>
    </w:p>
    <w:p w:rsidR="003D139B" w:rsidRDefault="003D139B" w:rsidP="00F2063A">
      <w:pPr>
        <w:keepLines/>
        <w:numPr>
          <w:ilvl w:val="0"/>
          <w:numId w:val="2"/>
        </w:numPr>
        <w:spacing w:line="360" w:lineRule="auto"/>
        <w:ind w:left="360"/>
        <w:jc w:val="both"/>
        <w:rPr>
          <w:rFonts w:eastAsia="Arial Unicode MS" w:cs="Arial"/>
          <w:b/>
          <w:lang w:eastAsia="en-US"/>
        </w:rPr>
      </w:pPr>
      <w:r w:rsidRPr="000862EC">
        <w:rPr>
          <w:rFonts w:eastAsia="Arial Unicode MS" w:cs="Arial"/>
          <w:b/>
          <w:lang w:eastAsia="en-US"/>
        </w:rPr>
        <w:t>Decreto Nº 347/2013 de 24/10/2013</w:t>
      </w:r>
    </w:p>
    <w:p w:rsidR="003D139B" w:rsidRPr="000862EC" w:rsidRDefault="003D139B" w:rsidP="009F301A">
      <w:pPr>
        <w:keepLines/>
        <w:spacing w:line="360" w:lineRule="auto"/>
        <w:ind w:left="360"/>
        <w:jc w:val="both"/>
        <w:rPr>
          <w:rFonts w:eastAsia="Arial Unicode MS" w:cs="Arial"/>
          <w:b/>
          <w:lang w:eastAsia="en-US"/>
        </w:rPr>
      </w:pPr>
      <w:r>
        <w:rPr>
          <w:rFonts w:eastAsia="Arial Unicode MS" w:cs="Arial"/>
          <w:b/>
          <w:lang w:eastAsia="en-US"/>
        </w:rPr>
        <w:t>Artículos 1° y 4°</w:t>
      </w:r>
    </w:p>
    <w:p w:rsidR="003D139B" w:rsidRPr="00100C8F" w:rsidRDefault="003D139B" w:rsidP="00C65D34">
      <w:pPr>
        <w:keepLines/>
        <w:tabs>
          <w:tab w:val="left" w:pos="720"/>
        </w:tabs>
        <w:autoSpaceDE w:val="0"/>
        <w:autoSpaceDN w:val="0"/>
        <w:adjustRightInd w:val="0"/>
        <w:spacing w:line="360" w:lineRule="auto"/>
        <w:jc w:val="both"/>
        <w:rPr>
          <w:rFonts w:cs="Arial"/>
          <w:bCs/>
        </w:rPr>
      </w:pPr>
      <w:r w:rsidRPr="00100C8F">
        <w:rPr>
          <w:rFonts w:cs="Arial"/>
          <w:bCs/>
        </w:rPr>
        <w:t>-</w:t>
      </w:r>
      <w:r>
        <w:rPr>
          <w:rFonts w:cs="Arial"/>
          <w:bCs/>
        </w:rPr>
        <w:t>Los estados presentados para e</w:t>
      </w:r>
      <w:r w:rsidRPr="00100C8F">
        <w:rPr>
          <w:rFonts w:cs="Arial"/>
          <w:bCs/>
        </w:rPr>
        <w:t xml:space="preserve">l Presupuesto de Compras, Operativo y de Inversiones Financieras, no </w:t>
      </w:r>
      <w:r>
        <w:rPr>
          <w:rFonts w:cs="Arial"/>
          <w:bCs/>
        </w:rPr>
        <w:t>exponen</w:t>
      </w:r>
      <w:r w:rsidRPr="00100C8F">
        <w:rPr>
          <w:rFonts w:cs="Arial"/>
          <w:bCs/>
        </w:rPr>
        <w:t xml:space="preserve"> la misma apertura </w:t>
      </w:r>
      <w:r>
        <w:rPr>
          <w:rFonts w:cs="Arial"/>
          <w:bCs/>
        </w:rPr>
        <w:t xml:space="preserve">de grupos, subgrupos y renglones </w:t>
      </w:r>
      <w:r w:rsidRPr="00100C8F">
        <w:rPr>
          <w:rFonts w:cs="Arial"/>
          <w:bCs/>
        </w:rPr>
        <w:t xml:space="preserve">dispuesta en el </w:t>
      </w:r>
      <w:r>
        <w:rPr>
          <w:rFonts w:cs="Arial"/>
          <w:bCs/>
        </w:rPr>
        <w:t>Decreto Nº 347/2013.</w:t>
      </w:r>
    </w:p>
    <w:p w:rsidR="003D139B" w:rsidRPr="0055521C" w:rsidRDefault="003D139B" w:rsidP="0055521C">
      <w:pPr>
        <w:keepLines/>
        <w:tabs>
          <w:tab w:val="left" w:pos="720"/>
        </w:tabs>
        <w:autoSpaceDE w:val="0"/>
        <w:autoSpaceDN w:val="0"/>
        <w:adjustRightInd w:val="0"/>
        <w:spacing w:line="360" w:lineRule="auto"/>
        <w:ind w:left="426"/>
        <w:jc w:val="both"/>
        <w:rPr>
          <w:rFonts w:cs="Arial"/>
          <w:b/>
          <w:bCs/>
          <w:lang w:val="es-ES_tradnl"/>
        </w:rPr>
      </w:pPr>
      <w:r w:rsidRPr="0055521C">
        <w:rPr>
          <w:rFonts w:cs="Arial"/>
          <w:b/>
          <w:bCs/>
          <w:lang w:val="es-ES_tradnl"/>
        </w:rPr>
        <w:t>Artículo 10</w:t>
      </w:r>
      <w:r>
        <w:rPr>
          <w:rFonts w:cs="Arial"/>
          <w:b/>
          <w:bCs/>
          <w:lang w:val="es-ES_tradnl"/>
        </w:rPr>
        <w:t>°</w:t>
      </w:r>
    </w:p>
    <w:p w:rsidR="003D139B" w:rsidRPr="000862EC" w:rsidRDefault="003D139B" w:rsidP="00B25267">
      <w:pPr>
        <w:tabs>
          <w:tab w:val="left" w:pos="567"/>
        </w:tabs>
        <w:autoSpaceDE w:val="0"/>
        <w:autoSpaceDN w:val="0"/>
        <w:adjustRightInd w:val="0"/>
        <w:spacing w:line="360" w:lineRule="auto"/>
        <w:jc w:val="both"/>
        <w:outlineLvl w:val="0"/>
        <w:rPr>
          <w:rFonts w:cs="Arial"/>
        </w:rPr>
      </w:pPr>
      <w:r w:rsidRPr="00100C8F">
        <w:rPr>
          <w:rFonts w:cs="Arial"/>
          <w:bCs/>
        </w:rPr>
        <w:t>-</w:t>
      </w:r>
      <w:r w:rsidRPr="00100C8F">
        <w:rPr>
          <w:rFonts w:cs="Arial"/>
        </w:rPr>
        <w:t xml:space="preserve"> En relación al Sistema de Retribución Variable no se cumplió con lo dispuesto en </w:t>
      </w:r>
      <w:r>
        <w:rPr>
          <w:rFonts w:cs="Arial"/>
        </w:rPr>
        <w:t>cuanto a la comunicación al Tribunal de Cuentas, prevista  en la norma, de las revisiones anuales de dicho sistema.</w:t>
      </w:r>
    </w:p>
    <w:p w:rsidR="003D139B" w:rsidRPr="00EC61E0" w:rsidRDefault="003D139B" w:rsidP="00F2063A">
      <w:pPr>
        <w:keepLines/>
        <w:numPr>
          <w:ilvl w:val="0"/>
          <w:numId w:val="2"/>
        </w:numPr>
        <w:spacing w:line="360" w:lineRule="auto"/>
        <w:ind w:left="360"/>
        <w:jc w:val="both"/>
        <w:rPr>
          <w:rFonts w:eastAsia="Arial Unicode MS" w:cs="Arial"/>
          <w:b/>
          <w:lang w:eastAsia="en-US"/>
        </w:rPr>
      </w:pPr>
      <w:r w:rsidRPr="00EC61E0">
        <w:rPr>
          <w:rFonts w:eastAsia="Arial Unicode MS" w:cs="Arial"/>
          <w:b/>
          <w:lang w:eastAsia="en-US"/>
        </w:rPr>
        <w:t>Incumplimientos relacionados con el proceso del gasto</w:t>
      </w:r>
    </w:p>
    <w:p w:rsidR="003D139B" w:rsidRPr="000862EC" w:rsidRDefault="003D139B" w:rsidP="00F2063A">
      <w:pPr>
        <w:tabs>
          <w:tab w:val="left" w:pos="567"/>
        </w:tabs>
        <w:autoSpaceDE w:val="0"/>
        <w:autoSpaceDN w:val="0"/>
        <w:adjustRightInd w:val="0"/>
        <w:spacing w:line="336" w:lineRule="auto"/>
        <w:jc w:val="both"/>
        <w:outlineLvl w:val="0"/>
        <w:rPr>
          <w:rFonts w:cs="Arial"/>
          <w:b/>
          <w:bCs/>
        </w:rPr>
      </w:pPr>
      <w:r w:rsidRPr="00EC61E0">
        <w:rPr>
          <w:rFonts w:cs="Arial"/>
          <w:lang w:val="es-CO"/>
        </w:rPr>
        <w:t xml:space="preserve">Durante el ejercicio los Contadores Delegados y el Tribunal de Cuentas observaron gastos por incumplimiento del Artículo 211 Literal B) de la Constitución de la República, Artículos 15, 33, 43 y 65 del TOCAF y </w:t>
      </w:r>
      <w:r w:rsidRPr="00EC61E0">
        <w:rPr>
          <w:rFonts w:cs="Arial"/>
          <w:lang w:val="es-UY"/>
        </w:rPr>
        <w:t xml:space="preserve">Art. 23 Ley </w:t>
      </w:r>
      <w:r>
        <w:rPr>
          <w:rFonts w:cs="Arial"/>
          <w:lang w:val="es-UY"/>
        </w:rPr>
        <w:t xml:space="preserve">N° </w:t>
      </w:r>
      <w:r w:rsidRPr="00EC61E0">
        <w:rPr>
          <w:rFonts w:cs="Arial"/>
          <w:lang w:val="es-UY"/>
        </w:rPr>
        <w:t xml:space="preserve">17.556, </w:t>
      </w:r>
      <w:r w:rsidRPr="00EC61E0">
        <w:rPr>
          <w:rFonts w:cs="Arial"/>
          <w:lang w:val="es-CO"/>
        </w:rPr>
        <w:t xml:space="preserve">los que fueron reiterados por el </w:t>
      </w:r>
      <w:r w:rsidRPr="00EC61E0">
        <w:rPr>
          <w:rFonts w:cs="Arial"/>
          <w:bCs/>
        </w:rPr>
        <w:t>Ordenador competente.</w:t>
      </w:r>
    </w:p>
    <w:p w:rsidR="003D139B" w:rsidRDefault="003D139B" w:rsidP="00F2063A">
      <w:pPr>
        <w:keepLines/>
        <w:tabs>
          <w:tab w:val="left" w:pos="567"/>
        </w:tabs>
        <w:autoSpaceDE w:val="0"/>
        <w:autoSpaceDN w:val="0"/>
        <w:adjustRightInd w:val="0"/>
        <w:spacing w:line="336" w:lineRule="auto"/>
        <w:jc w:val="right"/>
        <w:outlineLvl w:val="0"/>
        <w:rPr>
          <w:rFonts w:cs="Arial"/>
        </w:rPr>
      </w:pPr>
      <w:r w:rsidRPr="000862EC">
        <w:rPr>
          <w:rFonts w:cs="Arial"/>
        </w:rPr>
        <w:t>Montevideo, 20 de diciembre de 2016</w:t>
      </w:r>
    </w:p>
    <w:p w:rsidR="003D139B" w:rsidRDefault="003D139B" w:rsidP="00F2063A">
      <w:pPr>
        <w:keepLines/>
        <w:tabs>
          <w:tab w:val="left" w:pos="567"/>
        </w:tabs>
        <w:autoSpaceDE w:val="0"/>
        <w:autoSpaceDN w:val="0"/>
        <w:adjustRightInd w:val="0"/>
        <w:spacing w:line="336" w:lineRule="auto"/>
        <w:jc w:val="right"/>
        <w:outlineLvl w:val="0"/>
        <w:rPr>
          <w:rFonts w:cs="Arial"/>
        </w:rPr>
      </w:pPr>
    </w:p>
    <w:p w:rsidR="003D139B" w:rsidRDefault="003D139B" w:rsidP="00F2063A">
      <w:pPr>
        <w:keepLines/>
        <w:tabs>
          <w:tab w:val="left" w:pos="567"/>
        </w:tabs>
        <w:autoSpaceDE w:val="0"/>
        <w:autoSpaceDN w:val="0"/>
        <w:adjustRightInd w:val="0"/>
        <w:spacing w:line="336" w:lineRule="auto"/>
        <w:jc w:val="right"/>
        <w:outlineLvl w:val="0"/>
        <w:rPr>
          <w:rFonts w:cs="Arial"/>
        </w:rPr>
      </w:pPr>
    </w:p>
    <w:p w:rsidR="003D139B" w:rsidRDefault="003D139B" w:rsidP="00F2063A">
      <w:pPr>
        <w:keepLines/>
        <w:tabs>
          <w:tab w:val="left" w:pos="567"/>
        </w:tabs>
        <w:autoSpaceDE w:val="0"/>
        <w:autoSpaceDN w:val="0"/>
        <w:adjustRightInd w:val="0"/>
        <w:spacing w:line="336" w:lineRule="auto"/>
        <w:jc w:val="right"/>
        <w:outlineLvl w:val="0"/>
        <w:rPr>
          <w:rFonts w:cs="Arial"/>
        </w:rPr>
      </w:pPr>
    </w:p>
    <w:p w:rsidR="003D139B" w:rsidRDefault="003D139B" w:rsidP="00DF454E">
      <w:pPr>
        <w:keepLines/>
        <w:tabs>
          <w:tab w:val="left" w:pos="567"/>
        </w:tabs>
        <w:autoSpaceDE w:val="0"/>
        <w:autoSpaceDN w:val="0"/>
        <w:adjustRightInd w:val="0"/>
        <w:spacing w:line="336" w:lineRule="auto"/>
        <w:outlineLvl w:val="0"/>
        <w:rPr>
          <w:rFonts w:cs="Arial"/>
        </w:rPr>
      </w:pPr>
      <w:proofErr w:type="spellStart"/>
      <w:r>
        <w:rPr>
          <w:rFonts w:cs="Arial"/>
        </w:rPr>
        <w:t>cr</w:t>
      </w:r>
      <w:proofErr w:type="spellEnd"/>
    </w:p>
    <w:p w:rsidR="003D139B" w:rsidRDefault="003D139B" w:rsidP="004E5DFE">
      <w:pPr>
        <w:spacing w:after="200" w:line="276" w:lineRule="auto"/>
        <w:rPr>
          <w:rFonts w:cs="Arial"/>
        </w:rPr>
      </w:pPr>
    </w:p>
    <w:p w:rsidR="003D139B" w:rsidRPr="000862EC" w:rsidRDefault="003D139B" w:rsidP="00F2063A">
      <w:pPr>
        <w:keepLines/>
        <w:tabs>
          <w:tab w:val="left" w:pos="0"/>
          <w:tab w:val="left" w:pos="660"/>
          <w:tab w:val="left" w:pos="720"/>
        </w:tabs>
        <w:suppressAutoHyphens/>
        <w:spacing w:line="360" w:lineRule="auto"/>
        <w:jc w:val="center"/>
        <w:rPr>
          <w:rFonts w:cs="Arial"/>
          <w:b/>
          <w:bCs/>
          <w:lang w:val="es-ES_tradnl" w:eastAsia="ar-SA"/>
        </w:rPr>
      </w:pPr>
      <w:r w:rsidRPr="000862EC">
        <w:rPr>
          <w:rFonts w:cs="Arial"/>
          <w:b/>
          <w:bCs/>
          <w:lang w:val="es-ES_tradnl" w:eastAsia="ar-SA"/>
        </w:rPr>
        <w:t>INFORME A LA ADMINISTRACIÓN</w:t>
      </w:r>
    </w:p>
    <w:p w:rsidR="003D139B" w:rsidRPr="000862EC" w:rsidRDefault="003D139B" w:rsidP="00F2063A">
      <w:pPr>
        <w:keepLines/>
        <w:tabs>
          <w:tab w:val="left" w:pos="0"/>
          <w:tab w:val="left" w:pos="660"/>
          <w:tab w:val="left" w:pos="720"/>
        </w:tabs>
        <w:suppressAutoHyphens/>
        <w:spacing w:line="360" w:lineRule="auto"/>
        <w:jc w:val="center"/>
        <w:rPr>
          <w:rFonts w:cs="Arial"/>
          <w:b/>
          <w:bCs/>
          <w:lang w:val="es-ES_tradnl" w:eastAsia="ar-SA"/>
        </w:rPr>
      </w:pPr>
    </w:p>
    <w:p w:rsidR="003D139B" w:rsidRPr="000862EC" w:rsidRDefault="003D139B" w:rsidP="00F2063A">
      <w:pPr>
        <w:keepLines/>
        <w:spacing w:line="360" w:lineRule="auto"/>
        <w:jc w:val="both"/>
        <w:rPr>
          <w:rFonts w:cs="Arial"/>
        </w:rPr>
      </w:pPr>
      <w:r w:rsidRPr="000862EC">
        <w:rPr>
          <w:rFonts w:cs="Arial"/>
          <w:bCs/>
        </w:rPr>
        <w:t xml:space="preserve">El Tribunal de Cuentas ha examinado el Estado de Ejecución Presupuestal de la Administración Nacional Combustibles, Alcohol y Portland </w:t>
      </w:r>
      <w:r w:rsidRPr="000862EC">
        <w:rPr>
          <w:rFonts w:cs="Arial"/>
          <w:color w:val="000000"/>
        </w:rPr>
        <w:t>(ANCAP)</w:t>
      </w:r>
      <w:r w:rsidRPr="000862EC">
        <w:rPr>
          <w:rFonts w:cs="Arial"/>
          <w:bCs/>
        </w:rPr>
        <w:t>, correspondiente al Ejercicio finalizado el 31</w:t>
      </w:r>
      <w:r w:rsidRPr="000862EC">
        <w:rPr>
          <w:rFonts w:cs="Arial"/>
        </w:rPr>
        <w:t xml:space="preserve"> de diciembre de 2015 y ha emitido su Dictamen.</w:t>
      </w:r>
    </w:p>
    <w:p w:rsidR="003D139B" w:rsidRPr="000862EC" w:rsidRDefault="003D139B" w:rsidP="00F2063A">
      <w:pPr>
        <w:keepLines/>
        <w:spacing w:line="360" w:lineRule="auto"/>
        <w:jc w:val="both"/>
        <w:rPr>
          <w:rFonts w:cs="Arial"/>
        </w:rPr>
      </w:pPr>
      <w:r w:rsidRPr="000862EC">
        <w:rPr>
          <w:rFonts w:cs="Arial"/>
        </w:rPr>
        <w:t>Este informe incluye comentarios que se ha entendido conveniente exponer, relacionados a la situación de determinados capítulos y rubros del estado examinado y a disposiciones legales vigentes.</w:t>
      </w:r>
    </w:p>
    <w:p w:rsidR="003D139B" w:rsidRPr="000862EC" w:rsidRDefault="003D139B" w:rsidP="00F2063A">
      <w:pPr>
        <w:keepLines/>
        <w:spacing w:line="360" w:lineRule="auto"/>
        <w:jc w:val="both"/>
        <w:rPr>
          <w:rFonts w:cs="Arial"/>
        </w:rPr>
      </w:pPr>
      <w:r w:rsidRPr="000862EC">
        <w:rPr>
          <w:rFonts w:cs="Arial"/>
        </w:rPr>
        <w:t xml:space="preserve">También se agregan las principales recomendaciones que </w:t>
      </w:r>
      <w:proofErr w:type="gramStart"/>
      <w:r w:rsidRPr="000862EC">
        <w:rPr>
          <w:rFonts w:cs="Arial"/>
        </w:rPr>
        <w:t>deberá</w:t>
      </w:r>
      <w:proofErr w:type="gramEnd"/>
      <w:r w:rsidRPr="000862EC">
        <w:rPr>
          <w:rFonts w:cs="Arial"/>
        </w:rPr>
        <w:t xml:space="preserve"> atender el Organismo y una evaluación del cumplimiento de las efectuadas en el Informe de Auditoría del Ejercicio anterior.</w:t>
      </w:r>
    </w:p>
    <w:p w:rsidR="003D139B" w:rsidRPr="000862EC" w:rsidRDefault="003D139B" w:rsidP="00F2063A">
      <w:pPr>
        <w:widowControl w:val="0"/>
        <w:numPr>
          <w:ilvl w:val="0"/>
          <w:numId w:val="4"/>
        </w:numPr>
        <w:suppressAutoHyphens/>
        <w:spacing w:line="360" w:lineRule="auto"/>
        <w:jc w:val="both"/>
        <w:rPr>
          <w:rFonts w:cs="Arial"/>
          <w:b/>
          <w:bCs/>
          <w:lang w:eastAsia="ar-SA"/>
        </w:rPr>
      </w:pPr>
      <w:r w:rsidRPr="000862EC">
        <w:rPr>
          <w:rFonts w:cs="Arial"/>
          <w:b/>
          <w:bCs/>
          <w:lang w:eastAsia="ar-SA"/>
        </w:rPr>
        <w:t>Aprobación y presentación del Estado de Ejecución Presupuestal</w:t>
      </w:r>
    </w:p>
    <w:p w:rsidR="003D139B" w:rsidRPr="000862EC" w:rsidRDefault="003D139B" w:rsidP="00F2063A">
      <w:pPr>
        <w:tabs>
          <w:tab w:val="left" w:pos="540"/>
        </w:tabs>
        <w:spacing w:line="360" w:lineRule="auto"/>
        <w:jc w:val="both"/>
        <w:rPr>
          <w:rFonts w:cs="Arial"/>
          <w:lang w:val="es-ES_tradnl"/>
        </w:rPr>
      </w:pPr>
      <w:r w:rsidRPr="00D206C3">
        <w:rPr>
          <w:rFonts w:cs="Arial"/>
        </w:rPr>
        <w:t>El mencionado Estado de Ejecución fue aprobado por el Directorio,</w:t>
      </w:r>
      <w:r w:rsidRPr="00D206C3">
        <w:rPr>
          <w:rFonts w:cs="Arial"/>
          <w:lang w:val="es-ES_tradnl"/>
        </w:rPr>
        <w:t xml:space="preserve"> según  Resolución de Directorio Nº 351/5/2016 de 25/5/2016</w:t>
      </w:r>
      <w:r w:rsidRPr="00D206C3">
        <w:rPr>
          <w:rFonts w:cs="Arial"/>
        </w:rPr>
        <w:t xml:space="preserve"> y remitido a este Tribunal el 30/05/2016</w:t>
      </w:r>
      <w:r>
        <w:rPr>
          <w:rFonts w:cs="Arial"/>
        </w:rPr>
        <w:t>.</w:t>
      </w:r>
      <w:r w:rsidRPr="00D206C3">
        <w:rPr>
          <w:rFonts w:cs="Arial"/>
        </w:rPr>
        <w:t xml:space="preserve"> </w:t>
      </w:r>
      <w:r w:rsidRPr="00D206C3">
        <w:rPr>
          <w:rFonts w:cs="Arial"/>
          <w:lang w:val="es-ES_tradnl"/>
        </w:rPr>
        <w:t>Dicha Resolución de Directorio no deja expresa constancia del resultado superavitario o deficitario del mismo.</w:t>
      </w:r>
    </w:p>
    <w:p w:rsidR="003D139B" w:rsidRPr="000862EC" w:rsidRDefault="003D139B" w:rsidP="00F2063A">
      <w:pPr>
        <w:keepLines/>
        <w:numPr>
          <w:ilvl w:val="0"/>
          <w:numId w:val="4"/>
        </w:numPr>
        <w:spacing w:line="360" w:lineRule="auto"/>
        <w:jc w:val="both"/>
        <w:rPr>
          <w:rFonts w:cs="Arial"/>
          <w:b/>
          <w:bCs/>
        </w:rPr>
      </w:pPr>
      <w:r w:rsidRPr="000862EC">
        <w:rPr>
          <w:rFonts w:cs="Arial"/>
          <w:b/>
          <w:bCs/>
        </w:rPr>
        <w:t>Situaciones constatadas</w:t>
      </w:r>
    </w:p>
    <w:p w:rsidR="003D139B" w:rsidRPr="000862EC" w:rsidRDefault="003D139B" w:rsidP="0009609E">
      <w:pPr>
        <w:keepLines/>
        <w:spacing w:after="200" w:line="360" w:lineRule="auto"/>
        <w:ind w:left="360"/>
        <w:jc w:val="both"/>
        <w:rPr>
          <w:rFonts w:cs="Arial"/>
        </w:rPr>
      </w:pPr>
      <w:r w:rsidRPr="000862EC">
        <w:rPr>
          <w:rFonts w:cs="Arial"/>
          <w:b/>
          <w:lang w:eastAsia="en-US"/>
        </w:rPr>
        <w:t>2.1 Registro, exposición de ingresos, financiación y resultado de la Ejecución Presupuestal del ejercicio</w:t>
      </w:r>
      <w:r>
        <w:rPr>
          <w:rFonts w:cs="Arial"/>
          <w:b/>
          <w:lang w:eastAsia="en-US"/>
        </w:rPr>
        <w:t xml:space="preserve"> (</w:t>
      </w:r>
      <w:r w:rsidRPr="000862EC">
        <w:rPr>
          <w:rFonts w:eastAsia="Arial Unicode MS" w:cs="Arial"/>
          <w:b/>
          <w:lang w:eastAsia="en-US"/>
        </w:rPr>
        <w:t xml:space="preserve">Artículos </w:t>
      </w:r>
      <w:r>
        <w:rPr>
          <w:rFonts w:eastAsia="Arial Unicode MS" w:cs="Arial"/>
          <w:b/>
          <w:lang w:eastAsia="en-US"/>
        </w:rPr>
        <w:t xml:space="preserve">12, </w:t>
      </w:r>
      <w:r w:rsidRPr="000862EC">
        <w:rPr>
          <w:rFonts w:eastAsia="Arial Unicode MS" w:cs="Arial"/>
          <w:b/>
          <w:lang w:eastAsia="en-US"/>
        </w:rPr>
        <w:t>95, 96 y 128 del TOCAF y Numeral 2) de la Ordenanza N° 75</w:t>
      </w:r>
      <w:r>
        <w:rPr>
          <w:rFonts w:eastAsia="Arial Unicode MS" w:cs="Arial"/>
          <w:b/>
          <w:lang w:eastAsia="en-US"/>
        </w:rPr>
        <w:t>)</w:t>
      </w:r>
    </w:p>
    <w:p w:rsidR="003D139B" w:rsidRPr="000862EC" w:rsidRDefault="003D139B" w:rsidP="00AF2FD4">
      <w:pPr>
        <w:pStyle w:val="Prrafodelista"/>
        <w:spacing w:line="360" w:lineRule="auto"/>
        <w:ind w:left="567"/>
        <w:jc w:val="both"/>
        <w:rPr>
          <w:rFonts w:cs="Arial"/>
        </w:rPr>
      </w:pPr>
      <w:r w:rsidRPr="000862EC">
        <w:rPr>
          <w:rFonts w:cs="Arial"/>
        </w:rPr>
        <w:t xml:space="preserve">-El Ente no presenta el cálculo del resultado de la Ejecución Presupuestal del Ejercicio 2015 </w:t>
      </w:r>
      <w:r w:rsidRPr="000862EC">
        <w:rPr>
          <w:rFonts w:cs="Arial"/>
          <w:color w:val="000000"/>
        </w:rPr>
        <w:t>resultante de</w:t>
      </w:r>
      <w:r w:rsidRPr="000862EC">
        <w:rPr>
          <w:rFonts w:cs="Arial"/>
        </w:rPr>
        <w:t xml:space="preserve"> la comparación entre ingresos </w:t>
      </w:r>
      <w:r>
        <w:rPr>
          <w:rFonts w:cs="Arial"/>
        </w:rPr>
        <w:t xml:space="preserve">presupuestales de $ </w:t>
      </w:r>
      <w:r w:rsidRPr="00D206C3">
        <w:rPr>
          <w:rFonts w:cs="Arial"/>
        </w:rPr>
        <w:t>85.447:775</w:t>
      </w:r>
      <w:r>
        <w:rPr>
          <w:rFonts w:cs="Arial"/>
        </w:rPr>
        <w:t>.468 y egresos presupuestales $</w:t>
      </w:r>
      <w:r w:rsidRPr="00D206C3">
        <w:rPr>
          <w:rFonts w:cs="Arial"/>
        </w:rPr>
        <w:t xml:space="preserve">98.678:701.478. </w:t>
      </w:r>
      <w:r w:rsidRPr="000862EC">
        <w:rPr>
          <w:rFonts w:cs="Arial"/>
        </w:rPr>
        <w:t xml:space="preserve">Dicha comparación determina un déficit presupuestal de </w:t>
      </w:r>
      <w:r w:rsidRPr="000862EC">
        <w:rPr>
          <w:rFonts w:cs="Arial"/>
          <w:bCs/>
          <w:color w:val="000000"/>
        </w:rPr>
        <w:t>$13.230:946.010</w:t>
      </w:r>
      <w:r w:rsidRPr="000862EC">
        <w:rPr>
          <w:rFonts w:cs="Arial"/>
          <w:color w:val="000000"/>
        </w:rPr>
        <w:t>.</w:t>
      </w:r>
    </w:p>
    <w:p w:rsidR="003D139B" w:rsidRPr="000862EC" w:rsidRDefault="003D139B" w:rsidP="00AF2FD4">
      <w:pPr>
        <w:pStyle w:val="Prrafodelista"/>
        <w:tabs>
          <w:tab w:val="left" w:pos="1134"/>
          <w:tab w:val="right" w:pos="5387"/>
          <w:tab w:val="right" w:pos="8222"/>
        </w:tabs>
        <w:spacing w:line="360" w:lineRule="auto"/>
        <w:ind w:left="567"/>
        <w:jc w:val="both"/>
        <w:rPr>
          <w:rFonts w:cs="Arial"/>
        </w:rPr>
      </w:pPr>
      <w:r w:rsidRPr="00E15ABA">
        <w:rPr>
          <w:rFonts w:cs="Arial"/>
        </w:rPr>
        <w:t>-En los estados de la Ejecución Presupuestal se presentan fuente</w:t>
      </w:r>
      <w:r>
        <w:rPr>
          <w:rFonts w:cs="Arial"/>
        </w:rPr>
        <w:t>s</w:t>
      </w:r>
      <w:r w:rsidRPr="00E15ABA">
        <w:rPr>
          <w:rFonts w:cs="Arial"/>
        </w:rPr>
        <w:t xml:space="preserve"> de financiamiento financiero por $ 11.631:091.000 y de utilización de fondos propios por $265:501.670</w:t>
      </w:r>
      <w:r>
        <w:rPr>
          <w:rFonts w:cs="Arial"/>
        </w:rPr>
        <w:t>,</w:t>
      </w:r>
      <w:r w:rsidRPr="00E15ABA">
        <w:rPr>
          <w:rFonts w:cs="Arial"/>
        </w:rPr>
        <w:t xml:space="preserve"> omitiendo </w:t>
      </w:r>
      <w:r>
        <w:rPr>
          <w:rFonts w:cs="Arial"/>
        </w:rPr>
        <w:t xml:space="preserve">la información de origen de </w:t>
      </w:r>
      <w:r w:rsidRPr="00E15ABA">
        <w:rPr>
          <w:rFonts w:cs="Arial"/>
        </w:rPr>
        <w:t>otras fuentes de financiamiento por $1.334:353.340.</w:t>
      </w:r>
    </w:p>
    <w:p w:rsidR="003D139B" w:rsidRPr="00E15ABA" w:rsidRDefault="003D139B" w:rsidP="00C74084">
      <w:pPr>
        <w:keepLines/>
        <w:spacing w:line="360" w:lineRule="auto"/>
        <w:ind w:left="567"/>
        <w:jc w:val="both"/>
        <w:rPr>
          <w:rFonts w:cs="Arial"/>
        </w:rPr>
      </w:pPr>
      <w:r w:rsidRPr="00E15ABA">
        <w:rPr>
          <w:rFonts w:cs="Arial"/>
        </w:rPr>
        <w:t xml:space="preserve">-Los ajustes correspondientes a los pagos de gastos de fletes de los embarques de las importaciones FOB se contabilizan en el </w:t>
      </w:r>
      <w:r>
        <w:rPr>
          <w:rFonts w:cs="Arial"/>
        </w:rPr>
        <w:t>e</w:t>
      </w:r>
      <w:r w:rsidRPr="00E15ABA">
        <w:rPr>
          <w:rFonts w:cs="Arial"/>
        </w:rPr>
        <w:t xml:space="preserve">jercicio en forma duplicada. </w:t>
      </w:r>
      <w:r>
        <w:rPr>
          <w:rFonts w:cs="Arial"/>
        </w:rPr>
        <w:t xml:space="preserve">Éstos </w:t>
      </w:r>
      <w:r w:rsidRPr="00E15ABA">
        <w:rPr>
          <w:rFonts w:cs="Arial"/>
        </w:rPr>
        <w:t>ascendieron a $419:507.260</w:t>
      </w:r>
      <w:r>
        <w:rPr>
          <w:rFonts w:cs="Arial"/>
        </w:rPr>
        <w:t xml:space="preserve"> </w:t>
      </w:r>
      <w:r w:rsidRPr="00E15ABA">
        <w:rPr>
          <w:rFonts w:cs="Arial"/>
        </w:rPr>
        <w:t xml:space="preserve">y el ajuste de dicha duplicación se expone </w:t>
      </w:r>
      <w:r>
        <w:rPr>
          <w:rFonts w:cs="Arial"/>
        </w:rPr>
        <w:t xml:space="preserve">aumentando </w:t>
      </w:r>
      <w:r w:rsidRPr="00E15ABA">
        <w:rPr>
          <w:rFonts w:cs="Arial"/>
        </w:rPr>
        <w:t xml:space="preserve">“Otros Ingresos” </w:t>
      </w:r>
      <w:r>
        <w:rPr>
          <w:rFonts w:cs="Arial"/>
        </w:rPr>
        <w:t>en ese</w:t>
      </w:r>
      <w:r w:rsidRPr="00E15ABA">
        <w:rPr>
          <w:rFonts w:cs="Arial"/>
        </w:rPr>
        <w:t xml:space="preserve"> importe.</w:t>
      </w:r>
    </w:p>
    <w:p w:rsidR="003D139B" w:rsidRPr="000862EC" w:rsidRDefault="003D139B" w:rsidP="00AF2FD4">
      <w:pPr>
        <w:pStyle w:val="Prrafodelista"/>
        <w:spacing w:line="360" w:lineRule="auto"/>
        <w:ind w:left="567"/>
        <w:jc w:val="both"/>
        <w:rPr>
          <w:rFonts w:cs="Arial"/>
        </w:rPr>
      </w:pPr>
      <w:r w:rsidRPr="00E15ABA">
        <w:rPr>
          <w:rFonts w:cs="Arial"/>
        </w:rPr>
        <w:t>-Con relación a la ejecución de los proyectos de inversi</w:t>
      </w:r>
      <w:r>
        <w:rPr>
          <w:rFonts w:cs="Arial"/>
        </w:rPr>
        <w:t>ón,</w:t>
      </w:r>
      <w:r w:rsidRPr="00E15ABA">
        <w:rPr>
          <w:rFonts w:cs="Arial"/>
        </w:rPr>
        <w:t xml:space="preserve">  </w:t>
      </w:r>
      <w:r>
        <w:rPr>
          <w:rFonts w:cs="Arial"/>
        </w:rPr>
        <w:t xml:space="preserve">que ascienden a </w:t>
      </w:r>
      <w:r w:rsidRPr="00E15ABA">
        <w:rPr>
          <w:rFonts w:cs="Arial"/>
        </w:rPr>
        <w:t xml:space="preserve">$ 666:010.929 </w:t>
      </w:r>
      <w:r>
        <w:rPr>
          <w:rFonts w:cs="Arial"/>
        </w:rPr>
        <w:t xml:space="preserve">para el </w:t>
      </w:r>
      <w:r w:rsidRPr="00E15ABA">
        <w:rPr>
          <w:rFonts w:cs="Arial"/>
        </w:rPr>
        <w:t>Programa</w:t>
      </w:r>
      <w:r>
        <w:rPr>
          <w:rFonts w:cs="Arial"/>
        </w:rPr>
        <w:t xml:space="preserve"> </w:t>
      </w:r>
      <w:r w:rsidRPr="00E15ABA">
        <w:rPr>
          <w:rFonts w:cs="Arial"/>
        </w:rPr>
        <w:t xml:space="preserve">Energía y $ 1.016:810.004 </w:t>
      </w:r>
      <w:r>
        <w:rPr>
          <w:rFonts w:cs="Arial"/>
        </w:rPr>
        <w:t xml:space="preserve">para el </w:t>
      </w:r>
      <w:r w:rsidRPr="00E15ABA">
        <w:rPr>
          <w:rFonts w:cs="Arial"/>
        </w:rPr>
        <w:t>Programa</w:t>
      </w:r>
      <w:r>
        <w:rPr>
          <w:rFonts w:cs="Arial"/>
        </w:rPr>
        <w:t xml:space="preserve"> </w:t>
      </w:r>
      <w:r w:rsidRPr="00E15ABA">
        <w:rPr>
          <w:rFonts w:cs="Arial"/>
        </w:rPr>
        <w:t>Portland</w:t>
      </w:r>
      <w:r>
        <w:rPr>
          <w:rFonts w:cs="Arial"/>
        </w:rPr>
        <w:t>,</w:t>
      </w:r>
      <w:r w:rsidRPr="00E15ABA">
        <w:rPr>
          <w:rFonts w:cs="Arial"/>
        </w:rPr>
        <w:t xml:space="preserve"> no se incluye el detalle del grado de cumplimiento de metas y objetivos y</w:t>
      </w:r>
      <w:r w:rsidRPr="000862EC">
        <w:rPr>
          <w:rFonts w:cs="Arial"/>
        </w:rPr>
        <w:t xml:space="preserve"> compromisos de inversiones no ejecutadas. Omitiendo informar los compromisos referidos a gastos de inversión contraídos y no ejecutados en el </w:t>
      </w:r>
      <w:r>
        <w:rPr>
          <w:rFonts w:cs="Arial"/>
        </w:rPr>
        <w:t>e</w:t>
      </w:r>
      <w:r w:rsidRPr="000862EC">
        <w:rPr>
          <w:rFonts w:cs="Arial"/>
        </w:rPr>
        <w:t xml:space="preserve">jercicio, indicando los que tienen créditos para el </w:t>
      </w:r>
      <w:r>
        <w:rPr>
          <w:rFonts w:cs="Arial"/>
        </w:rPr>
        <w:t>e</w:t>
      </w:r>
      <w:r w:rsidRPr="000862EC">
        <w:rPr>
          <w:rFonts w:cs="Arial"/>
        </w:rPr>
        <w:t>jercicio siguiente y aquellos que, no teniéndolo, deban ser reprogramados.</w:t>
      </w:r>
    </w:p>
    <w:p w:rsidR="003D139B" w:rsidRPr="000862EC" w:rsidRDefault="003D139B" w:rsidP="00DF454E">
      <w:pPr>
        <w:spacing w:line="360" w:lineRule="auto"/>
        <w:jc w:val="both"/>
        <w:rPr>
          <w:rFonts w:cs="Arial"/>
          <w:b/>
          <w:bCs/>
          <w:color w:val="000000"/>
          <w:lang w:eastAsia="ar-SA"/>
        </w:rPr>
      </w:pPr>
      <w:r w:rsidRPr="000862EC">
        <w:rPr>
          <w:rFonts w:cs="Arial"/>
          <w:b/>
          <w:lang w:eastAsia="en-US"/>
        </w:rPr>
        <w:t xml:space="preserve">2.2 </w:t>
      </w:r>
      <w:r w:rsidRPr="000862EC">
        <w:rPr>
          <w:rFonts w:cs="Arial"/>
          <w:b/>
          <w:bCs/>
          <w:color w:val="000000"/>
          <w:lang w:eastAsia="ar-SA"/>
        </w:rPr>
        <w:t>Artículo 43 del TOCAF (Fraccionamiento del gasto)</w:t>
      </w:r>
    </w:p>
    <w:p w:rsidR="003D139B" w:rsidRPr="000862EC" w:rsidRDefault="003D139B" w:rsidP="00DF454E">
      <w:pPr>
        <w:shd w:val="clear" w:color="auto" w:fill="FFFFFF"/>
        <w:spacing w:line="360" w:lineRule="auto"/>
        <w:ind w:left="567"/>
        <w:jc w:val="both"/>
        <w:rPr>
          <w:rFonts w:cs="Arial"/>
          <w:bCs/>
          <w:color w:val="000000"/>
          <w:highlight w:val="yellow"/>
        </w:rPr>
      </w:pPr>
      <w:r w:rsidRPr="000862EC">
        <w:rPr>
          <w:rFonts w:cs="Arial"/>
          <w:color w:val="000000"/>
        </w:rPr>
        <w:t xml:space="preserve">En </w:t>
      </w:r>
      <w:r>
        <w:rPr>
          <w:rFonts w:cs="Arial"/>
          <w:color w:val="000000"/>
        </w:rPr>
        <w:t>l</w:t>
      </w:r>
      <w:r w:rsidRPr="000862EC">
        <w:rPr>
          <w:rFonts w:cs="Arial"/>
          <w:color w:val="000000"/>
        </w:rPr>
        <w:t>a muestra analizada se consta</w:t>
      </w:r>
      <w:r>
        <w:rPr>
          <w:rFonts w:cs="Arial"/>
          <w:color w:val="000000"/>
        </w:rPr>
        <w:t>tó</w:t>
      </w:r>
      <w:r w:rsidRPr="000862EC">
        <w:rPr>
          <w:rFonts w:cs="Arial"/>
          <w:color w:val="000000"/>
        </w:rPr>
        <w:t xml:space="preserve"> que durante el </w:t>
      </w:r>
      <w:r>
        <w:rPr>
          <w:rFonts w:cs="Arial"/>
          <w:color w:val="000000"/>
        </w:rPr>
        <w:t>e</w:t>
      </w:r>
      <w:r w:rsidRPr="000862EC">
        <w:rPr>
          <w:rFonts w:cs="Arial"/>
          <w:color w:val="000000"/>
        </w:rPr>
        <w:t xml:space="preserve">jercicio 2015 se efectuaron compras directas </w:t>
      </w:r>
      <w:r>
        <w:rPr>
          <w:rFonts w:cs="Arial"/>
          <w:color w:val="000000"/>
        </w:rPr>
        <w:t xml:space="preserve">ampliadas </w:t>
      </w:r>
      <w:r w:rsidRPr="000862EC">
        <w:rPr>
          <w:rFonts w:cs="Arial"/>
          <w:color w:val="000000"/>
        </w:rPr>
        <w:t xml:space="preserve">sin </w:t>
      </w:r>
      <w:r w:rsidRPr="000862EC">
        <w:rPr>
          <w:rFonts w:cs="Arial"/>
        </w:rPr>
        <w:t>adoptar las medidas necesarias para contratar los suministros o servicios por grupos de artículos</w:t>
      </w:r>
      <w:r>
        <w:rPr>
          <w:rFonts w:cs="Arial"/>
        </w:rPr>
        <w:t>,</w:t>
      </w:r>
      <w:r w:rsidRPr="000862EC">
        <w:rPr>
          <w:rFonts w:cs="Arial"/>
        </w:rPr>
        <w:t xml:space="preserve"> en incumplimiento con lo previsto en la</w:t>
      </w:r>
      <w:r>
        <w:rPr>
          <w:rFonts w:cs="Arial"/>
        </w:rPr>
        <w:t>s</w:t>
      </w:r>
      <w:r w:rsidRPr="000862EC">
        <w:rPr>
          <w:rFonts w:cs="Arial"/>
        </w:rPr>
        <w:t xml:space="preserve"> norma</w:t>
      </w:r>
      <w:r>
        <w:rPr>
          <w:rFonts w:cs="Arial"/>
        </w:rPr>
        <w:t>s cita</w:t>
      </w:r>
      <w:r w:rsidRPr="000862EC">
        <w:rPr>
          <w:rFonts w:cs="Arial"/>
          <w:color w:val="000000"/>
        </w:rPr>
        <w:t xml:space="preserve"> de acuerdo con el siguiente detalle:</w:t>
      </w:r>
    </w:p>
    <w:tbl>
      <w:tblPr>
        <w:tblW w:w="7242"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5"/>
        <w:gridCol w:w="1812"/>
        <w:gridCol w:w="1052"/>
        <w:gridCol w:w="1423"/>
      </w:tblGrid>
      <w:tr w:rsidR="003D139B" w:rsidRPr="00F55D50" w:rsidTr="00DF454E">
        <w:trPr>
          <w:trHeight w:val="450"/>
        </w:trPr>
        <w:tc>
          <w:tcPr>
            <w:tcW w:w="2955" w:type="dxa"/>
            <w:shd w:val="clear" w:color="000000" w:fill="FFFFFF" w:themeFill="background1"/>
            <w:vAlign w:val="center"/>
            <w:hideMark/>
          </w:tcPr>
          <w:p w:rsidR="003D139B" w:rsidRPr="00F55D50" w:rsidRDefault="003D139B" w:rsidP="00DF454E">
            <w:pPr>
              <w:rPr>
                <w:rFonts w:cs="Arial"/>
                <w:b/>
                <w:bCs/>
                <w:sz w:val="20"/>
                <w:szCs w:val="20"/>
                <w:lang w:val="es-UY" w:eastAsia="es-UY"/>
              </w:rPr>
            </w:pPr>
            <w:r w:rsidRPr="00F55D50">
              <w:rPr>
                <w:rFonts w:cs="Arial"/>
                <w:b/>
                <w:bCs/>
                <w:sz w:val="20"/>
                <w:szCs w:val="20"/>
                <w:lang w:val="es-UY" w:eastAsia="es-UY"/>
              </w:rPr>
              <w:t>Empresa</w:t>
            </w:r>
          </w:p>
        </w:tc>
        <w:tc>
          <w:tcPr>
            <w:tcW w:w="1812" w:type="dxa"/>
            <w:shd w:val="clear" w:color="000000" w:fill="FFFFFF" w:themeFill="background1"/>
            <w:vAlign w:val="center"/>
            <w:hideMark/>
          </w:tcPr>
          <w:p w:rsidR="003D139B" w:rsidRPr="00F55D50" w:rsidRDefault="003D139B" w:rsidP="00DF454E">
            <w:pPr>
              <w:rPr>
                <w:rFonts w:cs="Arial"/>
                <w:b/>
                <w:bCs/>
                <w:sz w:val="20"/>
                <w:szCs w:val="20"/>
                <w:lang w:val="es-UY" w:eastAsia="es-UY"/>
              </w:rPr>
            </w:pPr>
            <w:r w:rsidRPr="00F55D50">
              <w:rPr>
                <w:rFonts w:cs="Arial"/>
                <w:b/>
                <w:bCs/>
                <w:sz w:val="20"/>
                <w:szCs w:val="20"/>
                <w:lang w:val="es-UY" w:eastAsia="es-UY"/>
              </w:rPr>
              <w:t>Objeto del contrato</w:t>
            </w:r>
          </w:p>
        </w:tc>
        <w:tc>
          <w:tcPr>
            <w:tcW w:w="1052" w:type="dxa"/>
            <w:shd w:val="clear" w:color="000000" w:fill="FFFFFF" w:themeFill="background1"/>
            <w:vAlign w:val="center"/>
            <w:hideMark/>
          </w:tcPr>
          <w:p w:rsidR="003D139B" w:rsidRPr="00F55D50" w:rsidRDefault="003D139B" w:rsidP="00DF454E">
            <w:pPr>
              <w:rPr>
                <w:rFonts w:cs="Arial"/>
                <w:b/>
                <w:bCs/>
                <w:sz w:val="20"/>
                <w:szCs w:val="20"/>
                <w:lang w:val="es-UY" w:eastAsia="es-UY"/>
              </w:rPr>
            </w:pPr>
            <w:r w:rsidRPr="00F55D50">
              <w:rPr>
                <w:rFonts w:cs="Arial"/>
                <w:b/>
                <w:bCs/>
                <w:sz w:val="20"/>
                <w:szCs w:val="20"/>
                <w:lang w:val="es-UY" w:eastAsia="es-UY"/>
              </w:rPr>
              <w:t>Cantidad de contratos</w:t>
            </w:r>
          </w:p>
        </w:tc>
        <w:tc>
          <w:tcPr>
            <w:tcW w:w="1423" w:type="dxa"/>
            <w:shd w:val="clear" w:color="000000" w:fill="FFFFFF" w:themeFill="background1"/>
            <w:vAlign w:val="center"/>
            <w:hideMark/>
          </w:tcPr>
          <w:p w:rsidR="003D139B" w:rsidRPr="00F55D50" w:rsidRDefault="003D139B" w:rsidP="00DF454E">
            <w:pPr>
              <w:rPr>
                <w:rFonts w:cs="Arial"/>
                <w:b/>
                <w:bCs/>
                <w:sz w:val="20"/>
                <w:szCs w:val="20"/>
                <w:lang w:val="es-UY" w:eastAsia="es-UY"/>
              </w:rPr>
            </w:pPr>
            <w:r w:rsidRPr="00F55D50">
              <w:rPr>
                <w:rFonts w:cs="Arial"/>
                <w:b/>
                <w:bCs/>
                <w:sz w:val="20"/>
                <w:szCs w:val="20"/>
                <w:lang w:val="es-UY" w:eastAsia="es-UY"/>
              </w:rPr>
              <w:t xml:space="preserve">Importe $ </w:t>
            </w:r>
          </w:p>
        </w:tc>
      </w:tr>
      <w:tr w:rsidR="003D139B" w:rsidRPr="00F55D50" w:rsidTr="00DF454E">
        <w:trPr>
          <w:trHeight w:val="300"/>
        </w:trPr>
        <w:tc>
          <w:tcPr>
            <w:tcW w:w="2955" w:type="dxa"/>
            <w:shd w:val="clear" w:color="auto" w:fill="auto"/>
            <w:vAlign w:val="center"/>
          </w:tcPr>
          <w:p w:rsidR="003D139B" w:rsidRPr="00F55D50" w:rsidRDefault="003D139B" w:rsidP="00DF454E">
            <w:pPr>
              <w:rPr>
                <w:rFonts w:cs="Arial"/>
                <w:sz w:val="20"/>
                <w:szCs w:val="20"/>
                <w:lang w:val="es-UY" w:eastAsia="es-UY"/>
              </w:rPr>
            </w:pPr>
            <w:r w:rsidRPr="00F55D50">
              <w:rPr>
                <w:rFonts w:cs="Arial"/>
                <w:sz w:val="20"/>
                <w:szCs w:val="20"/>
                <w:lang w:val="es-UY" w:eastAsia="es-UY"/>
              </w:rPr>
              <w:t>TRANSDYV S.R.L.</w:t>
            </w:r>
          </w:p>
        </w:tc>
        <w:tc>
          <w:tcPr>
            <w:tcW w:w="1812" w:type="dxa"/>
            <w:shd w:val="clear" w:color="auto" w:fill="auto"/>
            <w:vAlign w:val="center"/>
          </w:tcPr>
          <w:p w:rsidR="003D139B" w:rsidRPr="00F55D50" w:rsidRDefault="003D139B" w:rsidP="00DF454E">
            <w:pPr>
              <w:rPr>
                <w:rFonts w:cs="Arial"/>
                <w:sz w:val="20"/>
                <w:szCs w:val="20"/>
                <w:lang w:val="es-UY" w:eastAsia="es-UY"/>
              </w:rPr>
            </w:pPr>
            <w:r w:rsidRPr="00F55D50">
              <w:rPr>
                <w:rFonts w:cs="Arial"/>
                <w:sz w:val="20"/>
                <w:szCs w:val="20"/>
                <w:lang w:val="es-UY" w:eastAsia="es-UY"/>
              </w:rPr>
              <w:t>Servicio de limpieza</w:t>
            </w:r>
          </w:p>
        </w:tc>
        <w:tc>
          <w:tcPr>
            <w:tcW w:w="1052" w:type="dxa"/>
            <w:shd w:val="clear" w:color="auto" w:fill="auto"/>
            <w:vAlign w:val="center"/>
          </w:tcPr>
          <w:p w:rsidR="003D139B" w:rsidRPr="00F55D50" w:rsidRDefault="003D139B" w:rsidP="00DF454E">
            <w:pPr>
              <w:rPr>
                <w:rFonts w:cs="Arial"/>
                <w:bCs/>
                <w:sz w:val="20"/>
                <w:szCs w:val="20"/>
                <w:lang w:val="es-UY" w:eastAsia="es-UY"/>
              </w:rPr>
            </w:pPr>
            <w:r w:rsidRPr="00F55D50">
              <w:rPr>
                <w:rFonts w:cs="Arial"/>
                <w:bCs/>
                <w:sz w:val="20"/>
                <w:szCs w:val="20"/>
                <w:lang w:val="es-UY" w:eastAsia="es-UY"/>
              </w:rPr>
              <w:t>4</w:t>
            </w:r>
          </w:p>
        </w:tc>
        <w:tc>
          <w:tcPr>
            <w:tcW w:w="1423" w:type="dxa"/>
            <w:shd w:val="clear" w:color="auto" w:fill="auto"/>
            <w:vAlign w:val="center"/>
          </w:tcPr>
          <w:p w:rsidR="003D139B" w:rsidRPr="00F55D50" w:rsidRDefault="003D139B" w:rsidP="00DF454E">
            <w:pPr>
              <w:jc w:val="right"/>
              <w:rPr>
                <w:rFonts w:cs="Arial"/>
                <w:bCs/>
                <w:color w:val="000000"/>
                <w:sz w:val="20"/>
                <w:szCs w:val="20"/>
                <w:lang w:val="es-UY" w:eastAsia="es-UY"/>
              </w:rPr>
            </w:pPr>
            <w:r w:rsidRPr="00F55D50">
              <w:rPr>
                <w:rFonts w:cs="Arial"/>
                <w:bCs/>
                <w:color w:val="000000"/>
                <w:sz w:val="20"/>
                <w:szCs w:val="20"/>
                <w:lang w:val="es-UY" w:eastAsia="es-UY"/>
              </w:rPr>
              <w:t>2.140.000,00</w:t>
            </w:r>
          </w:p>
        </w:tc>
      </w:tr>
      <w:tr w:rsidR="003D139B" w:rsidRPr="00F55D50" w:rsidTr="00DF454E">
        <w:trPr>
          <w:trHeight w:val="300"/>
        </w:trPr>
        <w:tc>
          <w:tcPr>
            <w:tcW w:w="2955" w:type="dxa"/>
            <w:shd w:val="clear" w:color="auto" w:fill="auto"/>
            <w:vAlign w:val="center"/>
            <w:hideMark/>
          </w:tcPr>
          <w:p w:rsidR="003D139B" w:rsidRPr="00F55D50" w:rsidRDefault="003D139B" w:rsidP="00DF454E">
            <w:pPr>
              <w:rPr>
                <w:rFonts w:cs="Arial"/>
                <w:sz w:val="20"/>
                <w:szCs w:val="20"/>
                <w:lang w:val="es-UY" w:eastAsia="es-UY"/>
              </w:rPr>
            </w:pPr>
            <w:r w:rsidRPr="00F55D50">
              <w:rPr>
                <w:rFonts w:cs="Arial"/>
                <w:sz w:val="20"/>
                <w:szCs w:val="20"/>
                <w:lang w:val="es-UY" w:eastAsia="es-UY"/>
              </w:rPr>
              <w:t> TRANSDYV S.R.L.</w:t>
            </w:r>
          </w:p>
        </w:tc>
        <w:tc>
          <w:tcPr>
            <w:tcW w:w="1812" w:type="dxa"/>
            <w:shd w:val="clear" w:color="auto" w:fill="auto"/>
            <w:vAlign w:val="center"/>
            <w:hideMark/>
          </w:tcPr>
          <w:p w:rsidR="003D139B" w:rsidRPr="00F55D50" w:rsidRDefault="003D139B" w:rsidP="00DF454E">
            <w:pPr>
              <w:rPr>
                <w:rFonts w:cs="Arial"/>
                <w:sz w:val="20"/>
                <w:szCs w:val="20"/>
                <w:lang w:val="es-UY" w:eastAsia="es-UY"/>
              </w:rPr>
            </w:pPr>
            <w:r w:rsidRPr="00F55D50">
              <w:rPr>
                <w:rFonts w:cs="Arial"/>
                <w:sz w:val="20"/>
                <w:szCs w:val="20"/>
                <w:lang w:val="es-UY" w:eastAsia="es-UY"/>
              </w:rPr>
              <w:t>Servicio de limpieza</w:t>
            </w:r>
          </w:p>
        </w:tc>
        <w:tc>
          <w:tcPr>
            <w:tcW w:w="1052" w:type="dxa"/>
            <w:shd w:val="clear" w:color="auto" w:fill="auto"/>
            <w:vAlign w:val="center"/>
          </w:tcPr>
          <w:p w:rsidR="003D139B" w:rsidRPr="00F55D50" w:rsidRDefault="003D139B" w:rsidP="00DF454E">
            <w:pPr>
              <w:rPr>
                <w:rFonts w:cs="Arial"/>
                <w:bCs/>
                <w:sz w:val="20"/>
                <w:szCs w:val="20"/>
                <w:lang w:val="es-UY" w:eastAsia="es-UY"/>
              </w:rPr>
            </w:pPr>
            <w:r w:rsidRPr="00F55D50">
              <w:rPr>
                <w:rFonts w:cs="Arial"/>
                <w:bCs/>
                <w:sz w:val="20"/>
                <w:szCs w:val="20"/>
                <w:lang w:val="es-UY" w:eastAsia="es-UY"/>
              </w:rPr>
              <w:t>2</w:t>
            </w:r>
          </w:p>
        </w:tc>
        <w:tc>
          <w:tcPr>
            <w:tcW w:w="1423" w:type="dxa"/>
            <w:shd w:val="clear" w:color="auto" w:fill="auto"/>
            <w:vAlign w:val="center"/>
            <w:hideMark/>
          </w:tcPr>
          <w:p w:rsidR="003D139B" w:rsidRPr="00F55D50" w:rsidRDefault="003D139B" w:rsidP="00DF454E">
            <w:pPr>
              <w:jc w:val="right"/>
              <w:rPr>
                <w:rFonts w:cs="Arial"/>
                <w:bCs/>
                <w:color w:val="000000"/>
                <w:sz w:val="20"/>
                <w:szCs w:val="20"/>
                <w:lang w:val="es-UY" w:eastAsia="es-UY"/>
              </w:rPr>
            </w:pPr>
            <w:r w:rsidRPr="00F55D50">
              <w:rPr>
                <w:rFonts w:cs="Arial"/>
                <w:bCs/>
                <w:color w:val="000000"/>
                <w:sz w:val="20"/>
                <w:szCs w:val="20"/>
                <w:lang w:val="es-UY" w:eastAsia="es-UY"/>
              </w:rPr>
              <w:t>6.868.800,00</w:t>
            </w:r>
          </w:p>
        </w:tc>
      </w:tr>
      <w:tr w:rsidR="003D139B" w:rsidRPr="00F55D50" w:rsidTr="00DF454E">
        <w:trPr>
          <w:trHeight w:val="300"/>
        </w:trPr>
        <w:tc>
          <w:tcPr>
            <w:tcW w:w="2955" w:type="dxa"/>
            <w:shd w:val="clear" w:color="auto" w:fill="auto"/>
            <w:vAlign w:val="center"/>
            <w:hideMark/>
          </w:tcPr>
          <w:p w:rsidR="003D139B" w:rsidRPr="00F55D50" w:rsidRDefault="003D139B" w:rsidP="00DF454E">
            <w:pPr>
              <w:rPr>
                <w:rFonts w:cs="Arial"/>
                <w:sz w:val="20"/>
                <w:szCs w:val="20"/>
                <w:lang w:val="es-UY" w:eastAsia="es-UY"/>
              </w:rPr>
            </w:pPr>
            <w:r w:rsidRPr="00F55D50">
              <w:rPr>
                <w:rFonts w:cs="Arial"/>
                <w:sz w:val="20"/>
                <w:szCs w:val="20"/>
                <w:lang w:val="es-UY" w:eastAsia="es-UY"/>
              </w:rPr>
              <w:t> DESA LIMITADA</w:t>
            </w:r>
          </w:p>
        </w:tc>
        <w:tc>
          <w:tcPr>
            <w:tcW w:w="1812" w:type="dxa"/>
            <w:shd w:val="clear" w:color="auto" w:fill="auto"/>
            <w:vAlign w:val="center"/>
            <w:hideMark/>
          </w:tcPr>
          <w:p w:rsidR="003D139B" w:rsidRPr="00F55D50" w:rsidRDefault="003D139B" w:rsidP="00DF454E">
            <w:pPr>
              <w:rPr>
                <w:rFonts w:cs="Arial"/>
                <w:sz w:val="20"/>
                <w:szCs w:val="20"/>
                <w:lang w:val="es-UY" w:eastAsia="es-UY"/>
              </w:rPr>
            </w:pPr>
            <w:r w:rsidRPr="00F55D50">
              <w:rPr>
                <w:rFonts w:cs="Arial"/>
                <w:sz w:val="20"/>
                <w:szCs w:val="20"/>
                <w:lang w:val="es-UY" w:eastAsia="es-UY"/>
              </w:rPr>
              <w:t>Contratación de personal</w:t>
            </w:r>
          </w:p>
        </w:tc>
        <w:tc>
          <w:tcPr>
            <w:tcW w:w="1052" w:type="dxa"/>
            <w:shd w:val="clear" w:color="auto" w:fill="auto"/>
            <w:vAlign w:val="center"/>
          </w:tcPr>
          <w:p w:rsidR="003D139B" w:rsidRPr="00F55D50" w:rsidRDefault="003D139B" w:rsidP="00DF454E">
            <w:pPr>
              <w:rPr>
                <w:rFonts w:cs="Arial"/>
                <w:bCs/>
                <w:sz w:val="20"/>
                <w:szCs w:val="20"/>
                <w:lang w:val="es-UY" w:eastAsia="es-UY"/>
              </w:rPr>
            </w:pPr>
            <w:r w:rsidRPr="00F55D50">
              <w:rPr>
                <w:rFonts w:cs="Arial"/>
                <w:bCs/>
                <w:sz w:val="20"/>
                <w:szCs w:val="20"/>
                <w:lang w:val="es-UY" w:eastAsia="es-UY"/>
              </w:rPr>
              <w:t>5</w:t>
            </w:r>
          </w:p>
        </w:tc>
        <w:tc>
          <w:tcPr>
            <w:tcW w:w="1423" w:type="dxa"/>
            <w:shd w:val="clear" w:color="auto" w:fill="auto"/>
            <w:vAlign w:val="center"/>
            <w:hideMark/>
          </w:tcPr>
          <w:p w:rsidR="003D139B" w:rsidRPr="00F55D50" w:rsidRDefault="003D139B" w:rsidP="00DF454E">
            <w:pPr>
              <w:jc w:val="right"/>
              <w:rPr>
                <w:rFonts w:cs="Arial"/>
                <w:bCs/>
                <w:color w:val="000000"/>
                <w:sz w:val="20"/>
                <w:szCs w:val="20"/>
                <w:lang w:val="es-UY" w:eastAsia="es-UY"/>
              </w:rPr>
            </w:pPr>
            <w:r w:rsidRPr="00F55D50">
              <w:rPr>
                <w:rFonts w:cs="Arial"/>
                <w:bCs/>
                <w:color w:val="000000"/>
                <w:sz w:val="20"/>
                <w:szCs w:val="20"/>
                <w:lang w:val="es-UY" w:eastAsia="es-UY"/>
              </w:rPr>
              <w:t>3.551.000,00</w:t>
            </w:r>
          </w:p>
        </w:tc>
      </w:tr>
      <w:tr w:rsidR="003D139B" w:rsidRPr="00F55D50" w:rsidTr="00DF454E">
        <w:trPr>
          <w:trHeight w:val="300"/>
        </w:trPr>
        <w:tc>
          <w:tcPr>
            <w:tcW w:w="2955" w:type="dxa"/>
            <w:shd w:val="clear" w:color="auto" w:fill="auto"/>
            <w:vAlign w:val="center"/>
            <w:hideMark/>
          </w:tcPr>
          <w:p w:rsidR="003D139B" w:rsidRPr="00F55D50" w:rsidRDefault="003D139B" w:rsidP="00DF454E">
            <w:pPr>
              <w:rPr>
                <w:rFonts w:cs="Arial"/>
                <w:color w:val="000000"/>
                <w:sz w:val="20"/>
                <w:szCs w:val="20"/>
                <w:lang w:val="es-UY" w:eastAsia="es-UY"/>
              </w:rPr>
            </w:pPr>
            <w:r w:rsidRPr="00F55D50">
              <w:rPr>
                <w:rFonts w:cs="Arial"/>
                <w:color w:val="000000"/>
                <w:sz w:val="20"/>
                <w:szCs w:val="20"/>
                <w:lang w:val="es-UY" w:eastAsia="es-UY"/>
              </w:rPr>
              <w:t> </w:t>
            </w:r>
            <w:r w:rsidRPr="00F55D50">
              <w:rPr>
                <w:rFonts w:cs="Arial"/>
                <w:sz w:val="20"/>
                <w:szCs w:val="20"/>
                <w:lang w:val="es-UY" w:eastAsia="es-UY"/>
              </w:rPr>
              <w:t>SEVICOL LTDA.</w:t>
            </w:r>
          </w:p>
        </w:tc>
        <w:tc>
          <w:tcPr>
            <w:tcW w:w="1812" w:type="dxa"/>
            <w:shd w:val="clear" w:color="auto" w:fill="auto"/>
            <w:vAlign w:val="center"/>
            <w:hideMark/>
          </w:tcPr>
          <w:p w:rsidR="003D139B" w:rsidRPr="00F55D50" w:rsidRDefault="003D139B" w:rsidP="00DF454E">
            <w:pPr>
              <w:rPr>
                <w:rFonts w:cs="Arial"/>
                <w:sz w:val="20"/>
                <w:szCs w:val="20"/>
                <w:lang w:val="es-UY" w:eastAsia="es-UY"/>
              </w:rPr>
            </w:pPr>
            <w:r w:rsidRPr="00F55D50">
              <w:rPr>
                <w:rFonts w:cs="Arial"/>
                <w:sz w:val="20"/>
                <w:szCs w:val="20"/>
                <w:lang w:val="es-UY" w:eastAsia="es-UY"/>
              </w:rPr>
              <w:t>Contratación de personal</w:t>
            </w:r>
          </w:p>
        </w:tc>
        <w:tc>
          <w:tcPr>
            <w:tcW w:w="1052" w:type="dxa"/>
            <w:shd w:val="clear" w:color="auto" w:fill="auto"/>
            <w:vAlign w:val="center"/>
          </w:tcPr>
          <w:p w:rsidR="003D139B" w:rsidRPr="00F55D50" w:rsidRDefault="003D139B" w:rsidP="00DF454E">
            <w:pPr>
              <w:rPr>
                <w:rFonts w:cs="Arial"/>
                <w:bCs/>
                <w:sz w:val="20"/>
                <w:szCs w:val="20"/>
                <w:lang w:val="es-UY" w:eastAsia="es-UY"/>
              </w:rPr>
            </w:pPr>
            <w:r w:rsidRPr="00F55D50">
              <w:rPr>
                <w:rFonts w:cs="Arial"/>
                <w:bCs/>
                <w:sz w:val="20"/>
                <w:szCs w:val="20"/>
                <w:lang w:val="es-UY" w:eastAsia="es-UY"/>
              </w:rPr>
              <w:t>3</w:t>
            </w:r>
          </w:p>
        </w:tc>
        <w:tc>
          <w:tcPr>
            <w:tcW w:w="1423" w:type="dxa"/>
            <w:shd w:val="clear" w:color="auto" w:fill="auto"/>
            <w:vAlign w:val="center"/>
            <w:hideMark/>
          </w:tcPr>
          <w:p w:rsidR="003D139B" w:rsidRPr="00F55D50" w:rsidRDefault="003D139B" w:rsidP="00DF454E">
            <w:pPr>
              <w:jc w:val="right"/>
              <w:rPr>
                <w:rFonts w:cs="Arial"/>
                <w:bCs/>
                <w:color w:val="000000"/>
                <w:sz w:val="20"/>
                <w:szCs w:val="20"/>
                <w:lang w:val="es-UY" w:eastAsia="es-UY"/>
              </w:rPr>
            </w:pPr>
            <w:r w:rsidRPr="00F55D50">
              <w:rPr>
                <w:rFonts w:cs="Arial"/>
                <w:bCs/>
                <w:color w:val="000000"/>
                <w:sz w:val="20"/>
                <w:szCs w:val="20"/>
                <w:lang w:val="es-UY" w:eastAsia="es-UY"/>
              </w:rPr>
              <w:t>2.358.000,00</w:t>
            </w:r>
          </w:p>
        </w:tc>
      </w:tr>
      <w:tr w:rsidR="003D139B" w:rsidRPr="00F55D50" w:rsidTr="00DF454E">
        <w:trPr>
          <w:trHeight w:val="300"/>
        </w:trPr>
        <w:tc>
          <w:tcPr>
            <w:tcW w:w="2955" w:type="dxa"/>
            <w:shd w:val="clear" w:color="auto" w:fill="auto"/>
            <w:vAlign w:val="center"/>
            <w:hideMark/>
          </w:tcPr>
          <w:p w:rsidR="003D139B" w:rsidRPr="00F55D50" w:rsidRDefault="003D139B" w:rsidP="00DF454E">
            <w:pPr>
              <w:rPr>
                <w:rFonts w:cs="Arial"/>
                <w:color w:val="FF0000"/>
                <w:sz w:val="20"/>
                <w:szCs w:val="20"/>
                <w:lang w:val="es-UY" w:eastAsia="es-UY"/>
              </w:rPr>
            </w:pPr>
            <w:r w:rsidRPr="00F55D50">
              <w:rPr>
                <w:rFonts w:cs="Arial"/>
                <w:color w:val="FF0000"/>
                <w:sz w:val="20"/>
                <w:szCs w:val="20"/>
                <w:lang w:val="es-UY" w:eastAsia="es-UY"/>
              </w:rPr>
              <w:t> </w:t>
            </w:r>
            <w:r w:rsidRPr="00F55D50">
              <w:rPr>
                <w:rFonts w:cs="Arial"/>
                <w:sz w:val="20"/>
                <w:szCs w:val="20"/>
                <w:lang w:val="es-UY" w:eastAsia="es-UY"/>
              </w:rPr>
              <w:t>DESA LIMITADA</w:t>
            </w:r>
          </w:p>
        </w:tc>
        <w:tc>
          <w:tcPr>
            <w:tcW w:w="1812" w:type="dxa"/>
            <w:shd w:val="clear" w:color="auto" w:fill="auto"/>
            <w:vAlign w:val="center"/>
            <w:hideMark/>
          </w:tcPr>
          <w:p w:rsidR="003D139B" w:rsidRPr="00F55D50" w:rsidRDefault="003D139B" w:rsidP="00DF454E">
            <w:pPr>
              <w:rPr>
                <w:rFonts w:cs="Arial"/>
                <w:sz w:val="20"/>
                <w:szCs w:val="20"/>
                <w:lang w:val="es-UY" w:eastAsia="es-UY"/>
              </w:rPr>
            </w:pPr>
            <w:r w:rsidRPr="00F55D50">
              <w:rPr>
                <w:rFonts w:cs="Arial"/>
                <w:sz w:val="20"/>
                <w:szCs w:val="20"/>
                <w:lang w:val="es-UY" w:eastAsia="es-UY"/>
              </w:rPr>
              <w:t>Contratación de personal</w:t>
            </w:r>
          </w:p>
        </w:tc>
        <w:tc>
          <w:tcPr>
            <w:tcW w:w="1052" w:type="dxa"/>
            <w:shd w:val="clear" w:color="auto" w:fill="auto"/>
            <w:vAlign w:val="center"/>
          </w:tcPr>
          <w:p w:rsidR="003D139B" w:rsidRPr="00F55D50" w:rsidRDefault="003D139B" w:rsidP="00DF454E">
            <w:pPr>
              <w:rPr>
                <w:rFonts w:cs="Arial"/>
                <w:bCs/>
                <w:sz w:val="20"/>
                <w:szCs w:val="20"/>
                <w:lang w:val="es-UY" w:eastAsia="es-UY"/>
              </w:rPr>
            </w:pPr>
            <w:r w:rsidRPr="00F55D50">
              <w:rPr>
                <w:rFonts w:cs="Arial"/>
                <w:bCs/>
                <w:sz w:val="20"/>
                <w:szCs w:val="20"/>
                <w:lang w:val="es-UY" w:eastAsia="es-UY"/>
              </w:rPr>
              <w:t>5</w:t>
            </w:r>
          </w:p>
        </w:tc>
        <w:tc>
          <w:tcPr>
            <w:tcW w:w="1423" w:type="dxa"/>
            <w:shd w:val="clear" w:color="auto" w:fill="auto"/>
            <w:vAlign w:val="center"/>
            <w:hideMark/>
          </w:tcPr>
          <w:p w:rsidR="003D139B" w:rsidRPr="00F55D50" w:rsidRDefault="003D139B" w:rsidP="00DF454E">
            <w:pPr>
              <w:jc w:val="right"/>
              <w:rPr>
                <w:rFonts w:cs="Arial"/>
                <w:bCs/>
                <w:sz w:val="20"/>
                <w:szCs w:val="20"/>
                <w:lang w:val="es-UY" w:eastAsia="es-UY"/>
              </w:rPr>
            </w:pPr>
            <w:r w:rsidRPr="00F55D50">
              <w:rPr>
                <w:rFonts w:cs="Arial"/>
                <w:bCs/>
                <w:sz w:val="20"/>
                <w:szCs w:val="20"/>
                <w:lang w:val="es-UY" w:eastAsia="es-UY"/>
              </w:rPr>
              <w:t>3.551.000,00</w:t>
            </w:r>
          </w:p>
        </w:tc>
      </w:tr>
    </w:tbl>
    <w:p w:rsidR="003D139B" w:rsidRDefault="003D139B" w:rsidP="00F2063A">
      <w:pPr>
        <w:keepLines/>
        <w:tabs>
          <w:tab w:val="left" w:pos="567"/>
        </w:tabs>
        <w:autoSpaceDE w:val="0"/>
        <w:autoSpaceDN w:val="0"/>
        <w:adjustRightInd w:val="0"/>
        <w:spacing w:line="336" w:lineRule="auto"/>
        <w:jc w:val="both"/>
        <w:outlineLvl w:val="0"/>
        <w:rPr>
          <w:rFonts w:cs="Arial"/>
          <w:lang w:val="es-UY"/>
        </w:rPr>
      </w:pPr>
      <w:r w:rsidRPr="00FB4A5D">
        <w:rPr>
          <w:rFonts w:cs="Arial"/>
          <w:color w:val="000000"/>
        </w:rPr>
        <w:t xml:space="preserve">La suma de las contrataciones </w:t>
      </w:r>
      <w:proofErr w:type="gramStart"/>
      <w:r w:rsidRPr="00FB4A5D">
        <w:rPr>
          <w:rFonts w:cs="Arial"/>
          <w:color w:val="000000"/>
        </w:rPr>
        <w:t>superaron</w:t>
      </w:r>
      <w:proofErr w:type="gramEnd"/>
      <w:r w:rsidRPr="00FB4A5D">
        <w:rPr>
          <w:rFonts w:cs="Arial"/>
          <w:color w:val="000000"/>
        </w:rPr>
        <w:t xml:space="preserve"> el monto dispuesto de </w:t>
      </w:r>
      <w:r w:rsidRPr="00FB4A5D">
        <w:rPr>
          <w:rFonts w:eastAsiaTheme="minorHAnsi" w:cs="Arial"/>
          <w:lang w:val="es-UY" w:eastAsia="en-US"/>
        </w:rPr>
        <w:t>$ 1.039.000 como máximo para la compra directa ampliada por lo que se debió realizar el procedimiento de licitación abreviada y se omitió</w:t>
      </w:r>
      <w:r w:rsidRPr="00FB4A5D">
        <w:rPr>
          <w:rFonts w:cs="Arial"/>
          <w:lang w:val="es-UY"/>
        </w:rPr>
        <w:t xml:space="preserve"> la</w:t>
      </w:r>
      <w:r w:rsidRPr="00FB4A5D">
        <w:rPr>
          <w:rFonts w:eastAsiaTheme="minorHAnsi" w:cs="Arial"/>
          <w:lang w:val="es-UY" w:eastAsia="en-US"/>
        </w:rPr>
        <w:t xml:space="preserve"> actuación de la Comisión Asesora de Adjudicacio</w:t>
      </w:r>
      <w:r w:rsidRPr="00FB4A5D">
        <w:rPr>
          <w:rFonts w:cs="Arial"/>
          <w:lang w:val="es-UY"/>
        </w:rPr>
        <w:t>nes.</w:t>
      </w:r>
    </w:p>
    <w:p w:rsidR="003D139B" w:rsidRPr="000862EC" w:rsidRDefault="003D139B" w:rsidP="00F2063A">
      <w:pPr>
        <w:keepLines/>
        <w:tabs>
          <w:tab w:val="left" w:pos="567"/>
        </w:tabs>
        <w:autoSpaceDE w:val="0"/>
        <w:autoSpaceDN w:val="0"/>
        <w:adjustRightInd w:val="0"/>
        <w:spacing w:line="336" w:lineRule="auto"/>
        <w:jc w:val="both"/>
        <w:outlineLvl w:val="0"/>
        <w:rPr>
          <w:rFonts w:cs="Arial"/>
          <w:b/>
          <w:lang w:eastAsia="en-US"/>
        </w:rPr>
      </w:pPr>
      <w:r>
        <w:rPr>
          <w:rFonts w:cs="Arial"/>
          <w:b/>
          <w:lang w:eastAsia="en-US"/>
        </w:rPr>
        <w:t xml:space="preserve">2.3 </w:t>
      </w:r>
      <w:r w:rsidRPr="000862EC">
        <w:rPr>
          <w:rFonts w:cs="Arial"/>
          <w:b/>
          <w:lang w:eastAsia="en-US"/>
        </w:rPr>
        <w:t xml:space="preserve">Artículo 4 de la Ley </w:t>
      </w:r>
      <w:r>
        <w:rPr>
          <w:rFonts w:cs="Arial"/>
          <w:b/>
          <w:lang w:eastAsia="en-US"/>
        </w:rPr>
        <w:t xml:space="preserve">N° </w:t>
      </w:r>
      <w:r w:rsidRPr="000862EC">
        <w:rPr>
          <w:rFonts w:cs="Arial"/>
          <w:b/>
          <w:lang w:eastAsia="en-US"/>
        </w:rPr>
        <w:t xml:space="preserve">16.462 y Artículo 16 de la Ley </w:t>
      </w:r>
      <w:r>
        <w:rPr>
          <w:rFonts w:cs="Arial"/>
          <w:b/>
          <w:lang w:eastAsia="en-US"/>
        </w:rPr>
        <w:t>N°</w:t>
      </w:r>
      <w:r w:rsidRPr="000862EC">
        <w:rPr>
          <w:rFonts w:cs="Arial"/>
          <w:b/>
          <w:lang w:eastAsia="en-US"/>
        </w:rPr>
        <w:t>18.996, (Retribución del Presidente y miembros de los Directorios de los Organismos comprendidos en el A</w:t>
      </w:r>
      <w:hyperlink r:id="rId9" w:anchor="art221" w:tgtFrame="_blank" w:tooltip="Constitución vigente a la presente Ley" w:history="1">
        <w:r w:rsidRPr="000862EC">
          <w:rPr>
            <w:rFonts w:cs="Arial"/>
            <w:b/>
            <w:lang w:eastAsia="en-US"/>
          </w:rPr>
          <w:t>rtículo Nº 221 de la Constitución de la República</w:t>
        </w:r>
      </w:hyperlink>
      <w:r w:rsidRPr="000862EC">
        <w:rPr>
          <w:rFonts w:cs="Arial"/>
          <w:b/>
          <w:lang w:eastAsia="en-US"/>
        </w:rPr>
        <w:t>)</w:t>
      </w:r>
    </w:p>
    <w:p w:rsidR="003D139B" w:rsidRPr="000862EC" w:rsidRDefault="003D139B" w:rsidP="00243BC4">
      <w:pPr>
        <w:spacing w:line="360" w:lineRule="auto"/>
        <w:ind w:left="284"/>
        <w:jc w:val="both"/>
        <w:rPr>
          <w:rFonts w:cs="Arial"/>
        </w:rPr>
      </w:pPr>
      <w:r w:rsidRPr="00243BC4">
        <w:rPr>
          <w:rFonts w:cs="Arial"/>
        </w:rPr>
        <w:t xml:space="preserve">Se constató que durante el Ejercicio las retribuciones de los Directores superaron los topes previstos en la Ley Nº 16.462, las que se determinan según lo dispuesto en el Inciso segundo del Artículo 16 de la Ley Nº 18.996. Dicho tope </w:t>
      </w:r>
      <w:r>
        <w:rPr>
          <w:rFonts w:cs="Arial"/>
          <w:lang w:val="es-UY"/>
        </w:rPr>
        <w:t>para</w:t>
      </w:r>
      <w:r w:rsidRPr="00243BC4">
        <w:rPr>
          <w:rFonts w:cs="Arial"/>
          <w:lang w:val="es-UY"/>
        </w:rPr>
        <w:t xml:space="preserve"> el ejercicio 2015 ascendió a </w:t>
      </w:r>
      <w:r w:rsidRPr="00243BC4">
        <w:rPr>
          <w:rFonts w:cs="Arial"/>
        </w:rPr>
        <w:t>$ 99.775 mensuales. No obstante dichos jerarcas percibieron mensualmente $ 108.920</w:t>
      </w:r>
      <w:r>
        <w:rPr>
          <w:rFonts w:cs="Arial"/>
        </w:rPr>
        <w:t xml:space="preserve">. </w:t>
      </w:r>
      <w:r w:rsidRPr="00243BC4">
        <w:rPr>
          <w:rFonts w:cs="Arial"/>
        </w:rPr>
        <w:t>La diferencia corresponde a partidas salariales denominadas “Viático Comida” y “Compensación Producto”. Esta situación fue señalada en Ejercicios anteriores.</w:t>
      </w:r>
    </w:p>
    <w:p w:rsidR="003D139B" w:rsidRPr="000862EC" w:rsidRDefault="003D139B" w:rsidP="00F2063A">
      <w:pPr>
        <w:keepLines/>
        <w:spacing w:line="360" w:lineRule="auto"/>
        <w:jc w:val="both"/>
        <w:rPr>
          <w:rFonts w:cs="Arial"/>
          <w:b/>
          <w:lang w:eastAsia="en-US"/>
        </w:rPr>
      </w:pPr>
      <w:r w:rsidRPr="000862EC">
        <w:rPr>
          <w:rFonts w:cs="Arial"/>
          <w:b/>
          <w:lang w:eastAsia="en-US"/>
        </w:rPr>
        <w:t>2.</w:t>
      </w:r>
      <w:r>
        <w:rPr>
          <w:rFonts w:cs="Arial"/>
          <w:b/>
          <w:lang w:eastAsia="en-US"/>
        </w:rPr>
        <w:t>4</w:t>
      </w:r>
      <w:r w:rsidRPr="000862EC">
        <w:rPr>
          <w:rFonts w:cs="Arial"/>
          <w:b/>
          <w:lang w:eastAsia="en-US"/>
        </w:rPr>
        <w:t xml:space="preserve"> Artículo 23 de la Ley </w:t>
      </w:r>
      <w:r>
        <w:rPr>
          <w:rFonts w:cs="Arial"/>
          <w:b/>
          <w:lang w:eastAsia="en-US"/>
        </w:rPr>
        <w:t>N°</w:t>
      </w:r>
      <w:r w:rsidR="00AC713E">
        <w:rPr>
          <w:rFonts w:cs="Arial"/>
          <w:b/>
          <w:lang w:eastAsia="en-US"/>
        </w:rPr>
        <w:t xml:space="preserve"> </w:t>
      </w:r>
      <w:r w:rsidRPr="000862EC">
        <w:rPr>
          <w:rFonts w:cs="Arial"/>
          <w:b/>
          <w:lang w:eastAsia="en-US"/>
        </w:rPr>
        <w:t xml:space="preserve">17.556 y Artículo 16 de la Ley </w:t>
      </w:r>
      <w:r>
        <w:rPr>
          <w:rFonts w:cs="Arial"/>
          <w:b/>
          <w:lang w:eastAsia="en-US"/>
        </w:rPr>
        <w:t>N°</w:t>
      </w:r>
      <w:r w:rsidR="00AC713E">
        <w:rPr>
          <w:rFonts w:cs="Arial"/>
          <w:b/>
          <w:lang w:eastAsia="en-US"/>
        </w:rPr>
        <w:t xml:space="preserve"> </w:t>
      </w:r>
      <w:r w:rsidRPr="000862EC">
        <w:rPr>
          <w:rFonts w:cs="Arial"/>
          <w:b/>
          <w:lang w:eastAsia="en-US"/>
        </w:rPr>
        <w:t>18.996 (tope erogaciones de Secretaria)</w:t>
      </w:r>
    </w:p>
    <w:p w:rsidR="003D139B" w:rsidRPr="00E538C5" w:rsidRDefault="003D139B" w:rsidP="008C3EC9">
      <w:pPr>
        <w:spacing w:line="360" w:lineRule="auto"/>
        <w:ind w:left="567"/>
        <w:jc w:val="both"/>
        <w:rPr>
          <w:rFonts w:cs="Arial"/>
        </w:rPr>
      </w:pPr>
      <w:r w:rsidRPr="00E538C5">
        <w:rPr>
          <w:rFonts w:cs="Arial"/>
          <w:lang w:val="es-UY"/>
        </w:rPr>
        <w:t>La suma de las remuneraciones mensuales que percibe el personal de confianza de los Directores (“tareas de asesoría, secretaria, etc.”) supera el tope establecido de una vez y media la remuneración de un Ministro de Estado</w:t>
      </w:r>
      <w:r>
        <w:rPr>
          <w:rFonts w:cs="Arial"/>
          <w:lang w:val="es-UY"/>
        </w:rPr>
        <w:t>. D</w:t>
      </w:r>
      <w:r w:rsidRPr="00E538C5">
        <w:rPr>
          <w:rFonts w:cs="Arial"/>
          <w:lang w:val="es-UY"/>
        </w:rPr>
        <w:t xml:space="preserve">e acuerdo con lo establecido en el Artículo 16 de la Ley </w:t>
      </w:r>
      <w:r>
        <w:rPr>
          <w:rFonts w:cs="Arial"/>
          <w:lang w:val="es-UY"/>
        </w:rPr>
        <w:t xml:space="preserve">N°18.996 dicho tope </w:t>
      </w:r>
      <w:r w:rsidRPr="00E538C5">
        <w:rPr>
          <w:rFonts w:cs="Arial"/>
          <w:lang w:val="es-UY"/>
        </w:rPr>
        <w:t xml:space="preserve">para el ejercicio 2015 se determinó  en </w:t>
      </w:r>
      <w:r w:rsidRPr="00E538C5">
        <w:rPr>
          <w:rFonts w:cs="Arial"/>
        </w:rPr>
        <w:t>$ 182.436.</w:t>
      </w:r>
    </w:p>
    <w:p w:rsidR="003D139B" w:rsidRPr="000862EC" w:rsidRDefault="003D139B" w:rsidP="008C3EC9">
      <w:pPr>
        <w:spacing w:line="360" w:lineRule="auto"/>
        <w:ind w:left="567"/>
        <w:jc w:val="both"/>
        <w:rPr>
          <w:rFonts w:cs="Arial"/>
        </w:rPr>
      </w:pPr>
      <w:r w:rsidRPr="00E538C5">
        <w:rPr>
          <w:rFonts w:cs="Arial"/>
          <w:lang w:val="es-UY"/>
        </w:rPr>
        <w:t>Asimismo, l</w:t>
      </w:r>
      <w:r w:rsidRPr="00E538C5">
        <w:rPr>
          <w:rFonts w:cs="Arial"/>
          <w:bCs/>
        </w:rPr>
        <w:t xml:space="preserve">as personas designadas para desempeñar los cargos perciben otras </w:t>
      </w:r>
      <w:r w:rsidRPr="00E538C5">
        <w:rPr>
          <w:rFonts w:cs="Arial"/>
        </w:rPr>
        <w:t>partidas salariales</w:t>
      </w:r>
      <w:r>
        <w:rPr>
          <w:rFonts w:cs="Arial"/>
        </w:rPr>
        <w:t>,</w:t>
      </w:r>
      <w:r w:rsidRPr="00E538C5">
        <w:rPr>
          <w:rFonts w:cs="Arial"/>
        </w:rPr>
        <w:t xml:space="preserve"> incumpliendo la norma citada en primer término.</w:t>
      </w:r>
    </w:p>
    <w:p w:rsidR="003D139B" w:rsidRPr="000862EC" w:rsidRDefault="003D139B" w:rsidP="00F2063A">
      <w:pPr>
        <w:spacing w:line="360" w:lineRule="auto"/>
        <w:jc w:val="both"/>
        <w:rPr>
          <w:rFonts w:cs="Arial"/>
          <w:b/>
          <w:color w:val="000000"/>
        </w:rPr>
      </w:pPr>
      <w:r w:rsidRPr="000862EC">
        <w:rPr>
          <w:rFonts w:cs="Arial"/>
          <w:b/>
          <w:color w:val="000000"/>
        </w:rPr>
        <w:t>2.</w:t>
      </w:r>
      <w:r>
        <w:rPr>
          <w:rFonts w:cs="Arial"/>
          <w:b/>
          <w:color w:val="000000"/>
        </w:rPr>
        <w:t>5</w:t>
      </w:r>
      <w:r w:rsidRPr="000862EC">
        <w:rPr>
          <w:rFonts w:cs="Arial"/>
          <w:b/>
          <w:color w:val="000000"/>
        </w:rPr>
        <w:t xml:space="preserve"> Artículo 87 de la Ley </w:t>
      </w:r>
      <w:r>
        <w:rPr>
          <w:rFonts w:cs="Arial"/>
          <w:b/>
          <w:color w:val="000000"/>
        </w:rPr>
        <w:t xml:space="preserve">N° </w:t>
      </w:r>
      <w:r w:rsidRPr="000862EC">
        <w:rPr>
          <w:rFonts w:cs="Arial"/>
          <w:b/>
          <w:color w:val="000000"/>
        </w:rPr>
        <w:t>14.416 (tope de horas extras)</w:t>
      </w:r>
    </w:p>
    <w:p w:rsidR="003D139B" w:rsidRPr="000862EC" w:rsidRDefault="003D139B" w:rsidP="008C3EC9">
      <w:pPr>
        <w:tabs>
          <w:tab w:val="left" w:pos="567"/>
          <w:tab w:val="left" w:pos="1560"/>
          <w:tab w:val="right" w:pos="5387"/>
          <w:tab w:val="right" w:pos="7513"/>
        </w:tabs>
        <w:spacing w:line="360" w:lineRule="auto"/>
        <w:ind w:left="567"/>
        <w:jc w:val="both"/>
        <w:rPr>
          <w:rFonts w:cs="Arial"/>
          <w:lang w:val="es-ES_tradnl" w:eastAsia="en-US"/>
        </w:rPr>
      </w:pPr>
      <w:r w:rsidRPr="000862EC">
        <w:rPr>
          <w:rFonts w:cs="Arial"/>
          <w:lang w:val="es-ES_tradnl" w:eastAsia="en-US"/>
        </w:rPr>
        <w:t>Los importes imputados al</w:t>
      </w:r>
      <w:r w:rsidRPr="000862EC">
        <w:rPr>
          <w:rFonts w:cs="Arial"/>
          <w:bCs/>
          <w:lang w:val="es-ES_tradnl" w:eastAsia="en-US"/>
        </w:rPr>
        <w:t xml:space="preserve"> Objeto “05.08- Horas Extra”</w:t>
      </w:r>
      <w:r w:rsidRPr="000862EC">
        <w:rPr>
          <w:rFonts w:cs="Arial"/>
          <w:lang w:val="es-ES_tradnl" w:eastAsia="en-US"/>
        </w:rPr>
        <w:t xml:space="preserve"> superan el tope del 5% de las Remuneraciones Básicas al Personal</w:t>
      </w:r>
      <w:r>
        <w:rPr>
          <w:rFonts w:cs="Arial"/>
          <w:lang w:val="es-ES_tradnl" w:eastAsia="en-US"/>
        </w:rPr>
        <w:t>,</w:t>
      </w:r>
      <w:r w:rsidRPr="000862EC">
        <w:rPr>
          <w:rFonts w:cs="Arial"/>
          <w:lang w:val="es-ES_tradnl" w:eastAsia="en-US"/>
        </w:rPr>
        <w:t xml:space="preserve"> previsto en el Artículo 87 de la   Ley </w:t>
      </w:r>
      <w:r>
        <w:rPr>
          <w:rFonts w:cs="Arial"/>
          <w:lang w:val="es-ES_tradnl" w:eastAsia="en-US"/>
        </w:rPr>
        <w:t>N°</w:t>
      </w:r>
      <w:r w:rsidRPr="000862EC">
        <w:rPr>
          <w:rFonts w:cs="Arial"/>
          <w:lang w:val="es-ES_tradnl" w:eastAsia="en-US"/>
        </w:rPr>
        <w:t>14.416 y alcanzan el 13</w:t>
      </w:r>
      <w:r w:rsidRPr="000862EC">
        <w:rPr>
          <w:rFonts w:cs="Arial"/>
          <w:bCs/>
          <w:lang w:val="es-ES_tradnl" w:eastAsia="en-US"/>
        </w:rPr>
        <w:t>% de las mismas.</w:t>
      </w:r>
    </w:p>
    <w:p w:rsidR="003D139B" w:rsidRPr="000862EC" w:rsidRDefault="003D139B" w:rsidP="00F2063A">
      <w:pPr>
        <w:keepLines/>
        <w:tabs>
          <w:tab w:val="left" w:pos="1134"/>
          <w:tab w:val="right" w:pos="5387"/>
          <w:tab w:val="right" w:pos="8222"/>
        </w:tabs>
        <w:spacing w:line="360" w:lineRule="auto"/>
        <w:jc w:val="both"/>
        <w:rPr>
          <w:rFonts w:cs="Arial"/>
          <w:b/>
          <w:lang w:val="es-CO"/>
        </w:rPr>
      </w:pPr>
      <w:r w:rsidRPr="000862EC">
        <w:rPr>
          <w:rFonts w:cs="Arial"/>
          <w:b/>
          <w:lang w:val="es-CO"/>
        </w:rPr>
        <w:t>2.</w:t>
      </w:r>
      <w:r>
        <w:rPr>
          <w:rFonts w:cs="Arial"/>
          <w:b/>
          <w:lang w:val="es-CO"/>
        </w:rPr>
        <w:t>6</w:t>
      </w:r>
      <w:r w:rsidRPr="000862EC">
        <w:rPr>
          <w:rFonts w:cs="Arial"/>
          <w:lang w:val="es-CO"/>
        </w:rPr>
        <w:t xml:space="preserve"> </w:t>
      </w:r>
      <w:r w:rsidRPr="000862EC">
        <w:rPr>
          <w:rFonts w:cs="Arial"/>
          <w:b/>
          <w:lang w:val="es-CO"/>
        </w:rPr>
        <w:t>Artículo 49 de la ley Nº 18.651</w:t>
      </w:r>
    </w:p>
    <w:p w:rsidR="003D139B" w:rsidRPr="000862EC" w:rsidRDefault="003D139B" w:rsidP="008C3EC9">
      <w:pPr>
        <w:keepLines/>
        <w:tabs>
          <w:tab w:val="left" w:pos="1134"/>
          <w:tab w:val="right" w:pos="5387"/>
          <w:tab w:val="right" w:pos="8222"/>
        </w:tabs>
        <w:spacing w:line="360" w:lineRule="auto"/>
        <w:ind w:left="567"/>
        <w:jc w:val="both"/>
        <w:rPr>
          <w:rFonts w:cs="Arial"/>
          <w:lang w:val="es-CO"/>
        </w:rPr>
      </w:pPr>
      <w:r w:rsidRPr="00F55D50">
        <w:rPr>
          <w:rFonts w:cs="Arial"/>
        </w:rPr>
        <w:t xml:space="preserve">Durante el </w:t>
      </w:r>
      <w:r>
        <w:rPr>
          <w:rFonts w:cs="Arial"/>
        </w:rPr>
        <w:t>e</w:t>
      </w:r>
      <w:r w:rsidRPr="00F55D50">
        <w:rPr>
          <w:rFonts w:cs="Arial"/>
        </w:rPr>
        <w:t>jercicio 2015 se ocuparon 132 vacantes,</w:t>
      </w:r>
      <w:r>
        <w:rPr>
          <w:rFonts w:cs="Arial"/>
        </w:rPr>
        <w:t xml:space="preserve"> por lo que el </w:t>
      </w:r>
      <w:r w:rsidRPr="00DF2B2D">
        <w:rPr>
          <w:rFonts w:cstheme="minorHAnsi"/>
          <w:bCs/>
          <w:lang w:val="es-ES_tradnl"/>
        </w:rPr>
        <w:t xml:space="preserve">4% </w:t>
      </w:r>
      <w:r>
        <w:rPr>
          <w:rFonts w:cstheme="minorHAnsi"/>
          <w:bCs/>
          <w:lang w:val="es-ES_tradnl"/>
        </w:rPr>
        <w:t>asciende a</w:t>
      </w:r>
      <w:r w:rsidRPr="00DF2B2D">
        <w:rPr>
          <w:rFonts w:cstheme="minorHAnsi"/>
          <w:bCs/>
          <w:lang w:val="es-ES_tradnl"/>
        </w:rPr>
        <w:t xml:space="preserve"> 5 </w:t>
      </w:r>
      <w:r>
        <w:rPr>
          <w:rFonts w:cstheme="minorHAnsi"/>
          <w:bCs/>
          <w:lang w:val="es-ES_tradnl"/>
        </w:rPr>
        <w:t xml:space="preserve">personas a contratar de acuerdo a la normativa citada. Se verificó </w:t>
      </w:r>
      <w:r w:rsidRPr="00F55D50">
        <w:rPr>
          <w:rFonts w:cs="Arial"/>
        </w:rPr>
        <w:t xml:space="preserve">que no ingresaron personas con discapacidad </w:t>
      </w:r>
      <w:r>
        <w:rPr>
          <w:rFonts w:cs="Arial"/>
        </w:rPr>
        <w:t>en cumplimiento de la misma</w:t>
      </w:r>
      <w:r w:rsidRPr="00F55D50">
        <w:rPr>
          <w:rFonts w:cs="Arial"/>
        </w:rPr>
        <w:t>.</w:t>
      </w:r>
    </w:p>
    <w:p w:rsidR="003D139B" w:rsidRPr="00614AC0" w:rsidRDefault="003D139B" w:rsidP="00DF454E">
      <w:pPr>
        <w:spacing w:line="360" w:lineRule="auto"/>
        <w:jc w:val="both"/>
        <w:rPr>
          <w:rFonts w:cs="Arial"/>
          <w:b/>
          <w:lang w:val="es-CO"/>
        </w:rPr>
      </w:pPr>
      <w:r w:rsidRPr="00614AC0">
        <w:rPr>
          <w:rFonts w:cs="Arial"/>
          <w:b/>
          <w:lang w:val="es-CO"/>
        </w:rPr>
        <w:t xml:space="preserve">2.7- Ley - 18719 - 2011 - Art. 51 - </w:t>
      </w:r>
      <w:r w:rsidR="00AC713E">
        <w:rPr>
          <w:rFonts w:cs="Arial"/>
          <w:b/>
          <w:lang w:val="es-CO"/>
        </w:rPr>
        <w:t>Régimen de pasantes y becarios</w:t>
      </w:r>
    </w:p>
    <w:p w:rsidR="003D139B" w:rsidRPr="00614AC0" w:rsidRDefault="003D139B" w:rsidP="00DF454E">
      <w:pPr>
        <w:pStyle w:val="Sangradetextonormal"/>
        <w:spacing w:after="0" w:line="360" w:lineRule="auto"/>
        <w:ind w:left="284"/>
        <w:jc w:val="both"/>
        <w:rPr>
          <w:rFonts w:ascii="Arial" w:hAnsi="Arial" w:cs="Arial"/>
          <w:bCs/>
        </w:rPr>
      </w:pPr>
      <w:r w:rsidRPr="00614AC0">
        <w:rPr>
          <w:rFonts w:ascii="Arial" w:hAnsi="Arial" w:cs="Arial"/>
          <w:bCs/>
        </w:rPr>
        <w:t xml:space="preserve">- Se constató que se pagan partidas adicionales a la remuneración prevista en el </w:t>
      </w:r>
      <w:r>
        <w:rPr>
          <w:rFonts w:ascii="Arial" w:hAnsi="Arial" w:cs="Arial"/>
          <w:bCs/>
        </w:rPr>
        <w:t>A</w:t>
      </w:r>
      <w:r w:rsidRPr="00614AC0">
        <w:rPr>
          <w:rFonts w:ascii="Arial" w:hAnsi="Arial" w:cs="Arial"/>
          <w:bCs/>
        </w:rPr>
        <w:t>rt</w:t>
      </w:r>
      <w:r>
        <w:rPr>
          <w:rFonts w:ascii="Arial" w:hAnsi="Arial" w:cs="Arial"/>
          <w:bCs/>
        </w:rPr>
        <w:t>ículo</w:t>
      </w:r>
      <w:r w:rsidRPr="00614AC0">
        <w:rPr>
          <w:rFonts w:ascii="Arial" w:hAnsi="Arial" w:cs="Arial"/>
          <w:bCs/>
        </w:rPr>
        <w:t xml:space="preserve"> 51 de la </w:t>
      </w:r>
      <w:r>
        <w:rPr>
          <w:rFonts w:ascii="Arial" w:hAnsi="Arial" w:cs="Arial"/>
          <w:bCs/>
        </w:rPr>
        <w:t>L</w:t>
      </w:r>
      <w:r w:rsidRPr="00614AC0">
        <w:rPr>
          <w:rFonts w:ascii="Arial" w:hAnsi="Arial" w:cs="Arial"/>
          <w:bCs/>
        </w:rPr>
        <w:t xml:space="preserve">ey 18.719 para los becarios de los convenios "Yo Estudio y </w:t>
      </w:r>
      <w:r w:rsidR="00AC713E">
        <w:rPr>
          <w:rFonts w:ascii="Arial" w:hAnsi="Arial" w:cs="Arial"/>
          <w:bCs/>
        </w:rPr>
        <w:t>Trabajo" y los de "INAU-SIRPA".</w:t>
      </w:r>
    </w:p>
    <w:p w:rsidR="003D139B" w:rsidRDefault="003D139B" w:rsidP="00DF454E">
      <w:pPr>
        <w:pStyle w:val="Sangradetextonormal"/>
        <w:spacing w:after="0" w:line="360" w:lineRule="auto"/>
        <w:ind w:left="284"/>
        <w:jc w:val="both"/>
        <w:rPr>
          <w:rFonts w:ascii="Arial" w:hAnsi="Arial" w:cs="Arial"/>
          <w:bCs/>
        </w:rPr>
      </w:pPr>
      <w:r w:rsidRPr="00614AC0">
        <w:rPr>
          <w:rFonts w:ascii="Arial" w:hAnsi="Arial" w:cs="Arial"/>
          <w:bCs/>
        </w:rPr>
        <w:t xml:space="preserve">- No se documentó la contratación con </w:t>
      </w:r>
      <w:r>
        <w:rPr>
          <w:rFonts w:ascii="Arial" w:hAnsi="Arial" w:cs="Arial"/>
          <w:bCs/>
        </w:rPr>
        <w:t>un</w:t>
      </w:r>
      <w:r w:rsidRPr="00614AC0">
        <w:rPr>
          <w:rFonts w:ascii="Arial" w:hAnsi="Arial" w:cs="Arial"/>
          <w:bCs/>
        </w:rPr>
        <w:t xml:space="preserve"> pasante profesional</w:t>
      </w:r>
      <w:r>
        <w:rPr>
          <w:rFonts w:ascii="Arial" w:hAnsi="Arial" w:cs="Arial"/>
          <w:bCs/>
        </w:rPr>
        <w:t xml:space="preserve"> (Escribano)</w:t>
      </w:r>
      <w:r w:rsidRPr="00614AC0">
        <w:rPr>
          <w:rFonts w:ascii="Arial" w:hAnsi="Arial" w:cs="Arial"/>
          <w:bCs/>
        </w:rPr>
        <w:t xml:space="preserve"> que mantiene contratado ANCAP de acuerdo a lo previsto en el </w:t>
      </w:r>
      <w:r>
        <w:rPr>
          <w:rFonts w:ascii="Arial" w:hAnsi="Arial" w:cs="Arial"/>
          <w:bCs/>
        </w:rPr>
        <w:t>A</w:t>
      </w:r>
      <w:r w:rsidRPr="00614AC0">
        <w:rPr>
          <w:rFonts w:ascii="Arial" w:hAnsi="Arial" w:cs="Arial"/>
          <w:bCs/>
        </w:rPr>
        <w:t>rt</w:t>
      </w:r>
      <w:r>
        <w:rPr>
          <w:rFonts w:ascii="Arial" w:hAnsi="Arial" w:cs="Arial"/>
          <w:bCs/>
        </w:rPr>
        <w:t>ículo</w:t>
      </w:r>
      <w:r w:rsidRPr="00614AC0">
        <w:rPr>
          <w:rFonts w:ascii="Arial" w:hAnsi="Arial" w:cs="Arial"/>
          <w:bCs/>
        </w:rPr>
        <w:t xml:space="preserve"> 51 de la </w:t>
      </w:r>
      <w:r>
        <w:rPr>
          <w:rFonts w:ascii="Arial" w:hAnsi="Arial" w:cs="Arial"/>
          <w:bCs/>
        </w:rPr>
        <w:t>L</w:t>
      </w:r>
      <w:r w:rsidRPr="00614AC0">
        <w:rPr>
          <w:rFonts w:ascii="Arial" w:hAnsi="Arial" w:cs="Arial"/>
          <w:bCs/>
        </w:rPr>
        <w:t>ey N° 18.719.</w:t>
      </w:r>
    </w:p>
    <w:p w:rsidR="003D139B" w:rsidRDefault="003D139B" w:rsidP="00DF454E">
      <w:pPr>
        <w:keepLines/>
        <w:spacing w:line="360" w:lineRule="auto"/>
        <w:jc w:val="both"/>
        <w:rPr>
          <w:rFonts w:eastAsia="Arial Unicode MS" w:cs="Arial"/>
          <w:b/>
          <w:lang w:eastAsia="en-US"/>
        </w:rPr>
      </w:pPr>
      <w:r>
        <w:rPr>
          <w:rFonts w:cs="Arial"/>
          <w:b/>
        </w:rPr>
        <w:t>2.8 –</w:t>
      </w:r>
      <w:r>
        <w:rPr>
          <w:rFonts w:cs="Arial"/>
          <w:bCs/>
        </w:rPr>
        <w:t xml:space="preserve"> </w:t>
      </w:r>
      <w:r>
        <w:rPr>
          <w:rFonts w:eastAsia="Arial Unicode MS" w:cs="Arial"/>
          <w:b/>
          <w:lang w:eastAsia="en-US"/>
        </w:rPr>
        <w:t>Artículo 226 de la Ley Nº 18.172 y Artículo 17 de la Ley Nº 17904</w:t>
      </w:r>
    </w:p>
    <w:p w:rsidR="003D139B" w:rsidRDefault="003D139B" w:rsidP="00614AC0">
      <w:pPr>
        <w:keepLines/>
        <w:spacing w:line="360" w:lineRule="auto"/>
        <w:ind w:left="567"/>
        <w:jc w:val="both"/>
        <w:rPr>
          <w:rFonts w:eastAsia="Arial Unicode MS" w:cs="Arial"/>
          <w:lang w:eastAsia="en-US"/>
        </w:rPr>
      </w:pPr>
      <w:r>
        <w:rPr>
          <w:rFonts w:eastAsia="Arial Unicode MS" w:cs="Arial"/>
          <w:lang w:eastAsia="en-US"/>
        </w:rPr>
        <w:t>Con relación al cumplimiento de lo previsto en la normativa vigente en el ejercicio:</w:t>
      </w:r>
    </w:p>
    <w:p w:rsidR="003D139B" w:rsidRDefault="003D139B" w:rsidP="00614AC0">
      <w:pPr>
        <w:keepLines/>
        <w:spacing w:line="360" w:lineRule="auto"/>
        <w:ind w:left="567"/>
        <w:jc w:val="both"/>
        <w:rPr>
          <w:rFonts w:eastAsia="Arial Unicode MS" w:cs="Arial"/>
          <w:lang w:eastAsia="en-US"/>
        </w:rPr>
      </w:pPr>
      <w:r>
        <w:rPr>
          <w:rFonts w:eastAsia="Arial Unicode MS" w:cs="Arial"/>
          <w:lang w:eastAsia="en-US"/>
        </w:rPr>
        <w:t>-se contrató con las radiodifusoras del Servicio Oficial de Difusión Radiotelevisión y Espectáculos (SODRE) por un importe equivalente al 18.36% del importe contratado con las radiodifusoras privadas.</w:t>
      </w:r>
    </w:p>
    <w:p w:rsidR="003D139B" w:rsidRPr="00E678B6" w:rsidRDefault="003D139B" w:rsidP="00614AC0">
      <w:pPr>
        <w:keepLines/>
        <w:spacing w:line="360" w:lineRule="auto"/>
        <w:ind w:left="567"/>
        <w:jc w:val="both"/>
        <w:rPr>
          <w:rFonts w:eastAsia="Arial Unicode MS" w:cs="Arial"/>
          <w:lang w:eastAsia="en-US"/>
        </w:rPr>
      </w:pPr>
      <w:r>
        <w:rPr>
          <w:rFonts w:eastAsia="Arial Unicode MS" w:cs="Arial"/>
          <w:lang w:eastAsia="en-US"/>
        </w:rPr>
        <w:t xml:space="preserve">- no se contrató publicidad con el Canal 5-Servicio de Televisión Nacional.  </w:t>
      </w:r>
    </w:p>
    <w:p w:rsidR="003D139B" w:rsidRPr="000862EC" w:rsidRDefault="003D139B" w:rsidP="00DF454E">
      <w:pPr>
        <w:tabs>
          <w:tab w:val="left" w:pos="567"/>
        </w:tabs>
        <w:autoSpaceDE w:val="0"/>
        <w:autoSpaceDN w:val="0"/>
        <w:adjustRightInd w:val="0"/>
        <w:spacing w:line="360" w:lineRule="auto"/>
        <w:ind w:left="284" w:hanging="284"/>
        <w:jc w:val="both"/>
        <w:outlineLvl w:val="0"/>
        <w:rPr>
          <w:rFonts w:cs="Arial"/>
          <w:b/>
        </w:rPr>
      </w:pPr>
      <w:r>
        <w:rPr>
          <w:rFonts w:cs="Arial"/>
          <w:b/>
          <w:bCs/>
        </w:rPr>
        <w:t xml:space="preserve">2.9 - </w:t>
      </w:r>
      <w:r w:rsidRPr="00C65D34">
        <w:rPr>
          <w:rFonts w:cs="Arial"/>
          <w:b/>
          <w:bCs/>
        </w:rPr>
        <w:t>Asignaciones Presupuestales</w:t>
      </w:r>
      <w:r>
        <w:rPr>
          <w:rFonts w:cs="Arial"/>
          <w:bCs/>
        </w:rPr>
        <w:t xml:space="preserve"> </w:t>
      </w:r>
      <w:r w:rsidRPr="000862EC">
        <w:rPr>
          <w:rFonts w:cs="Arial"/>
          <w:b/>
        </w:rPr>
        <w:t xml:space="preserve">Artículo </w:t>
      </w:r>
      <w:r>
        <w:rPr>
          <w:rFonts w:cs="Arial"/>
          <w:b/>
        </w:rPr>
        <w:t>4°</w:t>
      </w:r>
      <w:r w:rsidRPr="000862EC">
        <w:rPr>
          <w:rFonts w:cs="Arial"/>
          <w:b/>
        </w:rPr>
        <w:t xml:space="preserve"> del Decreto 347/13 de </w:t>
      </w:r>
      <w:r>
        <w:rPr>
          <w:rFonts w:cs="Arial"/>
          <w:b/>
        </w:rPr>
        <w:t xml:space="preserve">  </w:t>
      </w:r>
      <w:r w:rsidRPr="000862EC">
        <w:rPr>
          <w:rFonts w:cs="Arial"/>
          <w:b/>
        </w:rPr>
        <w:t>24/10/</w:t>
      </w:r>
      <w:r w:rsidR="00AC713E">
        <w:rPr>
          <w:rFonts w:cs="Arial"/>
          <w:b/>
        </w:rPr>
        <w:t>2013</w:t>
      </w:r>
    </w:p>
    <w:p w:rsidR="003D139B" w:rsidRPr="00100C8F" w:rsidRDefault="003D139B" w:rsidP="00DF454E">
      <w:pPr>
        <w:tabs>
          <w:tab w:val="left" w:pos="284"/>
        </w:tabs>
        <w:spacing w:line="360" w:lineRule="auto"/>
        <w:ind w:left="284"/>
        <w:jc w:val="both"/>
        <w:rPr>
          <w:rFonts w:cs="Arial"/>
        </w:rPr>
      </w:pPr>
      <w:r>
        <w:rPr>
          <w:rFonts w:cs="Arial"/>
          <w:lang w:val="es-ES_tradnl"/>
        </w:rPr>
        <w:t xml:space="preserve">- Los grupos 1, 2, 3, 4, 5, 6 y 8 no presentan la apertura que establece el Decreto aprobatorio en los presupuestos de compras de energía y portland </w:t>
      </w:r>
      <w:r w:rsidRPr="00100C8F">
        <w:rPr>
          <w:rFonts w:cs="Arial"/>
          <w:bCs/>
        </w:rPr>
        <w:t>dispuesta en</w:t>
      </w:r>
      <w:r>
        <w:rPr>
          <w:rFonts w:cs="Arial"/>
          <w:bCs/>
        </w:rPr>
        <w:t xml:space="preserve"> los artículos 1° y</w:t>
      </w:r>
      <w:r w:rsidRPr="00100C8F">
        <w:rPr>
          <w:rFonts w:cs="Arial"/>
          <w:bCs/>
        </w:rPr>
        <w:t xml:space="preserve"> 4º del Decreto Nº 347/2013 que establece dentro de cada grupo mencionado las asignaciones correspondientes </w:t>
      </w:r>
      <w:r>
        <w:rPr>
          <w:rFonts w:cs="Arial"/>
          <w:bCs/>
        </w:rPr>
        <w:t xml:space="preserve">a cada </w:t>
      </w:r>
      <w:r w:rsidR="00AC713E">
        <w:rPr>
          <w:rFonts w:cs="Arial"/>
          <w:bCs/>
        </w:rPr>
        <w:t>Subgrupos.</w:t>
      </w:r>
    </w:p>
    <w:p w:rsidR="003D139B" w:rsidRDefault="003D139B" w:rsidP="00DF454E">
      <w:pPr>
        <w:tabs>
          <w:tab w:val="left" w:pos="284"/>
        </w:tabs>
        <w:spacing w:line="360" w:lineRule="auto"/>
        <w:ind w:left="284"/>
        <w:jc w:val="both"/>
        <w:rPr>
          <w:rFonts w:cs="Arial"/>
          <w:lang w:val="es-ES_tradnl"/>
        </w:rPr>
      </w:pPr>
      <w:r>
        <w:rPr>
          <w:rFonts w:cs="Arial"/>
          <w:lang w:val="es-ES_tradnl"/>
        </w:rPr>
        <w:t xml:space="preserve">- El objeto 0.4.02. </w:t>
      </w:r>
      <w:proofErr w:type="gramStart"/>
      <w:r>
        <w:rPr>
          <w:rFonts w:cs="Arial"/>
          <w:lang w:val="es-ES_tradnl"/>
        </w:rPr>
        <w:t>se</w:t>
      </w:r>
      <w:proofErr w:type="gramEnd"/>
      <w:r>
        <w:rPr>
          <w:rFonts w:cs="Arial"/>
          <w:lang w:val="es-ES_tradnl"/>
        </w:rPr>
        <w:t xml:space="preserve"> expone</w:t>
      </w:r>
      <w:r w:rsidRPr="007A40C1">
        <w:rPr>
          <w:rFonts w:cs="Arial"/>
          <w:lang w:val="es-ES_tradnl"/>
        </w:rPr>
        <w:t xml:space="preserve"> </w:t>
      </w:r>
      <w:r>
        <w:rPr>
          <w:rFonts w:cs="Arial"/>
          <w:lang w:val="es-ES_tradnl"/>
        </w:rPr>
        <w:t xml:space="preserve">sin la apertura establecida en el </w:t>
      </w:r>
      <w:proofErr w:type="spellStart"/>
      <w:r>
        <w:rPr>
          <w:rFonts w:cs="Arial"/>
          <w:lang w:val="es-ES_tradnl"/>
        </w:rPr>
        <w:t>Dec</w:t>
      </w:r>
      <w:proofErr w:type="spellEnd"/>
      <w:r>
        <w:rPr>
          <w:rFonts w:cs="Arial"/>
          <w:lang w:val="es-ES_tradnl"/>
        </w:rPr>
        <w:t>. 347/13 que lo presenta con asignaciones para los renglones 0.4.02/0 y 0.4.02/1.</w:t>
      </w:r>
    </w:p>
    <w:p w:rsidR="003D139B" w:rsidRDefault="003D139B" w:rsidP="00DF454E">
      <w:pPr>
        <w:tabs>
          <w:tab w:val="left" w:pos="284"/>
        </w:tabs>
        <w:spacing w:line="360" w:lineRule="auto"/>
        <w:ind w:left="284"/>
        <w:jc w:val="both"/>
        <w:rPr>
          <w:rFonts w:cs="Arial"/>
          <w:lang w:val="es-ES_tradnl"/>
        </w:rPr>
      </w:pPr>
      <w:r>
        <w:rPr>
          <w:rFonts w:cs="Arial"/>
          <w:lang w:val="es-ES_tradnl"/>
        </w:rPr>
        <w:t xml:space="preserve">-Las asignaciones para el pago de </w:t>
      </w:r>
      <w:r w:rsidRPr="00CB6607">
        <w:rPr>
          <w:rFonts w:cs="Arial"/>
          <w:lang w:val="es-ES_tradnl"/>
        </w:rPr>
        <w:t xml:space="preserve">“Quebrantos” </w:t>
      </w:r>
      <w:r>
        <w:rPr>
          <w:rFonts w:cs="Arial"/>
          <w:lang w:val="es-ES_tradnl"/>
        </w:rPr>
        <w:t xml:space="preserve">se exponen </w:t>
      </w:r>
      <w:r w:rsidRPr="00CB6607">
        <w:rPr>
          <w:rFonts w:cs="Arial"/>
          <w:lang w:val="es-ES_tradnl"/>
        </w:rPr>
        <w:t xml:space="preserve">en el objeto </w:t>
      </w:r>
      <w:r>
        <w:rPr>
          <w:rFonts w:cs="Arial"/>
          <w:lang w:val="es-ES_tradnl"/>
        </w:rPr>
        <w:t>“</w:t>
      </w:r>
      <w:r w:rsidRPr="00CB6607">
        <w:rPr>
          <w:rFonts w:cs="Arial"/>
          <w:lang w:val="es-ES_tradnl"/>
        </w:rPr>
        <w:t>0.4.05</w:t>
      </w:r>
      <w:r>
        <w:rPr>
          <w:rFonts w:cs="Arial"/>
          <w:lang w:val="es-ES_tradnl"/>
        </w:rPr>
        <w:t>”</w:t>
      </w:r>
      <w:r w:rsidRPr="00CB6607">
        <w:rPr>
          <w:rFonts w:cs="Arial"/>
          <w:lang w:val="es-ES_tradnl"/>
        </w:rPr>
        <w:t xml:space="preserve">, </w:t>
      </w:r>
      <w:r>
        <w:rPr>
          <w:rFonts w:cs="Arial"/>
          <w:lang w:val="es-ES_tradnl"/>
        </w:rPr>
        <w:t>siendo</w:t>
      </w:r>
      <w:r w:rsidRPr="00CB6607">
        <w:rPr>
          <w:rFonts w:cs="Arial"/>
          <w:lang w:val="es-ES_tradnl"/>
        </w:rPr>
        <w:t xml:space="preserve"> que el Decreto dispone dicha partida en el objeto </w:t>
      </w:r>
      <w:r>
        <w:rPr>
          <w:rFonts w:cs="Arial"/>
          <w:lang w:val="es-ES_tradnl"/>
        </w:rPr>
        <w:t>“0.4.08”.</w:t>
      </w:r>
    </w:p>
    <w:p w:rsidR="003D139B" w:rsidRDefault="003D139B" w:rsidP="00DF454E">
      <w:pPr>
        <w:tabs>
          <w:tab w:val="left" w:pos="284"/>
        </w:tabs>
        <w:spacing w:line="360" w:lineRule="auto"/>
        <w:ind w:left="284"/>
        <w:jc w:val="both"/>
        <w:rPr>
          <w:rFonts w:cs="Arial"/>
          <w:lang w:val="es-ES_tradnl"/>
        </w:rPr>
      </w:pPr>
      <w:r>
        <w:rPr>
          <w:rFonts w:cs="Arial"/>
          <w:lang w:val="es-ES_tradnl"/>
        </w:rPr>
        <w:t>-El objeto “0.7.09 no presenta la apertura establecida en el Decreto que dispone asignaciones para los renglones “0.7.09/1” y “0.709/2”.</w:t>
      </w:r>
    </w:p>
    <w:p w:rsidR="003D139B" w:rsidRPr="000862EC" w:rsidRDefault="003D139B" w:rsidP="00DF454E">
      <w:pPr>
        <w:tabs>
          <w:tab w:val="left" w:pos="567"/>
        </w:tabs>
        <w:autoSpaceDE w:val="0"/>
        <w:autoSpaceDN w:val="0"/>
        <w:adjustRightInd w:val="0"/>
        <w:spacing w:line="360" w:lineRule="auto"/>
        <w:ind w:left="284" w:hanging="284"/>
        <w:jc w:val="both"/>
        <w:outlineLvl w:val="0"/>
        <w:rPr>
          <w:rFonts w:cs="Arial"/>
          <w:b/>
        </w:rPr>
      </w:pPr>
      <w:r>
        <w:rPr>
          <w:rFonts w:cs="Arial"/>
          <w:b/>
        </w:rPr>
        <w:t xml:space="preserve">2.10- </w:t>
      </w:r>
      <w:r w:rsidRPr="000862EC">
        <w:rPr>
          <w:rFonts w:cs="Arial"/>
          <w:b/>
        </w:rPr>
        <w:t>Sistema de Retribución Variable- SRV, Artículo 10 d</w:t>
      </w:r>
      <w:r w:rsidR="00AC713E">
        <w:rPr>
          <w:rFonts w:cs="Arial"/>
          <w:b/>
        </w:rPr>
        <w:t>el Decreto 347/13 de 24/10/2013</w:t>
      </w:r>
    </w:p>
    <w:p w:rsidR="003D139B" w:rsidRPr="000862EC" w:rsidRDefault="003D139B" w:rsidP="00AC5A5A">
      <w:pPr>
        <w:tabs>
          <w:tab w:val="left" w:pos="284"/>
        </w:tabs>
        <w:spacing w:line="360" w:lineRule="auto"/>
        <w:ind w:left="567"/>
        <w:jc w:val="both"/>
        <w:rPr>
          <w:rFonts w:cs="Arial"/>
          <w:color w:val="000000"/>
        </w:rPr>
      </w:pPr>
      <w:r w:rsidRPr="000862EC">
        <w:rPr>
          <w:rFonts w:cs="Arial"/>
          <w:color w:val="000000"/>
        </w:rPr>
        <w:t>Se verificó en el Expediente N°</w:t>
      </w:r>
      <w:r w:rsidRPr="000862EC">
        <w:rPr>
          <w:rFonts w:cs="Arial"/>
        </w:rPr>
        <w:t xml:space="preserve"> 228.842-8 que no se cumplió con lo dispuesto en este artículo al no haberse comunicado al Tribunal de Cuentas las revisiones anuales del SRV.</w:t>
      </w:r>
    </w:p>
    <w:p w:rsidR="003D139B" w:rsidRPr="00F90818" w:rsidRDefault="003D139B" w:rsidP="00513355">
      <w:pPr>
        <w:tabs>
          <w:tab w:val="left" w:pos="567"/>
        </w:tabs>
        <w:autoSpaceDE w:val="0"/>
        <w:autoSpaceDN w:val="0"/>
        <w:adjustRightInd w:val="0"/>
        <w:spacing w:line="360" w:lineRule="auto"/>
        <w:jc w:val="both"/>
        <w:outlineLvl w:val="0"/>
        <w:rPr>
          <w:rFonts w:cs="Arial"/>
          <w:b/>
        </w:rPr>
      </w:pPr>
      <w:r>
        <w:rPr>
          <w:rFonts w:cs="Arial"/>
          <w:b/>
        </w:rPr>
        <w:t>2.11-</w:t>
      </w:r>
      <w:r w:rsidRPr="000862EC">
        <w:rPr>
          <w:rFonts w:cs="Arial"/>
          <w:b/>
        </w:rPr>
        <w:t>Liquida</w:t>
      </w:r>
      <w:r w:rsidR="00AC713E">
        <w:rPr>
          <w:rFonts w:cs="Arial"/>
          <w:b/>
        </w:rPr>
        <w:t>ción retenciones  IRPF</w:t>
      </w:r>
    </w:p>
    <w:p w:rsidR="003D139B" w:rsidRPr="000862EC" w:rsidRDefault="003D139B" w:rsidP="00DF454E">
      <w:pPr>
        <w:pStyle w:val="Sangradetextonormal"/>
        <w:spacing w:after="0" w:line="360" w:lineRule="auto"/>
        <w:ind w:left="426"/>
        <w:jc w:val="both"/>
        <w:rPr>
          <w:rFonts w:ascii="Arial" w:hAnsi="Arial" w:cs="Arial"/>
          <w:bCs/>
          <w:highlight w:val="green"/>
          <w:lang w:eastAsia="es-UY"/>
        </w:rPr>
      </w:pPr>
      <w:r w:rsidRPr="00F90818">
        <w:rPr>
          <w:rFonts w:ascii="Arial" w:hAnsi="Arial" w:cs="Arial"/>
          <w:bCs/>
          <w:lang w:eastAsia="es-UY"/>
        </w:rPr>
        <w:t>La liquidación de las retenciones por concepto de IRPF del personal dependiente genera diferencias con respecto de la factura que emite el BPS. Dichas diferencias se ajustan contablemente</w:t>
      </w:r>
      <w:r>
        <w:rPr>
          <w:rFonts w:ascii="Arial" w:hAnsi="Arial" w:cs="Arial"/>
          <w:bCs/>
          <w:lang w:eastAsia="es-UY"/>
        </w:rPr>
        <w:t xml:space="preserve"> contra resultados </w:t>
      </w:r>
      <w:r w:rsidRPr="00F90818">
        <w:rPr>
          <w:rFonts w:ascii="Arial" w:hAnsi="Arial" w:cs="Arial"/>
          <w:bCs/>
          <w:lang w:eastAsia="es-UY"/>
        </w:rPr>
        <w:t>no habien</w:t>
      </w:r>
      <w:r>
        <w:rPr>
          <w:rFonts w:ascii="Arial" w:hAnsi="Arial" w:cs="Arial"/>
          <w:bCs/>
          <w:lang w:eastAsia="es-UY"/>
        </w:rPr>
        <w:t>do</w:t>
      </w:r>
      <w:r w:rsidRPr="00F90818">
        <w:rPr>
          <w:rFonts w:ascii="Arial" w:hAnsi="Arial" w:cs="Arial"/>
          <w:bCs/>
          <w:lang w:eastAsia="es-UY"/>
        </w:rPr>
        <w:t xml:space="preserve"> estableci</w:t>
      </w:r>
      <w:r>
        <w:rPr>
          <w:rFonts w:ascii="Arial" w:hAnsi="Arial" w:cs="Arial"/>
          <w:bCs/>
          <w:lang w:eastAsia="es-UY"/>
        </w:rPr>
        <w:t>do</w:t>
      </w:r>
      <w:r w:rsidRPr="00F90818">
        <w:rPr>
          <w:rFonts w:ascii="Arial" w:hAnsi="Arial" w:cs="Arial"/>
          <w:bCs/>
          <w:lang w:eastAsia="es-UY"/>
        </w:rPr>
        <w:t xml:space="preserve"> el ente un procedimiento de verificación de las variables que generan </w:t>
      </w:r>
      <w:r>
        <w:rPr>
          <w:rFonts w:ascii="Arial" w:hAnsi="Arial" w:cs="Arial"/>
          <w:bCs/>
          <w:lang w:eastAsia="es-UY"/>
        </w:rPr>
        <w:t>las mismas</w:t>
      </w:r>
      <w:r w:rsidRPr="00F90818">
        <w:rPr>
          <w:rFonts w:ascii="Arial" w:hAnsi="Arial" w:cs="Arial"/>
          <w:bCs/>
          <w:lang w:eastAsia="es-UY"/>
        </w:rPr>
        <w:t>.</w:t>
      </w:r>
    </w:p>
    <w:p w:rsidR="003D139B" w:rsidRPr="000862EC" w:rsidRDefault="003D139B" w:rsidP="00DF454E">
      <w:pPr>
        <w:tabs>
          <w:tab w:val="left" w:pos="567"/>
        </w:tabs>
        <w:autoSpaceDE w:val="0"/>
        <w:autoSpaceDN w:val="0"/>
        <w:adjustRightInd w:val="0"/>
        <w:spacing w:line="360" w:lineRule="auto"/>
        <w:ind w:left="426" w:hanging="426"/>
        <w:jc w:val="both"/>
        <w:outlineLvl w:val="0"/>
        <w:rPr>
          <w:rFonts w:cs="Arial"/>
          <w:b/>
        </w:rPr>
      </w:pPr>
      <w:r w:rsidRPr="000862EC">
        <w:rPr>
          <w:rFonts w:cs="Arial"/>
          <w:b/>
        </w:rPr>
        <w:t>2.</w:t>
      </w:r>
      <w:r>
        <w:rPr>
          <w:rFonts w:cs="Arial"/>
          <w:b/>
        </w:rPr>
        <w:t>12</w:t>
      </w:r>
      <w:r w:rsidRPr="000862EC">
        <w:rPr>
          <w:rFonts w:cs="Arial"/>
          <w:b/>
        </w:rPr>
        <w:t>- Comprobación de cumplimiento obligaciones Constancia CJ</w:t>
      </w:r>
      <w:r>
        <w:rPr>
          <w:rFonts w:cs="Arial"/>
          <w:b/>
        </w:rPr>
        <w:t>P</w:t>
      </w:r>
      <w:r w:rsidRPr="000862EC">
        <w:rPr>
          <w:rFonts w:cs="Arial"/>
          <w:b/>
        </w:rPr>
        <w:t xml:space="preserve">PU y Fondo de Solidaridad - Profesionales Independientes y Dependientes </w:t>
      </w:r>
    </w:p>
    <w:p w:rsidR="003D139B" w:rsidRPr="000862EC" w:rsidRDefault="003D139B" w:rsidP="00DF454E">
      <w:pPr>
        <w:pStyle w:val="Sangradetextonormal"/>
        <w:spacing w:after="0" w:line="360" w:lineRule="auto"/>
        <w:ind w:left="567"/>
        <w:jc w:val="both"/>
        <w:rPr>
          <w:rFonts w:ascii="Arial" w:hAnsi="Arial" w:cs="Arial"/>
          <w:bCs/>
        </w:rPr>
      </w:pPr>
      <w:r w:rsidRPr="000862EC">
        <w:rPr>
          <w:rFonts w:ascii="Arial" w:hAnsi="Arial" w:cs="Arial"/>
          <w:bCs/>
        </w:rPr>
        <w:t xml:space="preserve">El sistema informático SAP no prevé la inhabilitación de los pagos para los casos que no conste registro </w:t>
      </w:r>
      <w:r>
        <w:rPr>
          <w:rFonts w:ascii="Arial" w:hAnsi="Arial" w:cs="Arial"/>
          <w:bCs/>
        </w:rPr>
        <w:t xml:space="preserve">(“campo” vacío) </w:t>
      </w:r>
      <w:r w:rsidRPr="000862EC">
        <w:rPr>
          <w:rFonts w:ascii="Arial" w:hAnsi="Arial" w:cs="Arial"/>
          <w:bCs/>
        </w:rPr>
        <w:t>del certificado de la CJ</w:t>
      </w:r>
      <w:r>
        <w:rPr>
          <w:rFonts w:ascii="Arial" w:hAnsi="Arial" w:cs="Arial"/>
          <w:bCs/>
        </w:rPr>
        <w:t>P</w:t>
      </w:r>
      <w:r w:rsidRPr="000862EC">
        <w:rPr>
          <w:rFonts w:ascii="Arial" w:hAnsi="Arial" w:cs="Arial"/>
          <w:bCs/>
        </w:rPr>
        <w:t>PU. Tampoco hay un procedimiento de control manual que permita mitigar la falta de control informático mencionado anteriormente.</w:t>
      </w:r>
    </w:p>
    <w:p w:rsidR="003D139B" w:rsidRPr="000862EC" w:rsidRDefault="003D139B" w:rsidP="00DF454E">
      <w:pPr>
        <w:pStyle w:val="NormalWeb"/>
        <w:spacing w:before="0" w:beforeAutospacing="0" w:after="0" w:afterAutospacing="0" w:line="360" w:lineRule="auto"/>
        <w:jc w:val="both"/>
        <w:rPr>
          <w:rFonts w:ascii="Arial" w:hAnsi="Arial" w:cs="Arial"/>
          <w:b/>
        </w:rPr>
      </w:pPr>
      <w:r>
        <w:rPr>
          <w:rFonts w:ascii="Arial" w:hAnsi="Arial" w:cs="Arial"/>
          <w:b/>
        </w:rPr>
        <w:t>2.13</w:t>
      </w:r>
      <w:r w:rsidRPr="000862EC">
        <w:rPr>
          <w:rFonts w:ascii="Arial" w:hAnsi="Arial" w:cs="Arial"/>
          <w:b/>
        </w:rPr>
        <w:t>- Segregación func</w:t>
      </w:r>
      <w:r w:rsidR="00AC713E">
        <w:rPr>
          <w:rFonts w:ascii="Arial" w:hAnsi="Arial" w:cs="Arial"/>
          <w:b/>
        </w:rPr>
        <w:t>iones Sector Cuentas a Pagar</w:t>
      </w:r>
    </w:p>
    <w:p w:rsidR="003D139B" w:rsidRDefault="003D139B" w:rsidP="00DF454E">
      <w:pPr>
        <w:pStyle w:val="Sangradetextonormal"/>
        <w:spacing w:after="0" w:line="360" w:lineRule="auto"/>
        <w:ind w:left="284"/>
        <w:jc w:val="both"/>
        <w:rPr>
          <w:rFonts w:ascii="Arial" w:hAnsi="Arial" w:cs="Arial"/>
          <w:bCs/>
        </w:rPr>
      </w:pPr>
      <w:r w:rsidRPr="00C54306">
        <w:rPr>
          <w:rFonts w:ascii="Arial" w:hAnsi="Arial" w:cs="Arial"/>
          <w:bCs/>
        </w:rPr>
        <w:t>Los funcionarios del Sector de Cuentas a pagar liquidan, aprueban y contabilizan ajustes de cuentas a pagar. Asimismo están habilitados a autorizar el pago de dichas cuentas, dependiendo de un mismo jerarca responsable, no cumpliendo con el principio de oposición de intereses.</w:t>
      </w:r>
    </w:p>
    <w:p w:rsidR="00AC713E" w:rsidRDefault="00AC713E" w:rsidP="00DF454E">
      <w:pPr>
        <w:pStyle w:val="Sangradetextonormal"/>
        <w:spacing w:after="0" w:line="360" w:lineRule="auto"/>
        <w:ind w:left="284"/>
        <w:jc w:val="both"/>
        <w:rPr>
          <w:rFonts w:ascii="Arial" w:hAnsi="Arial" w:cs="Arial"/>
          <w:bCs/>
        </w:rPr>
      </w:pPr>
    </w:p>
    <w:p w:rsidR="00AC713E" w:rsidRDefault="00AC713E" w:rsidP="00DF454E">
      <w:pPr>
        <w:pStyle w:val="Sangradetextonormal"/>
        <w:spacing w:after="0" w:line="360" w:lineRule="auto"/>
        <w:ind w:left="284"/>
        <w:jc w:val="both"/>
        <w:rPr>
          <w:rFonts w:ascii="Arial" w:hAnsi="Arial" w:cs="Arial"/>
          <w:bCs/>
        </w:rPr>
      </w:pPr>
    </w:p>
    <w:p w:rsidR="00AC713E" w:rsidRPr="000862EC" w:rsidRDefault="00AC713E" w:rsidP="00DF454E">
      <w:pPr>
        <w:pStyle w:val="Sangradetextonormal"/>
        <w:spacing w:after="0" w:line="360" w:lineRule="auto"/>
        <w:ind w:left="284"/>
        <w:jc w:val="both"/>
        <w:rPr>
          <w:rFonts w:ascii="Arial" w:hAnsi="Arial" w:cs="Arial"/>
          <w:bCs/>
        </w:rPr>
      </w:pPr>
    </w:p>
    <w:p w:rsidR="003D139B" w:rsidRPr="000862EC" w:rsidRDefault="003D139B" w:rsidP="00513355">
      <w:pPr>
        <w:tabs>
          <w:tab w:val="left" w:pos="567"/>
        </w:tabs>
        <w:autoSpaceDE w:val="0"/>
        <w:autoSpaceDN w:val="0"/>
        <w:adjustRightInd w:val="0"/>
        <w:spacing w:line="360" w:lineRule="auto"/>
        <w:jc w:val="both"/>
        <w:outlineLvl w:val="0"/>
        <w:rPr>
          <w:rFonts w:cs="Arial"/>
          <w:b/>
        </w:rPr>
      </w:pPr>
      <w:r>
        <w:rPr>
          <w:rFonts w:cs="Arial"/>
          <w:b/>
        </w:rPr>
        <w:t>2.14</w:t>
      </w:r>
      <w:r w:rsidRPr="000862EC">
        <w:rPr>
          <w:rFonts w:cs="Arial"/>
          <w:b/>
        </w:rPr>
        <w:t>- Adelantos de Sueldos</w:t>
      </w:r>
    </w:p>
    <w:p w:rsidR="003D139B" w:rsidRPr="00C54306" w:rsidRDefault="003D139B" w:rsidP="00C54306">
      <w:pPr>
        <w:pStyle w:val="Sangradetextonormal"/>
        <w:spacing w:line="360" w:lineRule="auto"/>
        <w:ind w:left="284"/>
        <w:jc w:val="both"/>
        <w:rPr>
          <w:rFonts w:ascii="Arial" w:hAnsi="Arial" w:cs="Arial"/>
          <w:bCs/>
        </w:rPr>
      </w:pPr>
      <w:r w:rsidRPr="00C54306">
        <w:rPr>
          <w:rFonts w:ascii="Arial" w:hAnsi="Arial" w:cs="Arial"/>
          <w:bCs/>
        </w:rPr>
        <w:t>-Los procedimientos establecidos para otorgar adelantos de sueldos no han sido documentados en Manuales de Procedi</w:t>
      </w:r>
      <w:r w:rsidR="00AC713E">
        <w:rPr>
          <w:rFonts w:ascii="Arial" w:hAnsi="Arial" w:cs="Arial"/>
          <w:bCs/>
        </w:rPr>
        <w:t>mientos aprobados y publicados.</w:t>
      </w:r>
    </w:p>
    <w:p w:rsidR="003D139B" w:rsidRPr="000862EC" w:rsidRDefault="003D139B" w:rsidP="00C54306">
      <w:pPr>
        <w:pStyle w:val="Sangradetextonormal"/>
        <w:spacing w:line="360" w:lineRule="auto"/>
        <w:ind w:left="284"/>
        <w:jc w:val="both"/>
        <w:rPr>
          <w:rFonts w:ascii="Arial" w:hAnsi="Arial" w:cs="Arial"/>
          <w:bCs/>
        </w:rPr>
      </w:pPr>
      <w:r w:rsidRPr="00C54306">
        <w:rPr>
          <w:rFonts w:ascii="Arial" w:hAnsi="Arial" w:cs="Arial"/>
          <w:bCs/>
        </w:rPr>
        <w:t>-El saldo contable integra partidas antiguas no ajustadas que datan del año 2004 al 2014.</w:t>
      </w:r>
    </w:p>
    <w:p w:rsidR="003D139B" w:rsidRPr="000862EC" w:rsidRDefault="003D139B" w:rsidP="00F2063A">
      <w:pPr>
        <w:keepLines/>
        <w:spacing w:line="360" w:lineRule="auto"/>
        <w:jc w:val="both"/>
        <w:rPr>
          <w:rFonts w:cs="Arial"/>
          <w:b/>
          <w:bCs/>
        </w:rPr>
      </w:pPr>
      <w:r w:rsidRPr="000862EC">
        <w:rPr>
          <w:rFonts w:cs="Arial"/>
          <w:b/>
          <w:bCs/>
        </w:rPr>
        <w:t>3.</w:t>
      </w:r>
      <w:r w:rsidRPr="000862EC">
        <w:rPr>
          <w:rFonts w:cs="Arial"/>
          <w:b/>
          <w:bCs/>
        </w:rPr>
        <w:tab/>
        <w:t>Recomendaciones</w:t>
      </w:r>
    </w:p>
    <w:p w:rsidR="003D139B" w:rsidRPr="000862EC" w:rsidRDefault="003D139B" w:rsidP="00F2063A">
      <w:pPr>
        <w:keepLines/>
        <w:numPr>
          <w:ilvl w:val="1"/>
          <w:numId w:val="5"/>
        </w:numPr>
        <w:spacing w:line="360" w:lineRule="auto"/>
        <w:contextualSpacing/>
        <w:jc w:val="both"/>
        <w:rPr>
          <w:rFonts w:cs="Arial"/>
          <w:b/>
          <w:bCs/>
        </w:rPr>
      </w:pPr>
      <w:r w:rsidRPr="000862EC">
        <w:rPr>
          <w:rFonts w:cs="Arial"/>
          <w:b/>
          <w:bCs/>
        </w:rPr>
        <w:t xml:space="preserve"> Recomendaciones de Ejercicios anteriores cumplidas</w:t>
      </w:r>
    </w:p>
    <w:p w:rsidR="003D139B" w:rsidRPr="00962861" w:rsidRDefault="003D139B" w:rsidP="00DF454E">
      <w:pPr>
        <w:autoSpaceDE w:val="0"/>
        <w:autoSpaceDN w:val="0"/>
        <w:adjustRightInd w:val="0"/>
        <w:spacing w:line="360" w:lineRule="auto"/>
        <w:ind w:left="426" w:hanging="426"/>
        <w:jc w:val="both"/>
        <w:rPr>
          <w:rFonts w:cs="Arial"/>
        </w:rPr>
      </w:pPr>
      <w:r w:rsidRPr="00962861">
        <w:rPr>
          <w:rFonts w:cs="Arial"/>
          <w:b/>
          <w:lang w:val="es-ES_tradnl"/>
        </w:rPr>
        <w:t>3.1.</w:t>
      </w:r>
      <w:r>
        <w:rPr>
          <w:rFonts w:cs="Arial"/>
          <w:b/>
          <w:lang w:val="es-ES_tradnl"/>
        </w:rPr>
        <w:t>1</w:t>
      </w:r>
      <w:r w:rsidRPr="00962861">
        <w:rPr>
          <w:rFonts w:cs="Arial"/>
          <w:b/>
          <w:lang w:val="es-ES_tradnl"/>
        </w:rPr>
        <w:t xml:space="preserve">  </w:t>
      </w:r>
      <w:r w:rsidRPr="00962861">
        <w:rPr>
          <w:rFonts w:cs="Arial"/>
          <w:lang w:val="es-ES_tradnl"/>
        </w:rPr>
        <w:t xml:space="preserve">Se imputaron las horas extras efectivamente realizadas en forma separada de las “Horas Nocturnas” y otras remuneraciones variables, </w:t>
      </w:r>
      <w:r w:rsidRPr="00962861">
        <w:rPr>
          <w:rFonts w:cs="Arial"/>
        </w:rPr>
        <w:t>con una denominación específica.</w:t>
      </w:r>
    </w:p>
    <w:p w:rsidR="003D139B" w:rsidRPr="000862EC" w:rsidRDefault="003D139B" w:rsidP="00DF454E">
      <w:pPr>
        <w:keepLines/>
        <w:autoSpaceDE w:val="0"/>
        <w:autoSpaceDN w:val="0"/>
        <w:adjustRightInd w:val="0"/>
        <w:spacing w:line="360" w:lineRule="auto"/>
        <w:ind w:left="426" w:hanging="426"/>
        <w:jc w:val="both"/>
        <w:rPr>
          <w:rFonts w:cs="Arial"/>
          <w:lang w:val="es-ES_tradnl"/>
        </w:rPr>
      </w:pPr>
      <w:r w:rsidRPr="00962861">
        <w:rPr>
          <w:rFonts w:cs="Arial"/>
          <w:b/>
          <w:lang w:val="es-ES_tradnl"/>
        </w:rPr>
        <w:t>3.1.</w:t>
      </w:r>
      <w:r>
        <w:rPr>
          <w:rFonts w:cs="Arial"/>
          <w:b/>
          <w:lang w:val="es-ES_tradnl"/>
        </w:rPr>
        <w:t>2</w:t>
      </w:r>
      <w:r w:rsidRPr="00962861">
        <w:rPr>
          <w:rFonts w:cs="Arial"/>
          <w:lang w:val="es-ES_tradnl"/>
        </w:rPr>
        <w:t xml:space="preserve"> Se ingresaron al sistema SAP y se presentaron los créditos presupuestales, sus adecuaciones</w:t>
      </w:r>
      <w:r w:rsidRPr="000862EC">
        <w:rPr>
          <w:rFonts w:cs="Arial"/>
          <w:lang w:val="es-ES_tradnl"/>
        </w:rPr>
        <w:t xml:space="preserve"> y trasposiciones de acuerdo al Decreto aprobatorio del presupuesto del Ejercicio y de las Resoluciones correspondientes.</w:t>
      </w:r>
    </w:p>
    <w:p w:rsidR="003D139B" w:rsidRPr="000862EC" w:rsidRDefault="003D139B" w:rsidP="00DF454E">
      <w:pPr>
        <w:keepLines/>
        <w:autoSpaceDE w:val="0"/>
        <w:autoSpaceDN w:val="0"/>
        <w:adjustRightInd w:val="0"/>
        <w:spacing w:line="360" w:lineRule="auto"/>
        <w:ind w:left="709" w:hanging="709"/>
        <w:jc w:val="both"/>
        <w:rPr>
          <w:rFonts w:cs="Arial"/>
          <w:lang w:val="es-ES_tradnl"/>
        </w:rPr>
      </w:pPr>
      <w:r w:rsidRPr="000862EC">
        <w:rPr>
          <w:rFonts w:cs="Arial"/>
          <w:b/>
          <w:lang w:val="es-ES_tradnl"/>
        </w:rPr>
        <w:t>3.</w:t>
      </w:r>
      <w:r>
        <w:rPr>
          <w:rFonts w:cs="Arial"/>
          <w:b/>
          <w:lang w:val="es-ES_tradnl"/>
        </w:rPr>
        <w:t>1.3</w:t>
      </w:r>
      <w:r w:rsidRPr="000862EC">
        <w:rPr>
          <w:rFonts w:cs="Arial"/>
          <w:lang w:val="es-ES_tradnl"/>
        </w:rPr>
        <w:t xml:space="preserve"> </w:t>
      </w:r>
      <w:r>
        <w:rPr>
          <w:rFonts w:cs="Arial"/>
          <w:lang w:val="es-ES_tradnl"/>
        </w:rPr>
        <w:t>En los estados presentados no se detectaron diferencias entre los créditos expuestos, los vigentes y los ingresados al</w:t>
      </w:r>
      <w:r w:rsidRPr="000862EC">
        <w:rPr>
          <w:rFonts w:cs="Arial"/>
          <w:lang w:val="es-ES_tradnl"/>
        </w:rPr>
        <w:t xml:space="preserve"> sistema informático.</w:t>
      </w:r>
    </w:p>
    <w:p w:rsidR="003D139B" w:rsidRDefault="003D139B" w:rsidP="00DF454E">
      <w:pPr>
        <w:keepLines/>
        <w:autoSpaceDE w:val="0"/>
        <w:autoSpaceDN w:val="0"/>
        <w:adjustRightInd w:val="0"/>
        <w:spacing w:line="360" w:lineRule="auto"/>
        <w:ind w:left="709" w:hanging="709"/>
        <w:jc w:val="both"/>
        <w:rPr>
          <w:rFonts w:cs="Arial"/>
          <w:lang w:val="es-ES_tradnl"/>
        </w:rPr>
      </w:pPr>
      <w:r w:rsidRPr="000862EC">
        <w:rPr>
          <w:rFonts w:cs="Arial"/>
          <w:b/>
          <w:lang w:val="es-ES_tradnl"/>
        </w:rPr>
        <w:t>3.</w:t>
      </w:r>
      <w:r>
        <w:rPr>
          <w:rFonts w:cs="Arial"/>
          <w:b/>
          <w:lang w:val="es-ES_tradnl"/>
        </w:rPr>
        <w:t>1.4</w:t>
      </w:r>
      <w:r w:rsidRPr="000862EC">
        <w:rPr>
          <w:rFonts w:cs="Arial"/>
          <w:lang w:val="es-ES_tradnl"/>
        </w:rPr>
        <w:t xml:space="preserve"> </w:t>
      </w:r>
      <w:r>
        <w:rPr>
          <w:rFonts w:cs="Arial"/>
          <w:lang w:val="es-ES_tradnl"/>
        </w:rPr>
        <w:t xml:space="preserve">No se presentaron diferencias entre </w:t>
      </w:r>
      <w:r w:rsidRPr="000862EC">
        <w:rPr>
          <w:rFonts w:cs="Arial"/>
          <w:lang w:val="es-ES_tradnl"/>
        </w:rPr>
        <w:t xml:space="preserve"> los importes incorporados y comprometidos </w:t>
      </w:r>
      <w:r>
        <w:rPr>
          <w:rFonts w:cs="Arial"/>
          <w:lang w:val="es-ES_tradnl"/>
        </w:rPr>
        <w:t>ingresados a</w:t>
      </w:r>
      <w:r w:rsidRPr="000862EC">
        <w:rPr>
          <w:rFonts w:cs="Arial"/>
          <w:lang w:val="es-ES_tradnl"/>
        </w:rPr>
        <w:t xml:space="preserve">l Sistema Informático </w:t>
      </w:r>
      <w:r>
        <w:rPr>
          <w:rFonts w:cs="Arial"/>
          <w:lang w:val="es-ES_tradnl"/>
        </w:rPr>
        <w:t>y los presentados en la Ejecución Presupuestal remitida</w:t>
      </w:r>
      <w:r w:rsidRPr="000862EC">
        <w:rPr>
          <w:rFonts w:cs="Arial"/>
          <w:lang w:val="es-ES_tradnl"/>
        </w:rPr>
        <w:t>.</w:t>
      </w:r>
    </w:p>
    <w:p w:rsidR="003D139B" w:rsidRPr="00072905" w:rsidRDefault="003D139B" w:rsidP="00DF454E">
      <w:pPr>
        <w:keepLines/>
        <w:spacing w:line="360" w:lineRule="auto"/>
        <w:ind w:left="709" w:hanging="709"/>
        <w:jc w:val="both"/>
        <w:rPr>
          <w:rFonts w:cs="Arial"/>
        </w:rPr>
      </w:pPr>
      <w:r w:rsidRPr="00072905">
        <w:rPr>
          <w:rFonts w:cs="Arial"/>
          <w:b/>
        </w:rPr>
        <w:t>3.</w:t>
      </w:r>
      <w:r>
        <w:rPr>
          <w:rFonts w:cs="Arial"/>
          <w:b/>
        </w:rPr>
        <w:t>1.5</w:t>
      </w:r>
      <w:r w:rsidRPr="00072905">
        <w:rPr>
          <w:rFonts w:cs="Arial"/>
        </w:rPr>
        <w:t xml:space="preserve"> </w:t>
      </w:r>
      <w:r>
        <w:rPr>
          <w:rFonts w:cs="Arial"/>
        </w:rPr>
        <w:t>En el ejercicio se mantuvieron l</w:t>
      </w:r>
      <w:r w:rsidRPr="00072905">
        <w:rPr>
          <w:rFonts w:cs="Arial"/>
        </w:rPr>
        <w:t>as partidas de las asignaciones presupuestales estrictamente</w:t>
      </w:r>
      <w:r>
        <w:rPr>
          <w:rFonts w:cs="Arial"/>
        </w:rPr>
        <w:t xml:space="preserve"> de acuerdo </w:t>
      </w:r>
      <w:r w:rsidRPr="00072905">
        <w:rPr>
          <w:rFonts w:cs="Arial"/>
        </w:rPr>
        <w:t>a las asignac</w:t>
      </w:r>
      <w:r>
        <w:rPr>
          <w:rFonts w:cs="Arial"/>
        </w:rPr>
        <w:t>iones autorizadas en el D</w:t>
      </w:r>
      <w:r w:rsidRPr="00072905">
        <w:rPr>
          <w:rFonts w:cs="Arial"/>
        </w:rPr>
        <w:t xml:space="preserve">ecreto aprobatorio del presupuesto anual del Ente </w:t>
      </w:r>
      <w:r w:rsidR="00AC713E">
        <w:rPr>
          <w:rFonts w:cs="Arial"/>
        </w:rPr>
        <w:t>y sus correspondientes ajustes.</w:t>
      </w:r>
    </w:p>
    <w:p w:rsidR="003D139B" w:rsidRPr="000862EC" w:rsidRDefault="003D139B" w:rsidP="00F2063A">
      <w:pPr>
        <w:keepLines/>
        <w:numPr>
          <w:ilvl w:val="1"/>
          <w:numId w:val="5"/>
        </w:numPr>
        <w:spacing w:line="360" w:lineRule="auto"/>
        <w:contextualSpacing/>
        <w:jc w:val="both"/>
        <w:rPr>
          <w:rFonts w:cs="Arial"/>
          <w:b/>
          <w:bCs/>
        </w:rPr>
      </w:pPr>
      <w:r w:rsidRPr="000862EC">
        <w:rPr>
          <w:rFonts w:cs="Arial"/>
          <w:b/>
          <w:bCs/>
        </w:rPr>
        <w:t xml:space="preserve"> Recomendaciones de Ejercicios anteriores no cumplidas</w:t>
      </w:r>
    </w:p>
    <w:p w:rsidR="003D139B" w:rsidRPr="000862EC" w:rsidRDefault="003D139B" w:rsidP="00DF454E">
      <w:pPr>
        <w:keepLines/>
        <w:autoSpaceDE w:val="0"/>
        <w:autoSpaceDN w:val="0"/>
        <w:adjustRightInd w:val="0"/>
        <w:spacing w:line="360" w:lineRule="auto"/>
        <w:ind w:left="709" w:hanging="709"/>
        <w:jc w:val="both"/>
        <w:rPr>
          <w:rFonts w:cs="Arial"/>
        </w:rPr>
      </w:pPr>
      <w:r>
        <w:rPr>
          <w:rFonts w:cs="Arial"/>
        </w:rPr>
        <w:t xml:space="preserve">          </w:t>
      </w:r>
      <w:r w:rsidRPr="000862EC">
        <w:rPr>
          <w:rFonts w:cs="Arial"/>
        </w:rPr>
        <w:t>No se han implementado medidas correctivas respecto a las siguientes situaciones:</w:t>
      </w:r>
    </w:p>
    <w:p w:rsidR="003D139B" w:rsidRPr="00962861" w:rsidRDefault="003D139B" w:rsidP="00B5309D">
      <w:pPr>
        <w:pStyle w:val="Prrafodelista"/>
        <w:keepLines/>
        <w:widowControl w:val="0"/>
        <w:numPr>
          <w:ilvl w:val="2"/>
          <w:numId w:val="5"/>
        </w:numPr>
        <w:autoSpaceDE w:val="0"/>
        <w:autoSpaceDN w:val="0"/>
        <w:adjustRightInd w:val="0"/>
        <w:spacing w:line="360" w:lineRule="auto"/>
        <w:ind w:left="709" w:hanging="709"/>
        <w:jc w:val="both"/>
        <w:rPr>
          <w:rFonts w:cs="Arial"/>
          <w:b/>
          <w:bCs/>
        </w:rPr>
      </w:pPr>
      <w:r w:rsidRPr="00962861">
        <w:rPr>
          <w:rFonts w:cs="Arial"/>
          <w:bCs/>
        </w:rPr>
        <w:t>Dejar expresa constancia en la Resolución de Directorio aprobatoria de los Estados de Ejecución Presupuestal, del resultado superavitario o deficitario de los mismos</w:t>
      </w:r>
      <w:r w:rsidR="006B7B62" w:rsidRPr="006B7B62">
        <w:rPr>
          <w:rFonts w:cs="Arial"/>
          <w:bCs/>
        </w:rPr>
        <w:t>.</w:t>
      </w:r>
    </w:p>
    <w:p w:rsidR="003D139B" w:rsidRPr="00485D1B" w:rsidRDefault="003D139B" w:rsidP="00B5309D">
      <w:pPr>
        <w:pStyle w:val="Prrafodelista"/>
        <w:keepLines/>
        <w:numPr>
          <w:ilvl w:val="2"/>
          <w:numId w:val="5"/>
        </w:numPr>
        <w:autoSpaceDE w:val="0"/>
        <w:autoSpaceDN w:val="0"/>
        <w:adjustRightInd w:val="0"/>
        <w:spacing w:line="360" w:lineRule="auto"/>
        <w:ind w:left="709" w:hanging="709"/>
        <w:jc w:val="both"/>
        <w:rPr>
          <w:rFonts w:cs="Arial"/>
          <w:b/>
          <w:bCs/>
        </w:rPr>
      </w:pPr>
      <w:r>
        <w:rPr>
          <w:rFonts w:cs="Arial"/>
          <w:bCs/>
        </w:rPr>
        <w:t>Implementar el registro y exposición de los ingresos de acuerdo al criterio de lo percibido según lo dispuesto en los artículos del TOCAF antes citados</w:t>
      </w:r>
      <w:r w:rsidR="006B7B62">
        <w:rPr>
          <w:rFonts w:cs="Arial"/>
          <w:bCs/>
        </w:rPr>
        <w:t>.</w:t>
      </w:r>
    </w:p>
    <w:p w:rsidR="003D139B" w:rsidRPr="00962861" w:rsidRDefault="003D139B" w:rsidP="00B5309D">
      <w:pPr>
        <w:pStyle w:val="Prrafodelista"/>
        <w:keepLines/>
        <w:numPr>
          <w:ilvl w:val="2"/>
          <w:numId w:val="5"/>
        </w:numPr>
        <w:autoSpaceDE w:val="0"/>
        <w:autoSpaceDN w:val="0"/>
        <w:adjustRightInd w:val="0"/>
        <w:spacing w:line="360" w:lineRule="auto"/>
        <w:ind w:left="709" w:hanging="709"/>
        <w:jc w:val="both"/>
        <w:rPr>
          <w:rFonts w:cs="Arial"/>
          <w:b/>
          <w:bCs/>
        </w:rPr>
      </w:pPr>
      <w:r w:rsidRPr="00962861">
        <w:rPr>
          <w:rFonts w:cs="Arial"/>
          <w:bCs/>
        </w:rPr>
        <w:t>Determinar el resultado de la ejecución presupuestal efectuando la comparación entre ingresos y egresos presupuestales, y en caso de resultado deficitario incluir el financiamiento aplicado en el Ejercicio</w:t>
      </w:r>
      <w:r w:rsidR="006B7B62" w:rsidRPr="006B7B62">
        <w:rPr>
          <w:rFonts w:cs="Arial"/>
          <w:bCs/>
        </w:rPr>
        <w:t>.</w:t>
      </w:r>
    </w:p>
    <w:p w:rsidR="003D139B" w:rsidRPr="00962861" w:rsidRDefault="003D139B" w:rsidP="00B5309D">
      <w:pPr>
        <w:pStyle w:val="Prrafodelista"/>
        <w:keepLines/>
        <w:widowControl w:val="0"/>
        <w:numPr>
          <w:ilvl w:val="2"/>
          <w:numId w:val="5"/>
        </w:numPr>
        <w:autoSpaceDE w:val="0"/>
        <w:autoSpaceDN w:val="0"/>
        <w:adjustRightInd w:val="0"/>
        <w:spacing w:line="360" w:lineRule="auto"/>
        <w:ind w:left="709" w:hanging="709"/>
        <w:jc w:val="both"/>
        <w:rPr>
          <w:rFonts w:cs="Arial"/>
          <w:b/>
          <w:bCs/>
        </w:rPr>
      </w:pPr>
      <w:r w:rsidRPr="00962861">
        <w:rPr>
          <w:rFonts w:cs="Arial"/>
          <w:bCs/>
        </w:rPr>
        <w:t>El financiamiento expuesto en los estados debe incluir la totalidad de las fuentes, incluyendo el 100% del crédito otorgado por los proveedores comerciales</w:t>
      </w:r>
      <w:r w:rsidR="006B7B62">
        <w:rPr>
          <w:rFonts w:cs="Arial"/>
          <w:bCs/>
        </w:rPr>
        <w:t>.</w:t>
      </w:r>
    </w:p>
    <w:p w:rsidR="003D139B" w:rsidRPr="00B5309D" w:rsidRDefault="003D139B" w:rsidP="00485D1B">
      <w:pPr>
        <w:pStyle w:val="Prrafodelista"/>
        <w:keepLines/>
        <w:widowControl w:val="0"/>
        <w:numPr>
          <w:ilvl w:val="2"/>
          <w:numId w:val="5"/>
        </w:numPr>
        <w:tabs>
          <w:tab w:val="num" w:pos="567"/>
        </w:tabs>
        <w:autoSpaceDE w:val="0"/>
        <w:autoSpaceDN w:val="0"/>
        <w:adjustRightInd w:val="0"/>
        <w:spacing w:line="360" w:lineRule="auto"/>
        <w:ind w:left="709" w:hanging="709"/>
        <w:jc w:val="both"/>
        <w:rPr>
          <w:rFonts w:cs="Arial"/>
          <w:b/>
          <w:lang w:val="es-ES_tradnl"/>
        </w:rPr>
      </w:pPr>
      <w:r>
        <w:rPr>
          <w:rFonts w:cs="Arial"/>
        </w:rPr>
        <w:t xml:space="preserve"> </w:t>
      </w:r>
      <w:r w:rsidRPr="00B5309D">
        <w:rPr>
          <w:rFonts w:cs="Arial"/>
        </w:rPr>
        <w:t>Los ajustes de gastos de fletes duplicados deben realizarse contra los propios conceptos de gastos y no a través del incremento de los ingresos presupuestales expuestos</w:t>
      </w:r>
      <w:r>
        <w:rPr>
          <w:rFonts w:cs="Arial"/>
        </w:rPr>
        <w:t>, evitando incluir partidas que no correspondan a la ejecución del presupuesto o a la percepción de ingresos según lo previsto en las normas del TOCAF mencionadas.</w:t>
      </w:r>
    </w:p>
    <w:p w:rsidR="003D139B" w:rsidRPr="00B5309D" w:rsidRDefault="003D139B" w:rsidP="00485D1B">
      <w:pPr>
        <w:pStyle w:val="Prrafodelista"/>
        <w:keepLines/>
        <w:widowControl w:val="0"/>
        <w:numPr>
          <w:ilvl w:val="2"/>
          <w:numId w:val="5"/>
        </w:numPr>
        <w:autoSpaceDE w:val="0"/>
        <w:autoSpaceDN w:val="0"/>
        <w:adjustRightInd w:val="0"/>
        <w:spacing w:line="360" w:lineRule="auto"/>
        <w:ind w:left="709" w:hanging="709"/>
        <w:jc w:val="both"/>
        <w:rPr>
          <w:rFonts w:cs="Arial"/>
          <w:b/>
        </w:rPr>
      </w:pPr>
      <w:r w:rsidRPr="00B5309D">
        <w:rPr>
          <w:rFonts w:cs="Arial"/>
          <w:lang w:val="es-ES_tradnl"/>
        </w:rPr>
        <w:t>Remitir los estados previstos en el Artículo 128 del TOCAF y Numeral 2 de la Ordenanza N°75</w:t>
      </w:r>
      <w:r w:rsidR="006B7B62">
        <w:rPr>
          <w:rFonts w:cs="Arial"/>
          <w:lang w:val="es-ES_tradnl"/>
        </w:rPr>
        <w:t>.</w:t>
      </w:r>
    </w:p>
    <w:p w:rsidR="003D139B" w:rsidRPr="00962861" w:rsidRDefault="003D139B" w:rsidP="00B5309D">
      <w:pPr>
        <w:pStyle w:val="Prrafodelista"/>
        <w:keepLines/>
        <w:widowControl w:val="0"/>
        <w:numPr>
          <w:ilvl w:val="2"/>
          <w:numId w:val="5"/>
        </w:numPr>
        <w:autoSpaceDE w:val="0"/>
        <w:autoSpaceDN w:val="0"/>
        <w:adjustRightInd w:val="0"/>
        <w:spacing w:line="360" w:lineRule="auto"/>
        <w:ind w:left="709" w:hanging="709"/>
        <w:jc w:val="both"/>
        <w:rPr>
          <w:rFonts w:cs="Arial"/>
          <w:b/>
          <w:lang w:val="es-ES_tradnl"/>
        </w:rPr>
      </w:pPr>
      <w:r w:rsidRPr="00962861">
        <w:rPr>
          <w:rFonts w:cs="Arial"/>
          <w:bCs/>
        </w:rPr>
        <w:t>Cumplir con los topes establecidos en el Artículo 4 de la Ley Nº 16.462, según lo previsto en el Artículo 16 de la Ley Nº 18.996,</w:t>
      </w:r>
      <w:r w:rsidRPr="00962861">
        <w:rPr>
          <w:rFonts w:cs="Arial"/>
          <w:b/>
          <w:bCs/>
        </w:rPr>
        <w:t xml:space="preserve"> </w:t>
      </w:r>
      <w:r w:rsidRPr="00962861">
        <w:rPr>
          <w:rFonts w:cs="Arial"/>
          <w:bCs/>
        </w:rPr>
        <w:t>con relación a</w:t>
      </w:r>
      <w:r w:rsidRPr="00962861">
        <w:rPr>
          <w:rFonts w:cs="Arial"/>
          <w:lang w:eastAsia="en-US"/>
        </w:rPr>
        <w:t xml:space="preserve"> </w:t>
      </w:r>
      <w:r w:rsidRPr="00962861">
        <w:rPr>
          <w:rFonts w:cs="Arial"/>
        </w:rPr>
        <w:t xml:space="preserve">los topes dispuestos para las retribuciones de los miembros de los directorios de los Organismos comprendidos en el </w:t>
      </w:r>
      <w:hyperlink r:id="rId10" w:anchor="art221" w:tgtFrame="_blank" w:tooltip="Constitución vigente a la presente Ley" w:history="1">
        <w:r w:rsidRPr="00962861">
          <w:rPr>
            <w:rFonts w:cs="Arial"/>
          </w:rPr>
          <w:t>Artículo 221 de la Constitución de la República</w:t>
        </w:r>
      </w:hyperlink>
      <w:r w:rsidRPr="00962861">
        <w:rPr>
          <w:rFonts w:cs="Arial"/>
        </w:rPr>
        <w:t>, a efectos de no superar los mismos.</w:t>
      </w:r>
    </w:p>
    <w:p w:rsidR="003D139B" w:rsidRPr="00962861" w:rsidRDefault="003D139B" w:rsidP="00B5309D">
      <w:pPr>
        <w:pStyle w:val="Prrafodelista"/>
        <w:keepLines/>
        <w:widowControl w:val="0"/>
        <w:numPr>
          <w:ilvl w:val="2"/>
          <w:numId w:val="5"/>
        </w:numPr>
        <w:autoSpaceDE w:val="0"/>
        <w:autoSpaceDN w:val="0"/>
        <w:adjustRightInd w:val="0"/>
        <w:spacing w:line="360" w:lineRule="auto"/>
        <w:ind w:left="709" w:hanging="709"/>
        <w:jc w:val="both"/>
        <w:rPr>
          <w:rFonts w:cs="Arial"/>
          <w:b/>
          <w:lang w:val="es-ES_tradnl"/>
        </w:rPr>
      </w:pPr>
      <w:r w:rsidRPr="00962861">
        <w:rPr>
          <w:rFonts w:cs="Arial"/>
          <w:lang w:val="es-ES_tradnl"/>
        </w:rPr>
        <w:t>Dar cumplimiento a lo establecido en el Artículo 87 de la Ley Nº 14.416 referente al pago de horas extras</w:t>
      </w:r>
      <w:r w:rsidR="006B7B62">
        <w:rPr>
          <w:rFonts w:cs="Arial"/>
          <w:lang w:val="es-ES_tradnl"/>
        </w:rPr>
        <w:t>.</w:t>
      </w:r>
    </w:p>
    <w:p w:rsidR="003D139B" w:rsidRPr="00B5309D" w:rsidRDefault="003D139B" w:rsidP="00B5309D">
      <w:pPr>
        <w:pStyle w:val="Prrafodelista"/>
        <w:keepLines/>
        <w:widowControl w:val="0"/>
        <w:numPr>
          <w:ilvl w:val="2"/>
          <w:numId w:val="5"/>
        </w:numPr>
        <w:tabs>
          <w:tab w:val="num" w:pos="567"/>
        </w:tabs>
        <w:autoSpaceDE w:val="0"/>
        <w:autoSpaceDN w:val="0"/>
        <w:adjustRightInd w:val="0"/>
        <w:spacing w:line="360" w:lineRule="auto"/>
        <w:ind w:left="709" w:hanging="709"/>
        <w:jc w:val="both"/>
        <w:rPr>
          <w:rFonts w:cs="Arial"/>
          <w:b/>
          <w:lang w:val="es-ES_tradnl"/>
        </w:rPr>
      </w:pPr>
      <w:r w:rsidRPr="00B5309D">
        <w:rPr>
          <w:rFonts w:cs="Arial"/>
          <w:lang w:val="es-ES_tradnl"/>
        </w:rPr>
        <w:t xml:space="preserve">Establecer los procedimientos para dar cumplimiento a lo previsto en el Artículo 23 de la Ley Nº 17.556 y el Artículo </w:t>
      </w:r>
      <w:r w:rsidRPr="00B5309D">
        <w:rPr>
          <w:rFonts w:cs="Arial"/>
          <w:bCs/>
        </w:rPr>
        <w:t>16 de la Ley Nº 18.996</w:t>
      </w:r>
      <w:r w:rsidRPr="00B5309D">
        <w:rPr>
          <w:rFonts w:cs="Arial"/>
          <w:lang w:val="es-ES_tradnl"/>
        </w:rPr>
        <w:t xml:space="preserve"> (tope erogaciones de Secretaria)</w:t>
      </w:r>
      <w:r w:rsidR="006B7B62">
        <w:rPr>
          <w:rFonts w:cs="Arial"/>
          <w:lang w:val="es-ES_tradnl"/>
        </w:rPr>
        <w:t>.</w:t>
      </w:r>
    </w:p>
    <w:p w:rsidR="003D139B" w:rsidRPr="00B5309D" w:rsidRDefault="003D139B" w:rsidP="00B5309D">
      <w:pPr>
        <w:pStyle w:val="Prrafodelista"/>
        <w:keepLines/>
        <w:widowControl w:val="0"/>
        <w:numPr>
          <w:ilvl w:val="2"/>
          <w:numId w:val="5"/>
        </w:numPr>
        <w:tabs>
          <w:tab w:val="num" w:pos="567"/>
        </w:tabs>
        <w:autoSpaceDE w:val="0"/>
        <w:autoSpaceDN w:val="0"/>
        <w:adjustRightInd w:val="0"/>
        <w:spacing w:line="360" w:lineRule="auto"/>
        <w:ind w:left="709" w:hanging="709"/>
        <w:jc w:val="both"/>
        <w:rPr>
          <w:rFonts w:cs="Arial"/>
          <w:b/>
          <w:lang w:val="es-ES_tradnl"/>
        </w:rPr>
      </w:pPr>
      <w:r w:rsidRPr="00B5309D">
        <w:rPr>
          <w:rFonts w:cs="Arial"/>
          <w:lang w:val="es-ES_tradnl"/>
        </w:rPr>
        <w:t>Implementar la aplicación de lo establecido en los Artículos 32 y 43 del TOCAF relativa al fraccionamiento del gasto</w:t>
      </w:r>
      <w:r w:rsidR="006B7B62">
        <w:rPr>
          <w:rFonts w:cs="Arial"/>
          <w:lang w:val="es-ES_tradnl"/>
        </w:rPr>
        <w:t>.</w:t>
      </w:r>
    </w:p>
    <w:p w:rsidR="003D139B" w:rsidRPr="00B5309D" w:rsidRDefault="003D139B" w:rsidP="00B5309D">
      <w:pPr>
        <w:pStyle w:val="Prrafodelista"/>
        <w:keepLines/>
        <w:widowControl w:val="0"/>
        <w:numPr>
          <w:ilvl w:val="2"/>
          <w:numId w:val="5"/>
        </w:numPr>
        <w:tabs>
          <w:tab w:val="num" w:pos="0"/>
          <w:tab w:val="num" w:pos="567"/>
        </w:tabs>
        <w:autoSpaceDE w:val="0"/>
        <w:autoSpaceDN w:val="0"/>
        <w:adjustRightInd w:val="0"/>
        <w:spacing w:line="360" w:lineRule="auto"/>
        <w:ind w:left="709" w:hanging="709"/>
        <w:jc w:val="both"/>
        <w:rPr>
          <w:rFonts w:cs="Arial"/>
          <w:b/>
          <w:lang w:val="es-ES_tradnl"/>
        </w:rPr>
      </w:pPr>
      <w:r w:rsidRPr="00B5309D">
        <w:rPr>
          <w:rFonts w:cs="Arial"/>
          <w:lang w:val="es-ES_tradnl"/>
        </w:rPr>
        <w:t>Disponer un rubro contable específico para la publicidad en medios televisivos y radiales a efectos de contar con información contable desagregada de los importes aplicados a este tipo de publicidad que permitan un efectivo control del cumplimiento de lo dispuesto en el Artículo 127 de la Ley N° 17556, en el Artículo 17 de la Ley N° 17904 y en sus Decretos reglamentarios</w:t>
      </w:r>
      <w:r w:rsidR="006B7B62">
        <w:rPr>
          <w:rFonts w:cs="Arial"/>
          <w:lang w:val="es-ES_tradnl"/>
        </w:rPr>
        <w:t>.</w:t>
      </w:r>
    </w:p>
    <w:p w:rsidR="003D139B" w:rsidRPr="00B5309D" w:rsidRDefault="003D139B" w:rsidP="00B5309D">
      <w:pPr>
        <w:pStyle w:val="Prrafodelista"/>
        <w:keepLines/>
        <w:widowControl w:val="0"/>
        <w:numPr>
          <w:ilvl w:val="2"/>
          <w:numId w:val="5"/>
        </w:numPr>
        <w:tabs>
          <w:tab w:val="num" w:pos="0"/>
          <w:tab w:val="num" w:pos="567"/>
        </w:tabs>
        <w:autoSpaceDE w:val="0"/>
        <w:autoSpaceDN w:val="0"/>
        <w:adjustRightInd w:val="0"/>
        <w:spacing w:line="360" w:lineRule="auto"/>
        <w:ind w:left="709" w:hanging="709"/>
        <w:jc w:val="both"/>
        <w:rPr>
          <w:rFonts w:cs="Arial"/>
          <w:b/>
          <w:lang w:val="es-ES_tradnl"/>
        </w:rPr>
      </w:pPr>
      <w:r w:rsidRPr="00B5309D">
        <w:rPr>
          <w:rFonts w:cs="Arial"/>
          <w:lang w:val="es-ES_tradnl"/>
        </w:rPr>
        <w:t>Regularizar la situación del funcionario del Ente designado para desempeñar tareas en la empresa subsidiaria DUCSA</w:t>
      </w:r>
      <w:r w:rsidR="006B7B62">
        <w:rPr>
          <w:rFonts w:cs="Arial"/>
          <w:lang w:val="es-ES_tradnl"/>
        </w:rPr>
        <w:t>.</w:t>
      </w:r>
    </w:p>
    <w:p w:rsidR="003D139B" w:rsidRPr="00B5309D" w:rsidRDefault="003D139B" w:rsidP="00B5309D">
      <w:pPr>
        <w:pStyle w:val="Prrafodelista"/>
        <w:keepLines/>
        <w:widowControl w:val="0"/>
        <w:numPr>
          <w:ilvl w:val="2"/>
          <w:numId w:val="5"/>
        </w:numPr>
        <w:tabs>
          <w:tab w:val="num" w:pos="0"/>
          <w:tab w:val="num" w:pos="567"/>
        </w:tabs>
        <w:autoSpaceDE w:val="0"/>
        <w:autoSpaceDN w:val="0"/>
        <w:adjustRightInd w:val="0"/>
        <w:spacing w:line="360" w:lineRule="auto"/>
        <w:ind w:left="709" w:hanging="709"/>
        <w:jc w:val="both"/>
        <w:rPr>
          <w:rFonts w:cs="Arial"/>
          <w:b/>
        </w:rPr>
      </w:pPr>
      <w:r w:rsidRPr="00B5309D">
        <w:rPr>
          <w:rFonts w:cs="Arial"/>
          <w:lang w:val="es-ES_tradnl"/>
        </w:rPr>
        <w:t>Establecer los controles necesarios para que los códigos presupuestales, se ingresen al sistema SAP de acuerdo al Decreto aprobatorio del presupuesto vigente para el Ejercicio</w:t>
      </w:r>
      <w:r w:rsidR="006B7B62">
        <w:rPr>
          <w:rFonts w:cs="Arial"/>
          <w:lang w:val="es-ES_tradnl"/>
        </w:rPr>
        <w:t>.</w:t>
      </w:r>
    </w:p>
    <w:p w:rsidR="003D139B" w:rsidRPr="00B5309D" w:rsidRDefault="003D139B" w:rsidP="00B5309D">
      <w:pPr>
        <w:pStyle w:val="Prrafodelista"/>
        <w:keepLines/>
        <w:widowControl w:val="0"/>
        <w:numPr>
          <w:ilvl w:val="2"/>
          <w:numId w:val="5"/>
        </w:numPr>
        <w:tabs>
          <w:tab w:val="num" w:pos="0"/>
          <w:tab w:val="num" w:pos="567"/>
        </w:tabs>
        <w:autoSpaceDE w:val="0"/>
        <w:autoSpaceDN w:val="0"/>
        <w:adjustRightInd w:val="0"/>
        <w:spacing w:line="360" w:lineRule="auto"/>
        <w:ind w:left="709" w:hanging="709"/>
        <w:jc w:val="both"/>
        <w:rPr>
          <w:rFonts w:cs="Arial"/>
          <w:b/>
          <w:lang w:val="es-ES_tradnl"/>
        </w:rPr>
      </w:pPr>
      <w:r>
        <w:rPr>
          <w:rFonts w:cs="Arial"/>
          <w:lang w:val="es-ES_tradnl"/>
        </w:rPr>
        <w:t>Ajustar las liquidaciones de las remuneraciones de los becarios a efectos de que no se incluyan partidas no previstas en la normativa vigente y documentar el</w:t>
      </w:r>
      <w:r w:rsidRPr="00B5309D">
        <w:rPr>
          <w:rFonts w:cs="Arial"/>
          <w:lang w:val="es-ES_tradnl"/>
        </w:rPr>
        <w:t xml:space="preserve"> contrato de l</w:t>
      </w:r>
      <w:r>
        <w:rPr>
          <w:rFonts w:cs="Arial"/>
          <w:lang w:val="es-ES_tradnl"/>
        </w:rPr>
        <w:t>a</w:t>
      </w:r>
      <w:r w:rsidRPr="00B5309D">
        <w:rPr>
          <w:rFonts w:cs="Arial"/>
          <w:lang w:val="es-ES_tradnl"/>
        </w:rPr>
        <w:t xml:space="preserve"> pasante</w:t>
      </w:r>
      <w:r>
        <w:rPr>
          <w:rFonts w:cs="Arial"/>
          <w:lang w:val="es-ES_tradnl"/>
        </w:rPr>
        <w:t xml:space="preserve"> según lo previsto</w:t>
      </w:r>
      <w:r w:rsidRPr="00B5309D">
        <w:rPr>
          <w:rFonts w:cs="Arial"/>
          <w:lang w:val="es-ES_tradnl"/>
        </w:rPr>
        <w:t xml:space="preserve"> en el Artículo 51 de la Ley Nº 18.719</w:t>
      </w:r>
      <w:r w:rsidR="006B7B62">
        <w:rPr>
          <w:rFonts w:cs="Arial"/>
          <w:lang w:val="es-ES_tradnl"/>
        </w:rPr>
        <w:t>.</w:t>
      </w:r>
    </w:p>
    <w:p w:rsidR="003D139B" w:rsidRPr="00B5309D" w:rsidRDefault="003D139B" w:rsidP="00B5309D">
      <w:pPr>
        <w:pStyle w:val="Prrafodelista"/>
        <w:keepLines/>
        <w:widowControl w:val="0"/>
        <w:numPr>
          <w:ilvl w:val="2"/>
          <w:numId w:val="5"/>
        </w:numPr>
        <w:tabs>
          <w:tab w:val="num" w:pos="0"/>
          <w:tab w:val="num" w:pos="567"/>
          <w:tab w:val="left" w:pos="1134"/>
          <w:tab w:val="right" w:pos="5387"/>
          <w:tab w:val="right" w:pos="8222"/>
        </w:tabs>
        <w:autoSpaceDE w:val="0"/>
        <w:autoSpaceDN w:val="0"/>
        <w:adjustRightInd w:val="0"/>
        <w:spacing w:line="360" w:lineRule="auto"/>
        <w:ind w:left="709" w:hanging="709"/>
        <w:jc w:val="both"/>
        <w:rPr>
          <w:rFonts w:cs="Arial"/>
          <w:b/>
        </w:rPr>
      </w:pPr>
      <w:r w:rsidRPr="00B5309D">
        <w:rPr>
          <w:rFonts w:cs="Arial"/>
          <w:lang w:val="es-ES_tradnl"/>
        </w:rPr>
        <w:t>Determinar los procedimientos a efectos de cumplir con lo previsto en el Artículo 49 de la Ley Nº 18.651 con relación al ingreso personas con discapacidad</w:t>
      </w:r>
      <w:r w:rsidR="006B7B62">
        <w:rPr>
          <w:rFonts w:cs="Arial"/>
          <w:lang w:val="es-ES_tradnl"/>
        </w:rPr>
        <w:t>.</w:t>
      </w:r>
    </w:p>
    <w:p w:rsidR="003D139B" w:rsidRPr="00B5309D" w:rsidRDefault="003D139B" w:rsidP="00B5309D">
      <w:pPr>
        <w:pStyle w:val="Prrafodelista"/>
        <w:keepLines/>
        <w:widowControl w:val="0"/>
        <w:numPr>
          <w:ilvl w:val="2"/>
          <w:numId w:val="5"/>
        </w:numPr>
        <w:tabs>
          <w:tab w:val="num" w:pos="0"/>
          <w:tab w:val="num" w:pos="567"/>
          <w:tab w:val="left" w:pos="1134"/>
          <w:tab w:val="right" w:pos="5387"/>
          <w:tab w:val="right" w:pos="8222"/>
        </w:tabs>
        <w:autoSpaceDE w:val="0"/>
        <w:autoSpaceDN w:val="0"/>
        <w:adjustRightInd w:val="0"/>
        <w:spacing w:line="360" w:lineRule="auto"/>
        <w:ind w:left="709" w:hanging="709"/>
        <w:jc w:val="both"/>
        <w:rPr>
          <w:rFonts w:cs="Arial"/>
          <w:b/>
        </w:rPr>
      </w:pPr>
      <w:r w:rsidRPr="00B5309D">
        <w:rPr>
          <w:rFonts w:cs="Arial"/>
        </w:rPr>
        <w:t>Establecer en todas las Resoluciones de adjudicación de compras o contrataciones directas por excepción, el fundamento para la aplicación del Numeral 22 del Literal C) del Artículo 33 del TOCAF</w:t>
      </w:r>
      <w:r w:rsidR="006B7B62">
        <w:rPr>
          <w:rFonts w:cs="Arial"/>
        </w:rPr>
        <w:t>.</w:t>
      </w:r>
    </w:p>
    <w:p w:rsidR="003D139B" w:rsidRPr="00B5309D" w:rsidRDefault="003D139B" w:rsidP="00B5309D">
      <w:pPr>
        <w:pStyle w:val="Prrafodelista"/>
        <w:keepLines/>
        <w:widowControl w:val="0"/>
        <w:numPr>
          <w:ilvl w:val="2"/>
          <w:numId w:val="5"/>
        </w:numPr>
        <w:tabs>
          <w:tab w:val="num" w:pos="0"/>
          <w:tab w:val="num" w:pos="567"/>
          <w:tab w:val="left" w:pos="1134"/>
          <w:tab w:val="right" w:pos="5387"/>
          <w:tab w:val="right" w:pos="8222"/>
        </w:tabs>
        <w:autoSpaceDE w:val="0"/>
        <w:autoSpaceDN w:val="0"/>
        <w:adjustRightInd w:val="0"/>
        <w:spacing w:line="360" w:lineRule="auto"/>
        <w:ind w:left="709" w:hanging="709"/>
        <w:jc w:val="both"/>
        <w:rPr>
          <w:rFonts w:cs="Arial"/>
          <w:b/>
          <w:lang w:val="es-ES_tradnl"/>
        </w:rPr>
      </w:pPr>
      <w:r w:rsidRPr="00B5309D">
        <w:rPr>
          <w:rFonts w:cs="Arial"/>
        </w:rPr>
        <w:t>Convocar siempre que corresponda a Comisión Asesora de Adjudicaciones en cumplimiento de lo dispuesto en el Artículo 66 del TOCAF</w:t>
      </w:r>
      <w:r w:rsidR="006B7B62">
        <w:rPr>
          <w:rFonts w:cs="Arial"/>
        </w:rPr>
        <w:t>.</w:t>
      </w:r>
    </w:p>
    <w:p w:rsidR="003D139B" w:rsidRPr="00B5309D" w:rsidRDefault="003D139B" w:rsidP="00B5309D">
      <w:pPr>
        <w:pStyle w:val="Prrafodelista"/>
        <w:keepLines/>
        <w:widowControl w:val="0"/>
        <w:numPr>
          <w:ilvl w:val="2"/>
          <w:numId w:val="5"/>
        </w:numPr>
        <w:tabs>
          <w:tab w:val="num" w:pos="0"/>
          <w:tab w:val="num" w:pos="567"/>
          <w:tab w:val="left" w:pos="1134"/>
          <w:tab w:val="right" w:pos="5387"/>
          <w:tab w:val="right" w:pos="8222"/>
        </w:tabs>
        <w:autoSpaceDE w:val="0"/>
        <w:autoSpaceDN w:val="0"/>
        <w:adjustRightInd w:val="0"/>
        <w:spacing w:line="360" w:lineRule="auto"/>
        <w:ind w:left="709" w:hanging="709"/>
        <w:jc w:val="both"/>
        <w:rPr>
          <w:rFonts w:cs="Arial"/>
          <w:b/>
          <w:lang w:val="es-ES_tradnl"/>
        </w:rPr>
      </w:pPr>
      <w:r w:rsidRPr="00B5309D">
        <w:rPr>
          <w:rFonts w:cs="Arial"/>
          <w:lang w:val="es-ES_tradnl"/>
        </w:rPr>
        <w:t>Realizar la conciliación entre la contabilidad presupuestal y la patrimonial</w:t>
      </w:r>
      <w:r w:rsidR="006B7B62">
        <w:rPr>
          <w:rFonts w:cs="Arial"/>
          <w:lang w:val="es-ES_tradnl"/>
        </w:rPr>
        <w:t>.</w:t>
      </w:r>
    </w:p>
    <w:p w:rsidR="003D139B" w:rsidRPr="006B7B62" w:rsidRDefault="003D139B" w:rsidP="00F2063A">
      <w:pPr>
        <w:keepLines/>
        <w:spacing w:line="360" w:lineRule="auto"/>
        <w:contextualSpacing/>
        <w:jc w:val="both"/>
        <w:rPr>
          <w:rFonts w:cs="Arial"/>
          <w:b/>
          <w:bCs/>
          <w:lang w:val="es-ES_tradnl"/>
        </w:rPr>
      </w:pPr>
    </w:p>
    <w:p w:rsidR="003D139B" w:rsidRPr="000862EC" w:rsidRDefault="003D139B" w:rsidP="00F2063A">
      <w:pPr>
        <w:keepLines/>
        <w:spacing w:line="360" w:lineRule="auto"/>
        <w:contextualSpacing/>
        <w:jc w:val="both"/>
        <w:rPr>
          <w:rFonts w:cs="Arial"/>
          <w:b/>
          <w:bCs/>
        </w:rPr>
      </w:pPr>
      <w:r w:rsidRPr="000862EC">
        <w:rPr>
          <w:rFonts w:cs="Arial"/>
          <w:b/>
          <w:bCs/>
        </w:rPr>
        <w:t>3.3    Recomendaciones del presente Ejercicio</w:t>
      </w:r>
    </w:p>
    <w:p w:rsidR="003D139B" w:rsidRPr="000862EC" w:rsidRDefault="003D139B" w:rsidP="00DF454E">
      <w:pPr>
        <w:keepLines/>
        <w:spacing w:line="360" w:lineRule="auto"/>
        <w:ind w:left="567"/>
        <w:jc w:val="both"/>
        <w:rPr>
          <w:rFonts w:cs="Arial"/>
        </w:rPr>
      </w:pPr>
      <w:r w:rsidRPr="000862EC">
        <w:rPr>
          <w:rFonts w:cs="Arial"/>
        </w:rPr>
        <w:t>Se reiteran las recomendaciones no cumplidas de Ejercicios anteriores a las que se agregan las siguientes:</w:t>
      </w:r>
    </w:p>
    <w:p w:rsidR="003D139B" w:rsidRDefault="003D139B" w:rsidP="00DF454E">
      <w:pPr>
        <w:keepLines/>
        <w:spacing w:line="360" w:lineRule="auto"/>
        <w:ind w:left="709" w:hanging="709"/>
        <w:jc w:val="both"/>
        <w:rPr>
          <w:rFonts w:cs="Arial"/>
        </w:rPr>
      </w:pPr>
      <w:r w:rsidRPr="00560E2A">
        <w:rPr>
          <w:rFonts w:cs="Arial"/>
          <w:b/>
        </w:rPr>
        <w:t>3.3.1</w:t>
      </w:r>
      <w:r>
        <w:rPr>
          <w:rFonts w:cs="Arial"/>
        </w:rPr>
        <w:t>- Establecer procedimientos de control interno que permitan verificar y rectificar ante los organismos recaudadores las diferencias que determina el Banco de Previsión Social con relación a las retenciones del IRPF practicadas a en las remuneraciones del personal dependiente.</w:t>
      </w:r>
    </w:p>
    <w:p w:rsidR="003D139B" w:rsidRDefault="003D139B" w:rsidP="00DF454E">
      <w:pPr>
        <w:keepLines/>
        <w:spacing w:line="360" w:lineRule="auto"/>
        <w:ind w:left="709" w:hanging="709"/>
        <w:jc w:val="both"/>
        <w:rPr>
          <w:rFonts w:cs="Arial"/>
        </w:rPr>
      </w:pPr>
      <w:r w:rsidRPr="00560E2A">
        <w:rPr>
          <w:rFonts w:cs="Arial"/>
          <w:b/>
        </w:rPr>
        <w:t>3.3.</w:t>
      </w:r>
      <w:r>
        <w:rPr>
          <w:rFonts w:cs="Arial"/>
          <w:b/>
        </w:rPr>
        <w:t>2</w:t>
      </w:r>
      <w:r>
        <w:rPr>
          <w:rFonts w:cs="Arial"/>
        </w:rPr>
        <w:t>- Implementar procedimientos que impidan realizar pagos a profesionales cuyos certificados de CJPPU y Fondo de Solidaridad no se hayan registrado en el sistema.</w:t>
      </w:r>
    </w:p>
    <w:p w:rsidR="003D139B" w:rsidRDefault="003D139B" w:rsidP="00DF454E">
      <w:pPr>
        <w:keepLines/>
        <w:spacing w:line="360" w:lineRule="auto"/>
        <w:ind w:left="709" w:hanging="709"/>
        <w:jc w:val="both"/>
        <w:rPr>
          <w:rFonts w:cs="Arial"/>
        </w:rPr>
      </w:pPr>
      <w:r w:rsidRPr="00560E2A">
        <w:rPr>
          <w:rFonts w:cs="Arial"/>
          <w:b/>
        </w:rPr>
        <w:t>3.3.</w:t>
      </w:r>
      <w:r>
        <w:rPr>
          <w:rFonts w:cs="Arial"/>
          <w:b/>
        </w:rPr>
        <w:t>3</w:t>
      </w:r>
      <w:r>
        <w:rPr>
          <w:rFonts w:cs="Arial"/>
        </w:rPr>
        <w:t>- Reasignar las tareas de aprobación y contabilización de reajustes de facturas de proveedores, a efectos de cumplir con el principio de oposición de intereses.</w:t>
      </w:r>
    </w:p>
    <w:p w:rsidR="003D139B" w:rsidRDefault="003D139B" w:rsidP="00DF454E">
      <w:pPr>
        <w:keepLines/>
        <w:spacing w:line="360" w:lineRule="auto"/>
        <w:ind w:left="709" w:hanging="709"/>
        <w:jc w:val="both"/>
        <w:rPr>
          <w:rFonts w:cs="Arial"/>
        </w:rPr>
      </w:pPr>
      <w:r>
        <w:rPr>
          <w:rFonts w:cs="Arial"/>
          <w:b/>
        </w:rPr>
        <w:t>3.3.4</w:t>
      </w:r>
      <w:r>
        <w:rPr>
          <w:rFonts w:cs="Arial"/>
        </w:rPr>
        <w:t>- Documentar y aprobar el procedimiento de autorización, pago descuento y contabilización de adelantos de sueldos.</w:t>
      </w:r>
    </w:p>
    <w:p w:rsidR="003D139B" w:rsidRPr="000862EC" w:rsidRDefault="003D139B" w:rsidP="00DF454E">
      <w:pPr>
        <w:keepLines/>
        <w:spacing w:line="360" w:lineRule="auto"/>
        <w:ind w:left="709" w:hanging="709"/>
        <w:jc w:val="both"/>
        <w:rPr>
          <w:rFonts w:cs="Arial"/>
        </w:rPr>
      </w:pPr>
      <w:r w:rsidRPr="00560E2A">
        <w:rPr>
          <w:rFonts w:cs="Arial"/>
          <w:b/>
        </w:rPr>
        <w:t>3.</w:t>
      </w:r>
      <w:r>
        <w:rPr>
          <w:rFonts w:cs="Arial"/>
          <w:b/>
        </w:rPr>
        <w:t>3.5</w:t>
      </w:r>
      <w:r w:rsidRPr="00560E2A">
        <w:rPr>
          <w:rFonts w:cs="Arial"/>
        </w:rPr>
        <w:t>- Ajustar en el saldo de adelantos de sueldos las partidas de ejercicios anteriores que correspondan</w:t>
      </w:r>
      <w:r w:rsidR="006B7B62">
        <w:rPr>
          <w:rFonts w:cs="Arial"/>
        </w:rPr>
        <w:t>.</w:t>
      </w:r>
    </w:p>
    <w:p w:rsidR="003D139B" w:rsidRPr="000862EC" w:rsidRDefault="003D139B" w:rsidP="00F2063A">
      <w:pPr>
        <w:keepLines/>
        <w:spacing w:line="360" w:lineRule="auto"/>
        <w:jc w:val="right"/>
        <w:rPr>
          <w:rFonts w:cs="Arial"/>
        </w:rPr>
      </w:pPr>
      <w:r w:rsidRPr="000862EC">
        <w:rPr>
          <w:rFonts w:cs="Arial"/>
        </w:rPr>
        <w:t xml:space="preserve">Montevideo, </w:t>
      </w:r>
      <w:r>
        <w:rPr>
          <w:rFonts w:cs="Arial"/>
        </w:rPr>
        <w:t>20 de diciembre de 2016</w:t>
      </w:r>
    </w:p>
    <w:p w:rsidR="003D139B" w:rsidRDefault="003D139B">
      <w:pPr>
        <w:spacing w:after="200" w:line="276" w:lineRule="auto"/>
        <w:rPr>
          <w:rFonts w:cs="Arial"/>
        </w:rPr>
      </w:pPr>
    </w:p>
    <w:p w:rsidR="003D139B" w:rsidRDefault="003D139B">
      <w:pPr>
        <w:spacing w:after="200" w:line="276" w:lineRule="auto"/>
        <w:rPr>
          <w:rFonts w:cs="Arial"/>
        </w:rPr>
      </w:pPr>
    </w:p>
    <w:p w:rsidR="003D139B" w:rsidRPr="000862EC" w:rsidRDefault="003D139B">
      <w:pPr>
        <w:spacing w:after="200" w:line="276" w:lineRule="auto"/>
        <w:rPr>
          <w:rFonts w:cs="Arial"/>
        </w:rPr>
      </w:pPr>
      <w:proofErr w:type="spellStart"/>
      <w:proofErr w:type="gramStart"/>
      <w:r>
        <w:rPr>
          <w:rFonts w:cs="Arial"/>
        </w:rPr>
        <w:t>cr</w:t>
      </w:r>
      <w:proofErr w:type="spellEnd"/>
      <w:proofErr w:type="gramEnd"/>
    </w:p>
    <w:p w:rsidR="003D139B" w:rsidRDefault="003D139B" w:rsidP="004E5DFE">
      <w:pPr>
        <w:spacing w:after="200" w:line="276" w:lineRule="auto"/>
        <w:rPr>
          <w:rFonts w:cs="Arial"/>
        </w:rPr>
      </w:pPr>
    </w:p>
    <w:p w:rsidR="003D139B" w:rsidRDefault="003D139B" w:rsidP="004E5DFE">
      <w:pPr>
        <w:spacing w:after="200" w:line="276" w:lineRule="auto"/>
        <w:rPr>
          <w:rFonts w:cs="Arial"/>
        </w:rPr>
      </w:pPr>
    </w:p>
    <w:p w:rsidR="006B7B62" w:rsidRDefault="006B7B62" w:rsidP="004E5DFE">
      <w:pPr>
        <w:spacing w:after="200" w:line="276" w:lineRule="auto"/>
        <w:rPr>
          <w:rFonts w:cs="Arial"/>
        </w:rPr>
      </w:pPr>
    </w:p>
    <w:p w:rsidR="006B7B62" w:rsidRDefault="006B7B62" w:rsidP="004E5DFE">
      <w:pPr>
        <w:spacing w:after="200" w:line="276" w:lineRule="auto"/>
        <w:rPr>
          <w:rFonts w:cs="Arial"/>
        </w:rPr>
      </w:pPr>
    </w:p>
    <w:p w:rsidR="006B7B62" w:rsidRDefault="006B7B62" w:rsidP="004E5DFE">
      <w:pPr>
        <w:spacing w:after="200" w:line="276" w:lineRule="auto"/>
        <w:rPr>
          <w:rFonts w:cs="Arial"/>
        </w:rPr>
      </w:pPr>
    </w:p>
    <w:p w:rsidR="003D139B" w:rsidRDefault="003D139B" w:rsidP="004E5DFE">
      <w:pPr>
        <w:spacing w:after="200" w:line="276" w:lineRule="auto"/>
        <w:rPr>
          <w:rFonts w:cs="Arial"/>
        </w:rPr>
      </w:pPr>
    </w:p>
    <w:p w:rsidR="003D139B" w:rsidRPr="000862EC" w:rsidRDefault="006B7B62" w:rsidP="008502F4">
      <w:pPr>
        <w:suppressAutoHyphens/>
        <w:spacing w:line="360" w:lineRule="auto"/>
        <w:jc w:val="right"/>
        <w:rPr>
          <w:rFonts w:cs="Arial"/>
          <w:spacing w:val="-3"/>
          <w:lang w:val="es-ES_tradnl"/>
        </w:rPr>
      </w:pPr>
      <w:r>
        <w:rPr>
          <w:rFonts w:cs="Arial"/>
          <w:spacing w:val="-3"/>
          <w:lang w:val="es-ES_tradnl"/>
        </w:rPr>
        <w:t>Montevideo, 4 de enero de 2017</w:t>
      </w:r>
    </w:p>
    <w:p w:rsidR="003D139B" w:rsidRPr="000862EC" w:rsidRDefault="003D139B" w:rsidP="008502F4">
      <w:pPr>
        <w:suppressAutoHyphens/>
        <w:spacing w:line="360" w:lineRule="auto"/>
        <w:jc w:val="both"/>
        <w:rPr>
          <w:rFonts w:cs="Arial"/>
          <w:spacing w:val="-3"/>
          <w:lang w:val="es-ES_tradnl"/>
        </w:rPr>
      </w:pPr>
      <w:r w:rsidRPr="000862EC">
        <w:rPr>
          <w:rFonts w:cs="Arial"/>
          <w:spacing w:val="-3"/>
          <w:lang w:val="es-ES_tradnl"/>
        </w:rPr>
        <w:t>Señor</w:t>
      </w:r>
    </w:p>
    <w:p w:rsidR="003D139B" w:rsidRPr="000862EC" w:rsidRDefault="003D139B" w:rsidP="008502F4">
      <w:pPr>
        <w:suppressAutoHyphens/>
        <w:spacing w:line="360" w:lineRule="auto"/>
        <w:jc w:val="both"/>
        <w:rPr>
          <w:rFonts w:cs="Arial"/>
          <w:spacing w:val="-3"/>
          <w:lang w:val="es-ES_tradnl"/>
        </w:rPr>
      </w:pPr>
      <w:r w:rsidRPr="000862EC">
        <w:rPr>
          <w:rFonts w:cs="Arial"/>
          <w:spacing w:val="-3"/>
          <w:lang w:val="es-ES_tradnl"/>
        </w:rPr>
        <w:t>Presidente del</w:t>
      </w:r>
    </w:p>
    <w:p w:rsidR="003D139B" w:rsidRPr="000862EC" w:rsidRDefault="003D139B" w:rsidP="008502F4">
      <w:pPr>
        <w:suppressAutoHyphens/>
        <w:spacing w:line="360" w:lineRule="auto"/>
        <w:jc w:val="both"/>
        <w:rPr>
          <w:rFonts w:cs="Arial"/>
          <w:spacing w:val="-3"/>
          <w:lang w:val="es-ES_tradnl"/>
        </w:rPr>
      </w:pPr>
      <w:r w:rsidRPr="000862EC">
        <w:rPr>
          <w:rFonts w:cs="Arial"/>
          <w:spacing w:val="-3"/>
          <w:lang w:val="es-ES_tradnl"/>
        </w:rPr>
        <w:t>Servicio Oficial de Difusión,</w:t>
      </w:r>
    </w:p>
    <w:p w:rsidR="003D139B" w:rsidRPr="000862EC" w:rsidRDefault="003D139B" w:rsidP="008502F4">
      <w:pPr>
        <w:suppressAutoHyphens/>
        <w:spacing w:line="360" w:lineRule="auto"/>
        <w:jc w:val="both"/>
        <w:rPr>
          <w:rFonts w:cs="Arial"/>
          <w:spacing w:val="-3"/>
          <w:lang w:val="es-ES_tradnl"/>
        </w:rPr>
      </w:pPr>
      <w:r w:rsidRPr="000862EC">
        <w:rPr>
          <w:rFonts w:cs="Arial"/>
          <w:spacing w:val="-3"/>
          <w:lang w:val="es-ES_tradnl"/>
        </w:rPr>
        <w:t>Radiotelevisión y Espectáculos</w:t>
      </w:r>
    </w:p>
    <w:p w:rsidR="003D139B" w:rsidRPr="000862EC" w:rsidRDefault="003D139B" w:rsidP="008502F4">
      <w:pPr>
        <w:jc w:val="both"/>
        <w:rPr>
          <w:rFonts w:cs="Arial"/>
        </w:rPr>
      </w:pPr>
      <w:r w:rsidRPr="000862EC">
        <w:rPr>
          <w:rFonts w:cs="Arial"/>
        </w:rPr>
        <w:t xml:space="preserve">Don </w:t>
      </w:r>
      <w:proofErr w:type="spellStart"/>
      <w:r w:rsidRPr="000862EC">
        <w:rPr>
          <w:rFonts w:cs="Arial"/>
        </w:rPr>
        <w:t>Doreen</w:t>
      </w:r>
      <w:proofErr w:type="spellEnd"/>
      <w:r w:rsidRPr="000862EC">
        <w:rPr>
          <w:rFonts w:cs="Arial"/>
        </w:rPr>
        <w:t xml:space="preserve"> Javier Ibarra Ferreira</w:t>
      </w:r>
    </w:p>
    <w:p w:rsidR="003D139B" w:rsidRDefault="003D139B" w:rsidP="008502F4">
      <w:pPr>
        <w:spacing w:line="360" w:lineRule="auto"/>
        <w:jc w:val="right"/>
        <w:rPr>
          <w:rFonts w:cs="Arial"/>
        </w:rPr>
      </w:pPr>
      <w:r w:rsidRPr="000862EC">
        <w:rPr>
          <w:rFonts w:cs="Arial"/>
        </w:rPr>
        <w:t>E.</w:t>
      </w:r>
      <w:r w:rsidR="006B7B62">
        <w:rPr>
          <w:rFonts w:cs="Arial"/>
        </w:rPr>
        <w:t xml:space="preserve"> </w:t>
      </w:r>
      <w:r w:rsidRPr="000862EC">
        <w:rPr>
          <w:rFonts w:cs="Arial"/>
        </w:rPr>
        <w:t>E. 2016-17-1-003629</w:t>
      </w:r>
    </w:p>
    <w:p w:rsidR="003D139B" w:rsidRDefault="003D139B" w:rsidP="008502F4">
      <w:pPr>
        <w:spacing w:line="360" w:lineRule="auto"/>
        <w:jc w:val="right"/>
        <w:rPr>
          <w:rFonts w:cs="Arial"/>
        </w:rPr>
      </w:pPr>
      <w:r w:rsidRPr="000862EC">
        <w:rPr>
          <w:rFonts w:cs="Arial"/>
        </w:rPr>
        <w:t>Entrada 2786/16</w:t>
      </w:r>
      <w:r w:rsidR="006B7B62">
        <w:rPr>
          <w:rFonts w:cs="Arial"/>
        </w:rPr>
        <w:t xml:space="preserve"> </w:t>
      </w:r>
      <w:r w:rsidRPr="000862EC">
        <w:rPr>
          <w:rFonts w:cs="Arial"/>
        </w:rPr>
        <w:t xml:space="preserve">Oficio </w:t>
      </w:r>
      <w:r>
        <w:rPr>
          <w:rFonts w:cs="Arial"/>
        </w:rPr>
        <w:t>149/17</w:t>
      </w:r>
    </w:p>
    <w:p w:rsidR="006B7B62" w:rsidRPr="000862EC" w:rsidRDefault="006B7B62" w:rsidP="008502F4">
      <w:pPr>
        <w:spacing w:line="360" w:lineRule="auto"/>
        <w:jc w:val="right"/>
        <w:rPr>
          <w:rFonts w:cs="Arial"/>
        </w:rPr>
      </w:pPr>
    </w:p>
    <w:p w:rsidR="003D139B" w:rsidRPr="000862EC" w:rsidRDefault="003D139B" w:rsidP="008502F4">
      <w:pPr>
        <w:pStyle w:val="Prrafodelista"/>
        <w:keepLines/>
        <w:spacing w:line="360" w:lineRule="auto"/>
        <w:ind w:left="0" w:firstLine="851"/>
        <w:jc w:val="both"/>
        <w:rPr>
          <w:rFonts w:cs="Arial"/>
        </w:rPr>
      </w:pPr>
      <w:r w:rsidRPr="000862EC">
        <w:rPr>
          <w:rFonts w:cs="Arial"/>
        </w:rPr>
        <w:t xml:space="preserve">Este Tribunal, en oportunidad de dictaminar sobre la Rendición de Cuentas y el Balance de Ejecución Presupuestal correspondiente al Ejercicio 2015 de </w:t>
      </w:r>
      <w:r w:rsidRPr="000862EC">
        <w:rPr>
          <w:rFonts w:cs="Arial"/>
          <w:spacing w:val="-3"/>
          <w:lang w:val="es-UY"/>
        </w:rPr>
        <w:t>la Administración Nacional de Combustibles, Alcohol y Portland</w:t>
      </w:r>
      <w:r w:rsidRPr="000862EC">
        <w:rPr>
          <w:rFonts w:cs="Arial"/>
        </w:rPr>
        <w:t xml:space="preserve">, ha analizado el cumplimiento por parte del Organismo del Artículo 226 de la Ley N° 18.172 de 31/08/07 y Artículo 17 de la Ley Nº 17.904 de 07/10/05.La </w:t>
      </w:r>
      <w:r w:rsidRPr="000862EC">
        <w:rPr>
          <w:rFonts w:cs="Arial"/>
          <w:spacing w:val="-3"/>
          <w:lang w:val="es-UY"/>
        </w:rPr>
        <w:t>Administración Nacional de Combustibles, Alcohol y Portland</w:t>
      </w:r>
      <w:r w:rsidRPr="000862EC">
        <w:rPr>
          <w:rFonts w:cs="Arial"/>
        </w:rPr>
        <w:t xml:space="preserve"> realizó gastos de publicidad durante el Ejercicio 2015 por la suma de $ 9:808.180, de los cuales $ 8:308.580 corresponden a publicidad en televisión y $ 1:499.600 a publicidad en radio.</w:t>
      </w:r>
      <w:r w:rsidR="006B7B62">
        <w:rPr>
          <w:rFonts w:cs="Arial"/>
        </w:rPr>
        <w:t xml:space="preserve"> </w:t>
      </w:r>
      <w:r w:rsidRPr="000862EC">
        <w:rPr>
          <w:rFonts w:cs="Arial"/>
        </w:rPr>
        <w:t>Con relación al cumplimiento de la normativa citada se verificó que la Administración Nacional de Combustible, Alcohol y Portland durante el ejercicio 2015 no realizó contratos de publicidad con Canal 5 - Servicio de Televisión Nacional. No obstante realizó la reserva de rubro en el renglón correspondiente, por el 20%, $ 1.661.716, de la suma contratada con medios privados. En cuanto a la contratación de publicidad en las radiodifusoras del Servicio Oficial de Difusión Radiotelevisión y Espectáculos (SODRE) el ente contrató durante el ejercicio la suma de  $ 275.320. Este importe representa el 18.36% de lo contratado en medios privados. Asimismo efectuó reserva de rubro, en el renglón correspondiente, por $ 24.600 a efectos de  completar el 20% establecido en las disposiciones mencionadas.</w:t>
      </w:r>
    </w:p>
    <w:p w:rsidR="003D139B" w:rsidRPr="000862EC" w:rsidRDefault="003D139B" w:rsidP="008870AA">
      <w:pPr>
        <w:pStyle w:val="Prrafodelista"/>
        <w:keepLines/>
        <w:spacing w:line="360" w:lineRule="auto"/>
        <w:ind w:left="0"/>
        <w:jc w:val="right"/>
        <w:rPr>
          <w:rFonts w:cs="Arial"/>
        </w:rPr>
      </w:pPr>
      <w:r w:rsidRPr="000862EC">
        <w:rPr>
          <w:rFonts w:cs="Arial"/>
        </w:rPr>
        <w:tab/>
        <w:t>Saludamos a Usted atentamente</w:t>
      </w:r>
    </w:p>
    <w:sectPr w:rsidR="003D139B" w:rsidRPr="000862EC" w:rsidSect="004E5DFE">
      <w:pgSz w:w="11906" w:h="16838" w:code="9"/>
      <w:pgMar w:top="3402" w:right="1701" w:bottom="1418" w:left="1701" w:header="284"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B62" w:rsidRDefault="006B7B62" w:rsidP="00F2063A">
      <w:r>
        <w:separator/>
      </w:r>
    </w:p>
  </w:endnote>
  <w:endnote w:type="continuationSeparator" w:id="0">
    <w:p w:rsidR="006B7B62" w:rsidRDefault="006B7B62" w:rsidP="00F2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B62" w:rsidRDefault="006B7B62" w:rsidP="00F2063A">
      <w:r>
        <w:separator/>
      </w:r>
    </w:p>
  </w:footnote>
  <w:footnote w:type="continuationSeparator" w:id="0">
    <w:p w:rsidR="006B7B62" w:rsidRDefault="006B7B62" w:rsidP="00F20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E47"/>
    <w:multiLevelType w:val="hybridMultilevel"/>
    <w:tmpl w:val="803CE318"/>
    <w:lvl w:ilvl="0" w:tplc="F350D01E">
      <w:start w:val="17"/>
      <w:numFmt w:val="bullet"/>
      <w:lvlText w:val="-"/>
      <w:lvlJc w:val="left"/>
      <w:pPr>
        <w:ind w:left="720" w:hanging="360"/>
      </w:pPr>
      <w:rPr>
        <w:rFonts w:ascii="Calibri" w:eastAsiaTheme="minorHAnsi" w:hAnsi="Calibri"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028C624B"/>
    <w:multiLevelType w:val="hybridMultilevel"/>
    <w:tmpl w:val="404614E4"/>
    <w:lvl w:ilvl="0" w:tplc="96968B1E">
      <w:start w:val="1"/>
      <w:numFmt w:val="decimal"/>
      <w:lvlText w:val="%1)"/>
      <w:lvlJc w:val="left"/>
      <w:pPr>
        <w:ind w:left="720" w:hanging="360"/>
      </w:pPr>
      <w:rPr>
        <w:rFonts w:ascii="Arial" w:hAnsi="Arial" w:hint="default"/>
        <w:b/>
        <w:i w:val="0"/>
        <w:sz w:val="24"/>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1F1F185D"/>
    <w:multiLevelType w:val="hybridMultilevel"/>
    <w:tmpl w:val="9D1833A8"/>
    <w:lvl w:ilvl="0" w:tplc="F350D01E">
      <w:start w:val="17"/>
      <w:numFmt w:val="bullet"/>
      <w:lvlText w:val="-"/>
      <w:lvlJc w:val="left"/>
      <w:pPr>
        <w:ind w:left="720" w:hanging="360"/>
      </w:pPr>
      <w:rPr>
        <w:rFonts w:ascii="Calibri" w:eastAsiaTheme="minorHAnsi" w:hAnsi="Calibri"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22FD0ACB"/>
    <w:multiLevelType w:val="hybridMultilevel"/>
    <w:tmpl w:val="9136443A"/>
    <w:lvl w:ilvl="0" w:tplc="364084B0">
      <w:start w:val="1"/>
      <w:numFmt w:val="decimal"/>
      <w:lvlText w:val="%1)"/>
      <w:lvlJc w:val="left"/>
      <w:pPr>
        <w:tabs>
          <w:tab w:val="num" w:pos="360"/>
        </w:tabs>
        <w:ind w:left="360" w:hanging="360"/>
      </w:pPr>
      <w:rPr>
        <w:rFonts w:ascii="Arial" w:hAnsi="Arial" w:cs="Times New Roman" w:hint="default"/>
        <w:b/>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2BC30196"/>
    <w:multiLevelType w:val="hybridMultilevel"/>
    <w:tmpl w:val="2A2ADF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39287901"/>
    <w:multiLevelType w:val="multilevel"/>
    <w:tmpl w:val="80BC48F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3B0D2C2A"/>
    <w:multiLevelType w:val="multilevel"/>
    <w:tmpl w:val="022004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BFD6277"/>
    <w:multiLevelType w:val="hybridMultilevel"/>
    <w:tmpl w:val="5994F53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5"/>
  </w:num>
  <w:num w:numId="5">
    <w:abstractNumId w:val="6"/>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63A"/>
    <w:rsid w:val="0004041E"/>
    <w:rsid w:val="00075ED4"/>
    <w:rsid w:val="000854B6"/>
    <w:rsid w:val="000862EC"/>
    <w:rsid w:val="0009609E"/>
    <w:rsid w:val="000D19A5"/>
    <w:rsid w:val="000F4060"/>
    <w:rsid w:val="00100C8F"/>
    <w:rsid w:val="00113933"/>
    <w:rsid w:val="00155D44"/>
    <w:rsid w:val="00164003"/>
    <w:rsid w:val="001A19A9"/>
    <w:rsid w:val="001D20CA"/>
    <w:rsid w:val="00223AF2"/>
    <w:rsid w:val="00243BC4"/>
    <w:rsid w:val="00283CB8"/>
    <w:rsid w:val="00315CD5"/>
    <w:rsid w:val="003D139B"/>
    <w:rsid w:val="003D26B4"/>
    <w:rsid w:val="003F2055"/>
    <w:rsid w:val="004315FD"/>
    <w:rsid w:val="00431EE9"/>
    <w:rsid w:val="00432944"/>
    <w:rsid w:val="00442572"/>
    <w:rsid w:val="00485D1B"/>
    <w:rsid w:val="00487325"/>
    <w:rsid w:val="004D1A79"/>
    <w:rsid w:val="004E5DFE"/>
    <w:rsid w:val="00513355"/>
    <w:rsid w:val="00517CF3"/>
    <w:rsid w:val="0055521C"/>
    <w:rsid w:val="00560E2A"/>
    <w:rsid w:val="00591887"/>
    <w:rsid w:val="005C2967"/>
    <w:rsid w:val="00614AC0"/>
    <w:rsid w:val="006461D6"/>
    <w:rsid w:val="006552E1"/>
    <w:rsid w:val="00657476"/>
    <w:rsid w:val="0067571C"/>
    <w:rsid w:val="00687080"/>
    <w:rsid w:val="006B7B62"/>
    <w:rsid w:val="00761CA3"/>
    <w:rsid w:val="007A5159"/>
    <w:rsid w:val="007F7D23"/>
    <w:rsid w:val="00816643"/>
    <w:rsid w:val="00822ACF"/>
    <w:rsid w:val="008502F4"/>
    <w:rsid w:val="00872958"/>
    <w:rsid w:val="00873733"/>
    <w:rsid w:val="008870AA"/>
    <w:rsid w:val="008932EE"/>
    <w:rsid w:val="008C3EC9"/>
    <w:rsid w:val="008D1C77"/>
    <w:rsid w:val="00962861"/>
    <w:rsid w:val="009911AD"/>
    <w:rsid w:val="009D6B76"/>
    <w:rsid w:val="009F2F42"/>
    <w:rsid w:val="009F301A"/>
    <w:rsid w:val="00A869BF"/>
    <w:rsid w:val="00A86EE1"/>
    <w:rsid w:val="00A929F1"/>
    <w:rsid w:val="00AC5A5A"/>
    <w:rsid w:val="00AC713E"/>
    <w:rsid w:val="00AF2FD4"/>
    <w:rsid w:val="00B25267"/>
    <w:rsid w:val="00B46640"/>
    <w:rsid w:val="00B5309D"/>
    <w:rsid w:val="00B95E14"/>
    <w:rsid w:val="00BB1AB2"/>
    <w:rsid w:val="00BF69BF"/>
    <w:rsid w:val="00C320E8"/>
    <w:rsid w:val="00C52113"/>
    <w:rsid w:val="00C54306"/>
    <w:rsid w:val="00C65D34"/>
    <w:rsid w:val="00C74084"/>
    <w:rsid w:val="00C932E4"/>
    <w:rsid w:val="00CC2F94"/>
    <w:rsid w:val="00D03F87"/>
    <w:rsid w:val="00D079F2"/>
    <w:rsid w:val="00D206C3"/>
    <w:rsid w:val="00D64DDD"/>
    <w:rsid w:val="00DA1056"/>
    <w:rsid w:val="00DB0034"/>
    <w:rsid w:val="00DF454E"/>
    <w:rsid w:val="00E15ABA"/>
    <w:rsid w:val="00E538C5"/>
    <w:rsid w:val="00E678B6"/>
    <w:rsid w:val="00EA2A3B"/>
    <w:rsid w:val="00EB0D64"/>
    <w:rsid w:val="00EC61E0"/>
    <w:rsid w:val="00ED49A8"/>
    <w:rsid w:val="00EF5A5B"/>
    <w:rsid w:val="00F2063A"/>
    <w:rsid w:val="00F55D50"/>
    <w:rsid w:val="00F90818"/>
    <w:rsid w:val="00FB4A5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63A"/>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063A"/>
    <w:pPr>
      <w:tabs>
        <w:tab w:val="center" w:pos="4419"/>
        <w:tab w:val="right" w:pos="8838"/>
      </w:tabs>
    </w:pPr>
  </w:style>
  <w:style w:type="character" w:customStyle="1" w:styleId="EncabezadoCar">
    <w:name w:val="Encabezado Car"/>
    <w:basedOn w:val="Fuentedeprrafopredeter"/>
    <w:link w:val="Encabezado"/>
    <w:uiPriority w:val="99"/>
    <w:rsid w:val="00F2063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F2063A"/>
    <w:pPr>
      <w:tabs>
        <w:tab w:val="center" w:pos="4419"/>
        <w:tab w:val="right" w:pos="8838"/>
      </w:tabs>
    </w:pPr>
  </w:style>
  <w:style w:type="character" w:customStyle="1" w:styleId="PiedepginaCar">
    <w:name w:val="Pie de página Car"/>
    <w:basedOn w:val="Fuentedeprrafopredeter"/>
    <w:link w:val="Piedepgina"/>
    <w:uiPriority w:val="99"/>
    <w:rsid w:val="00F2063A"/>
    <w:rPr>
      <w:rFonts w:ascii="Arial" w:eastAsia="Times New Roman" w:hAnsi="Arial" w:cs="Times New Roman"/>
      <w:sz w:val="24"/>
      <w:szCs w:val="24"/>
      <w:lang w:val="es-ES" w:eastAsia="es-ES"/>
    </w:rPr>
  </w:style>
  <w:style w:type="paragraph" w:styleId="Prrafodelista">
    <w:name w:val="List Paragraph"/>
    <w:basedOn w:val="Normal"/>
    <w:uiPriority w:val="34"/>
    <w:qFormat/>
    <w:rsid w:val="00F2063A"/>
    <w:pPr>
      <w:ind w:left="720"/>
      <w:contextualSpacing/>
    </w:pPr>
  </w:style>
  <w:style w:type="paragraph" w:styleId="Textoindependiente2">
    <w:name w:val="Body Text 2"/>
    <w:basedOn w:val="Normal"/>
    <w:link w:val="Textoindependiente2Car"/>
    <w:rsid w:val="00F2063A"/>
    <w:pPr>
      <w:tabs>
        <w:tab w:val="left" w:pos="-720"/>
      </w:tabs>
      <w:suppressAutoHyphens/>
      <w:spacing w:line="360" w:lineRule="auto"/>
      <w:jc w:val="both"/>
    </w:pPr>
    <w:rPr>
      <w:b/>
      <w:bCs/>
    </w:rPr>
  </w:style>
  <w:style w:type="character" w:customStyle="1" w:styleId="Textoindependiente2Car">
    <w:name w:val="Texto independiente 2 Car"/>
    <w:basedOn w:val="Fuentedeprrafopredeter"/>
    <w:link w:val="Textoindependiente2"/>
    <w:rsid w:val="00F2063A"/>
    <w:rPr>
      <w:rFonts w:ascii="Arial" w:eastAsia="Times New Roman" w:hAnsi="Arial" w:cs="Times New Roman"/>
      <w:b/>
      <w:bCs/>
      <w:sz w:val="24"/>
      <w:szCs w:val="24"/>
      <w:lang w:val="es-ES" w:eastAsia="es-ES"/>
    </w:rPr>
  </w:style>
  <w:style w:type="paragraph" w:styleId="Textodeglobo">
    <w:name w:val="Balloon Text"/>
    <w:basedOn w:val="Normal"/>
    <w:link w:val="TextodegloboCar"/>
    <w:uiPriority w:val="99"/>
    <w:semiHidden/>
    <w:unhideWhenUsed/>
    <w:rsid w:val="00F2063A"/>
    <w:rPr>
      <w:rFonts w:ascii="Tahoma" w:hAnsi="Tahoma" w:cs="Tahoma"/>
      <w:sz w:val="16"/>
      <w:szCs w:val="16"/>
    </w:rPr>
  </w:style>
  <w:style w:type="character" w:customStyle="1" w:styleId="TextodegloboCar">
    <w:name w:val="Texto de globo Car"/>
    <w:basedOn w:val="Fuentedeprrafopredeter"/>
    <w:link w:val="Textodeglobo"/>
    <w:uiPriority w:val="99"/>
    <w:semiHidden/>
    <w:rsid w:val="00F2063A"/>
    <w:rPr>
      <w:rFonts w:ascii="Tahoma" w:eastAsia="Times New Roman" w:hAnsi="Tahoma" w:cs="Tahoma"/>
      <w:sz w:val="16"/>
      <w:szCs w:val="16"/>
      <w:lang w:val="es-ES" w:eastAsia="es-ES"/>
    </w:rPr>
  </w:style>
  <w:style w:type="paragraph" w:styleId="Sangradetextonormal">
    <w:name w:val="Body Text Indent"/>
    <w:basedOn w:val="Normal"/>
    <w:link w:val="SangradetextonormalCar"/>
    <w:uiPriority w:val="99"/>
    <w:unhideWhenUsed/>
    <w:rsid w:val="00C74084"/>
    <w:pPr>
      <w:spacing w:after="120"/>
      <w:ind w:left="283"/>
    </w:pPr>
    <w:rPr>
      <w:rFonts w:ascii="Times New Roman" w:hAnsi="Times New Roman"/>
    </w:rPr>
  </w:style>
  <w:style w:type="character" w:customStyle="1" w:styleId="SangradetextonormalCar">
    <w:name w:val="Sangría de texto normal Car"/>
    <w:basedOn w:val="Fuentedeprrafopredeter"/>
    <w:link w:val="Sangradetextonormal"/>
    <w:uiPriority w:val="99"/>
    <w:rsid w:val="00C74084"/>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513355"/>
    <w:pPr>
      <w:spacing w:after="120"/>
    </w:pPr>
  </w:style>
  <w:style w:type="character" w:customStyle="1" w:styleId="TextoindependienteCar">
    <w:name w:val="Texto independiente Car"/>
    <w:basedOn w:val="Fuentedeprrafopredeter"/>
    <w:link w:val="Textoindependiente"/>
    <w:uiPriority w:val="99"/>
    <w:semiHidden/>
    <w:rsid w:val="00513355"/>
    <w:rPr>
      <w:rFonts w:ascii="Arial" w:eastAsia="Times New Roman" w:hAnsi="Arial" w:cs="Times New Roman"/>
      <w:sz w:val="24"/>
      <w:szCs w:val="24"/>
      <w:lang w:val="es-ES" w:eastAsia="es-ES"/>
    </w:rPr>
  </w:style>
  <w:style w:type="paragraph" w:styleId="NormalWeb">
    <w:name w:val="Normal (Web)"/>
    <w:basedOn w:val="Normal"/>
    <w:unhideWhenUsed/>
    <w:rsid w:val="00513355"/>
    <w:pPr>
      <w:spacing w:before="100" w:beforeAutospacing="1" w:after="100" w:afterAutospacing="1"/>
    </w:pPr>
    <w:rPr>
      <w:rFonts w:ascii="Times New Roman" w:hAnsi="Times New Roman"/>
      <w:lang w:val="es-UY" w:eastAsia="es-UY"/>
    </w:rPr>
  </w:style>
  <w:style w:type="character" w:customStyle="1" w:styleId="apple-converted-space">
    <w:name w:val="apple-converted-space"/>
    <w:basedOn w:val="Fuentedeprrafopredeter"/>
    <w:rsid w:val="00513355"/>
  </w:style>
  <w:style w:type="paragraph" w:styleId="Ttulo">
    <w:name w:val="Title"/>
    <w:basedOn w:val="Normal"/>
    <w:link w:val="TtuloCar"/>
    <w:qFormat/>
    <w:rsid w:val="008502F4"/>
    <w:pPr>
      <w:spacing w:before="100" w:beforeAutospacing="1" w:after="100" w:afterAutospacing="1"/>
    </w:pPr>
    <w:rPr>
      <w:rFonts w:ascii="Arial Unicode MS" w:eastAsia="Arial Unicode MS" w:hAnsi="Arial Unicode MS" w:cs="Arial Unicode MS"/>
    </w:rPr>
  </w:style>
  <w:style w:type="character" w:customStyle="1" w:styleId="TtuloCar">
    <w:name w:val="Título Car"/>
    <w:basedOn w:val="Fuentedeprrafopredeter"/>
    <w:link w:val="Ttulo"/>
    <w:rsid w:val="008502F4"/>
    <w:rPr>
      <w:rFonts w:ascii="Arial Unicode MS" w:eastAsia="Arial Unicode MS" w:hAnsi="Arial Unicode MS" w:cs="Arial Unicode MS"/>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63A"/>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063A"/>
    <w:pPr>
      <w:tabs>
        <w:tab w:val="center" w:pos="4419"/>
        <w:tab w:val="right" w:pos="8838"/>
      </w:tabs>
    </w:pPr>
  </w:style>
  <w:style w:type="character" w:customStyle="1" w:styleId="EncabezadoCar">
    <w:name w:val="Encabezado Car"/>
    <w:basedOn w:val="Fuentedeprrafopredeter"/>
    <w:link w:val="Encabezado"/>
    <w:uiPriority w:val="99"/>
    <w:rsid w:val="00F2063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F2063A"/>
    <w:pPr>
      <w:tabs>
        <w:tab w:val="center" w:pos="4419"/>
        <w:tab w:val="right" w:pos="8838"/>
      </w:tabs>
    </w:pPr>
  </w:style>
  <w:style w:type="character" w:customStyle="1" w:styleId="PiedepginaCar">
    <w:name w:val="Pie de página Car"/>
    <w:basedOn w:val="Fuentedeprrafopredeter"/>
    <w:link w:val="Piedepgina"/>
    <w:uiPriority w:val="99"/>
    <w:rsid w:val="00F2063A"/>
    <w:rPr>
      <w:rFonts w:ascii="Arial" w:eastAsia="Times New Roman" w:hAnsi="Arial" w:cs="Times New Roman"/>
      <w:sz w:val="24"/>
      <w:szCs w:val="24"/>
      <w:lang w:val="es-ES" w:eastAsia="es-ES"/>
    </w:rPr>
  </w:style>
  <w:style w:type="paragraph" w:styleId="Prrafodelista">
    <w:name w:val="List Paragraph"/>
    <w:basedOn w:val="Normal"/>
    <w:uiPriority w:val="34"/>
    <w:qFormat/>
    <w:rsid w:val="00F2063A"/>
    <w:pPr>
      <w:ind w:left="720"/>
      <w:contextualSpacing/>
    </w:pPr>
  </w:style>
  <w:style w:type="paragraph" w:styleId="Textoindependiente2">
    <w:name w:val="Body Text 2"/>
    <w:basedOn w:val="Normal"/>
    <w:link w:val="Textoindependiente2Car"/>
    <w:rsid w:val="00F2063A"/>
    <w:pPr>
      <w:tabs>
        <w:tab w:val="left" w:pos="-720"/>
      </w:tabs>
      <w:suppressAutoHyphens/>
      <w:spacing w:line="360" w:lineRule="auto"/>
      <w:jc w:val="both"/>
    </w:pPr>
    <w:rPr>
      <w:b/>
      <w:bCs/>
    </w:rPr>
  </w:style>
  <w:style w:type="character" w:customStyle="1" w:styleId="Textoindependiente2Car">
    <w:name w:val="Texto independiente 2 Car"/>
    <w:basedOn w:val="Fuentedeprrafopredeter"/>
    <w:link w:val="Textoindependiente2"/>
    <w:rsid w:val="00F2063A"/>
    <w:rPr>
      <w:rFonts w:ascii="Arial" w:eastAsia="Times New Roman" w:hAnsi="Arial" w:cs="Times New Roman"/>
      <w:b/>
      <w:bCs/>
      <w:sz w:val="24"/>
      <w:szCs w:val="24"/>
      <w:lang w:val="es-ES" w:eastAsia="es-ES"/>
    </w:rPr>
  </w:style>
  <w:style w:type="paragraph" w:styleId="Textodeglobo">
    <w:name w:val="Balloon Text"/>
    <w:basedOn w:val="Normal"/>
    <w:link w:val="TextodegloboCar"/>
    <w:uiPriority w:val="99"/>
    <w:semiHidden/>
    <w:unhideWhenUsed/>
    <w:rsid w:val="00F2063A"/>
    <w:rPr>
      <w:rFonts w:ascii="Tahoma" w:hAnsi="Tahoma" w:cs="Tahoma"/>
      <w:sz w:val="16"/>
      <w:szCs w:val="16"/>
    </w:rPr>
  </w:style>
  <w:style w:type="character" w:customStyle="1" w:styleId="TextodegloboCar">
    <w:name w:val="Texto de globo Car"/>
    <w:basedOn w:val="Fuentedeprrafopredeter"/>
    <w:link w:val="Textodeglobo"/>
    <w:uiPriority w:val="99"/>
    <w:semiHidden/>
    <w:rsid w:val="00F2063A"/>
    <w:rPr>
      <w:rFonts w:ascii="Tahoma" w:eastAsia="Times New Roman" w:hAnsi="Tahoma" w:cs="Tahoma"/>
      <w:sz w:val="16"/>
      <w:szCs w:val="16"/>
      <w:lang w:val="es-ES" w:eastAsia="es-ES"/>
    </w:rPr>
  </w:style>
  <w:style w:type="paragraph" w:styleId="Sangradetextonormal">
    <w:name w:val="Body Text Indent"/>
    <w:basedOn w:val="Normal"/>
    <w:link w:val="SangradetextonormalCar"/>
    <w:uiPriority w:val="99"/>
    <w:unhideWhenUsed/>
    <w:rsid w:val="00C74084"/>
    <w:pPr>
      <w:spacing w:after="120"/>
      <w:ind w:left="283"/>
    </w:pPr>
    <w:rPr>
      <w:rFonts w:ascii="Times New Roman" w:hAnsi="Times New Roman"/>
    </w:rPr>
  </w:style>
  <w:style w:type="character" w:customStyle="1" w:styleId="SangradetextonormalCar">
    <w:name w:val="Sangría de texto normal Car"/>
    <w:basedOn w:val="Fuentedeprrafopredeter"/>
    <w:link w:val="Sangradetextonormal"/>
    <w:uiPriority w:val="99"/>
    <w:rsid w:val="00C74084"/>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513355"/>
    <w:pPr>
      <w:spacing w:after="120"/>
    </w:pPr>
  </w:style>
  <w:style w:type="character" w:customStyle="1" w:styleId="TextoindependienteCar">
    <w:name w:val="Texto independiente Car"/>
    <w:basedOn w:val="Fuentedeprrafopredeter"/>
    <w:link w:val="Textoindependiente"/>
    <w:uiPriority w:val="99"/>
    <w:semiHidden/>
    <w:rsid w:val="00513355"/>
    <w:rPr>
      <w:rFonts w:ascii="Arial" w:eastAsia="Times New Roman" w:hAnsi="Arial" w:cs="Times New Roman"/>
      <w:sz w:val="24"/>
      <w:szCs w:val="24"/>
      <w:lang w:val="es-ES" w:eastAsia="es-ES"/>
    </w:rPr>
  </w:style>
  <w:style w:type="paragraph" w:styleId="NormalWeb">
    <w:name w:val="Normal (Web)"/>
    <w:basedOn w:val="Normal"/>
    <w:unhideWhenUsed/>
    <w:rsid w:val="00513355"/>
    <w:pPr>
      <w:spacing w:before="100" w:beforeAutospacing="1" w:after="100" w:afterAutospacing="1"/>
    </w:pPr>
    <w:rPr>
      <w:rFonts w:ascii="Times New Roman" w:hAnsi="Times New Roman"/>
      <w:lang w:val="es-UY" w:eastAsia="es-UY"/>
    </w:rPr>
  </w:style>
  <w:style w:type="character" w:customStyle="1" w:styleId="apple-converted-space">
    <w:name w:val="apple-converted-space"/>
    <w:basedOn w:val="Fuentedeprrafopredeter"/>
    <w:rsid w:val="00513355"/>
  </w:style>
  <w:style w:type="paragraph" w:styleId="Ttulo">
    <w:name w:val="Title"/>
    <w:basedOn w:val="Normal"/>
    <w:link w:val="TtuloCar"/>
    <w:qFormat/>
    <w:rsid w:val="008502F4"/>
    <w:pPr>
      <w:spacing w:before="100" w:beforeAutospacing="1" w:after="100" w:afterAutospacing="1"/>
    </w:pPr>
    <w:rPr>
      <w:rFonts w:ascii="Arial Unicode MS" w:eastAsia="Arial Unicode MS" w:hAnsi="Arial Unicode MS" w:cs="Arial Unicode MS"/>
    </w:rPr>
  </w:style>
  <w:style w:type="character" w:customStyle="1" w:styleId="TtuloCar">
    <w:name w:val="Título Car"/>
    <w:basedOn w:val="Fuentedeprrafopredeter"/>
    <w:link w:val="Ttulo"/>
    <w:rsid w:val="008502F4"/>
    <w:rPr>
      <w:rFonts w:ascii="Arial Unicode MS" w:eastAsia="Arial Unicode MS" w:hAnsi="Arial Unicode MS" w:cs="Arial Unicode M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40707">
      <w:bodyDiv w:val="1"/>
      <w:marLeft w:val="0"/>
      <w:marRight w:val="0"/>
      <w:marTop w:val="0"/>
      <w:marBottom w:val="0"/>
      <w:divBdr>
        <w:top w:val="none" w:sz="0" w:space="0" w:color="auto"/>
        <w:left w:val="none" w:sz="0" w:space="0" w:color="auto"/>
        <w:bottom w:val="none" w:sz="0" w:space="0" w:color="auto"/>
        <w:right w:val="none" w:sz="0" w:space="0" w:color="auto"/>
      </w:divBdr>
    </w:div>
    <w:div w:id="767195214">
      <w:bodyDiv w:val="1"/>
      <w:marLeft w:val="0"/>
      <w:marRight w:val="0"/>
      <w:marTop w:val="0"/>
      <w:marBottom w:val="0"/>
      <w:divBdr>
        <w:top w:val="none" w:sz="0" w:space="0" w:color="auto"/>
        <w:left w:val="none" w:sz="0" w:space="0" w:color="auto"/>
        <w:bottom w:val="none" w:sz="0" w:space="0" w:color="auto"/>
        <w:right w:val="none" w:sz="0" w:space="0" w:color="auto"/>
      </w:divBdr>
    </w:div>
    <w:div w:id="769551361">
      <w:bodyDiv w:val="1"/>
      <w:marLeft w:val="0"/>
      <w:marRight w:val="0"/>
      <w:marTop w:val="0"/>
      <w:marBottom w:val="0"/>
      <w:divBdr>
        <w:top w:val="none" w:sz="0" w:space="0" w:color="auto"/>
        <w:left w:val="none" w:sz="0" w:space="0" w:color="auto"/>
        <w:bottom w:val="none" w:sz="0" w:space="0" w:color="auto"/>
        <w:right w:val="none" w:sz="0" w:space="0" w:color="auto"/>
      </w:divBdr>
    </w:div>
    <w:div w:id="822745773">
      <w:bodyDiv w:val="1"/>
      <w:marLeft w:val="0"/>
      <w:marRight w:val="0"/>
      <w:marTop w:val="0"/>
      <w:marBottom w:val="0"/>
      <w:divBdr>
        <w:top w:val="none" w:sz="0" w:space="0" w:color="auto"/>
        <w:left w:val="none" w:sz="0" w:space="0" w:color="auto"/>
        <w:bottom w:val="none" w:sz="0" w:space="0" w:color="auto"/>
        <w:right w:val="none" w:sz="0" w:space="0" w:color="auto"/>
      </w:divBdr>
    </w:div>
    <w:div w:id="1606302621">
      <w:bodyDiv w:val="1"/>
      <w:marLeft w:val="0"/>
      <w:marRight w:val="0"/>
      <w:marTop w:val="0"/>
      <w:marBottom w:val="0"/>
      <w:divBdr>
        <w:top w:val="none" w:sz="0" w:space="0" w:color="auto"/>
        <w:left w:val="none" w:sz="0" w:space="0" w:color="auto"/>
        <w:bottom w:val="none" w:sz="0" w:space="0" w:color="auto"/>
        <w:right w:val="none" w:sz="0" w:space="0" w:color="auto"/>
      </w:divBdr>
    </w:div>
    <w:div w:id="1624072466">
      <w:bodyDiv w:val="1"/>
      <w:marLeft w:val="0"/>
      <w:marRight w:val="0"/>
      <w:marTop w:val="0"/>
      <w:marBottom w:val="0"/>
      <w:divBdr>
        <w:top w:val="none" w:sz="0" w:space="0" w:color="auto"/>
        <w:left w:val="none" w:sz="0" w:space="0" w:color="auto"/>
        <w:bottom w:val="none" w:sz="0" w:space="0" w:color="auto"/>
        <w:right w:val="none" w:sz="0" w:space="0" w:color="auto"/>
      </w:divBdr>
    </w:div>
    <w:div w:id="1745642097">
      <w:bodyDiv w:val="1"/>
      <w:marLeft w:val="0"/>
      <w:marRight w:val="0"/>
      <w:marTop w:val="0"/>
      <w:marBottom w:val="0"/>
      <w:divBdr>
        <w:top w:val="none" w:sz="0" w:space="0" w:color="auto"/>
        <w:left w:val="none" w:sz="0" w:space="0" w:color="auto"/>
        <w:bottom w:val="none" w:sz="0" w:space="0" w:color="auto"/>
        <w:right w:val="none" w:sz="0" w:space="0" w:color="auto"/>
      </w:divBdr>
    </w:div>
    <w:div w:id="1938172564">
      <w:bodyDiv w:val="1"/>
      <w:marLeft w:val="0"/>
      <w:marRight w:val="0"/>
      <w:marTop w:val="0"/>
      <w:marBottom w:val="0"/>
      <w:divBdr>
        <w:top w:val="none" w:sz="0" w:space="0" w:color="auto"/>
        <w:left w:val="none" w:sz="0" w:space="0" w:color="auto"/>
        <w:bottom w:val="none" w:sz="0" w:space="0" w:color="auto"/>
        <w:right w:val="none" w:sz="0" w:space="0" w:color="auto"/>
      </w:divBdr>
    </w:div>
    <w:div w:id="208883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lamento.gub.uy/constituciones/const989.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arlamento.gub.uy/constituciones/const989.htm" TargetMode="External"/><Relationship Id="rId4" Type="http://schemas.openxmlformats.org/officeDocument/2006/relationships/settings" Target="settings.xml"/><Relationship Id="rId9" Type="http://schemas.openxmlformats.org/officeDocument/2006/relationships/hyperlink" Target="http://www.parlamento.gub.uy/constituciones/const989.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15</Pages>
  <Words>3693</Words>
  <Characters>20312</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6</cp:revision>
  <cp:lastPrinted>2016-12-29T18:14:00Z</cp:lastPrinted>
  <dcterms:created xsi:type="dcterms:W3CDTF">2016-12-29T18:14:00Z</dcterms:created>
  <dcterms:modified xsi:type="dcterms:W3CDTF">2017-05-23T18:19:00Z</dcterms:modified>
</cp:coreProperties>
</file>