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15" w:rsidRPr="00786EEB" w:rsidRDefault="00BB4515" w:rsidP="003B76AD">
      <w:pPr>
        <w:tabs>
          <w:tab w:val="center" w:pos="4253"/>
        </w:tabs>
        <w:jc w:val="right"/>
        <w:rPr>
          <w:b/>
          <w:sz w:val="28"/>
          <w:szCs w:val="28"/>
          <w:lang w:val="es-ES_tradnl"/>
        </w:rPr>
      </w:pPr>
      <w:bookmarkStart w:id="0" w:name="_GoBack"/>
      <w:bookmarkEnd w:id="0"/>
      <w:r w:rsidRPr="00786EEB">
        <w:rPr>
          <w:b/>
          <w:sz w:val="28"/>
          <w:szCs w:val="28"/>
          <w:lang w:val="es-ES_tradnl"/>
        </w:rPr>
        <w:t xml:space="preserve">RES. </w:t>
      </w:r>
      <w:r>
        <w:rPr>
          <w:b/>
          <w:sz w:val="28"/>
          <w:szCs w:val="28"/>
          <w:lang w:val="es-ES_tradnl"/>
        </w:rPr>
        <w:t>4067</w:t>
      </w:r>
      <w:r w:rsidRPr="00786EEB">
        <w:rPr>
          <w:b/>
          <w:sz w:val="28"/>
          <w:szCs w:val="28"/>
          <w:lang w:val="es-ES_tradnl"/>
        </w:rPr>
        <w:t>/16</w:t>
      </w:r>
    </w:p>
    <w:p w:rsidR="00BB4515" w:rsidRPr="00762B34" w:rsidRDefault="00BB4515" w:rsidP="00BB4515">
      <w:pPr>
        <w:tabs>
          <w:tab w:val="center" w:pos="4253"/>
        </w:tabs>
        <w:spacing w:after="0" w:line="240" w:lineRule="auto"/>
        <w:jc w:val="center"/>
        <w:rPr>
          <w:b/>
          <w:lang w:val="es-ES_tradnl"/>
        </w:rPr>
      </w:pPr>
      <w:r w:rsidRPr="00762B34">
        <w:rPr>
          <w:b/>
          <w:lang w:val="es-ES_tradnl"/>
        </w:rPr>
        <w:t>RESOLUCION ADOPTADA POR EL</w:t>
      </w:r>
    </w:p>
    <w:p w:rsidR="00BB4515" w:rsidRPr="00762B34" w:rsidRDefault="00BB4515" w:rsidP="00BB4515">
      <w:pPr>
        <w:tabs>
          <w:tab w:val="left" w:pos="-720"/>
        </w:tabs>
        <w:spacing w:after="0" w:line="240" w:lineRule="auto"/>
        <w:jc w:val="center"/>
        <w:rPr>
          <w:b/>
          <w:lang w:val="es-ES_tradnl"/>
        </w:rPr>
      </w:pPr>
    </w:p>
    <w:p w:rsidR="00BB4515" w:rsidRPr="00762B34" w:rsidRDefault="00BB4515" w:rsidP="00BB4515">
      <w:pPr>
        <w:tabs>
          <w:tab w:val="center" w:pos="4253"/>
        </w:tabs>
        <w:spacing w:after="0" w:line="240" w:lineRule="auto"/>
        <w:jc w:val="center"/>
        <w:rPr>
          <w:b/>
          <w:lang w:val="es-ES_tradnl"/>
        </w:rPr>
      </w:pPr>
      <w:r w:rsidRPr="00762B34">
        <w:rPr>
          <w:b/>
          <w:lang w:val="es-ES_tradnl"/>
        </w:rPr>
        <w:t>TRIBUNAL DE CUENTAS</w:t>
      </w:r>
    </w:p>
    <w:p w:rsidR="00BB4515" w:rsidRPr="00762B34" w:rsidRDefault="00BB4515" w:rsidP="00BB4515">
      <w:pPr>
        <w:tabs>
          <w:tab w:val="left" w:pos="-720"/>
        </w:tabs>
        <w:spacing w:after="0" w:line="240" w:lineRule="auto"/>
        <w:jc w:val="center"/>
        <w:rPr>
          <w:b/>
          <w:lang w:val="es-ES_tradnl"/>
        </w:rPr>
      </w:pPr>
    </w:p>
    <w:p w:rsidR="00BB4515" w:rsidRPr="00762B34" w:rsidRDefault="00BB4515" w:rsidP="00BB4515">
      <w:pPr>
        <w:tabs>
          <w:tab w:val="center" w:pos="4253"/>
        </w:tabs>
        <w:spacing w:after="0" w:line="240" w:lineRule="auto"/>
        <w:jc w:val="center"/>
        <w:rPr>
          <w:b/>
          <w:lang w:val="es-ES_tradnl"/>
        </w:rPr>
      </w:pPr>
      <w:r w:rsidRPr="00762B34">
        <w:rPr>
          <w:b/>
          <w:lang w:val="es-ES_tradnl"/>
        </w:rPr>
        <w:t xml:space="preserve">EN SESION DE FECHA </w:t>
      </w:r>
      <w:r>
        <w:rPr>
          <w:b/>
          <w:lang w:val="es-ES_tradnl"/>
        </w:rPr>
        <w:t xml:space="preserve">23 DE NOVIEMBRE </w:t>
      </w:r>
      <w:r>
        <w:rPr>
          <w:rFonts w:ascii="Helvetica" w:hAnsi="Helvetica"/>
          <w:b/>
          <w:lang w:val="es-ES_tradnl"/>
        </w:rPr>
        <w:t>DE 2016</w:t>
      </w:r>
    </w:p>
    <w:p w:rsidR="00BB4515" w:rsidRPr="00762B34" w:rsidRDefault="00BB4515" w:rsidP="00BB4515">
      <w:pPr>
        <w:tabs>
          <w:tab w:val="center" w:pos="4253"/>
        </w:tabs>
        <w:spacing w:after="0" w:line="240" w:lineRule="auto"/>
        <w:jc w:val="center"/>
        <w:rPr>
          <w:b/>
          <w:lang w:val="es-ES_tradnl"/>
        </w:rPr>
      </w:pPr>
    </w:p>
    <w:p w:rsidR="00BB4515" w:rsidRPr="00BB4515" w:rsidRDefault="00BB4515" w:rsidP="00BB4515">
      <w:pPr>
        <w:tabs>
          <w:tab w:val="center" w:pos="4253"/>
        </w:tabs>
        <w:spacing w:after="0" w:line="240" w:lineRule="auto"/>
        <w:jc w:val="center"/>
        <w:rPr>
          <w:b/>
          <w:lang w:val="es-AR"/>
        </w:rPr>
      </w:pPr>
      <w:r w:rsidRPr="00BB4515">
        <w:rPr>
          <w:b/>
          <w:lang w:val="es-AR"/>
        </w:rPr>
        <w:t xml:space="preserve">(E. E. Nº 2016-17-1-0004525, </w:t>
      </w:r>
      <w:proofErr w:type="spellStart"/>
      <w:r w:rsidRPr="00BB4515">
        <w:rPr>
          <w:b/>
          <w:lang w:val="es-AR"/>
        </w:rPr>
        <w:t>Ent</w:t>
      </w:r>
      <w:proofErr w:type="spellEnd"/>
      <w:r w:rsidRPr="00BB4515">
        <w:rPr>
          <w:b/>
          <w:lang w:val="es-AR"/>
        </w:rPr>
        <w:t>. N° 3456/16)</w:t>
      </w:r>
    </w:p>
    <w:p w:rsidR="00BB4515" w:rsidRPr="00BB4515" w:rsidRDefault="00BB4515">
      <w:pPr>
        <w:tabs>
          <w:tab w:val="center" w:pos="4253"/>
        </w:tabs>
        <w:jc w:val="center"/>
        <w:rPr>
          <w:rFonts w:ascii="Helvetica" w:hAnsi="Helvetica"/>
          <w:b/>
          <w:lang w:val="es-AR"/>
        </w:rPr>
      </w:pPr>
    </w:p>
    <w:p w:rsidR="00BB4515" w:rsidRDefault="00EE3E2B" w:rsidP="00BB4515">
      <w:pPr>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Junta Departamental de </w:t>
      </w:r>
      <w:r w:rsidR="000A7EDA">
        <w:rPr>
          <w:rFonts w:eastAsia="Times New Roman"/>
          <w:szCs w:val="24"/>
          <w:lang w:val="es-ES"/>
        </w:rPr>
        <w:t>Rio Negro</w:t>
      </w:r>
      <w:r>
        <w:rPr>
          <w:rFonts w:eastAsia="Times New Roman"/>
          <w:szCs w:val="24"/>
          <w:lang w:val="es-ES"/>
        </w:rPr>
        <w:t xml:space="preserve"> correspondientes al </w:t>
      </w:r>
      <w:r w:rsidR="00BB4515">
        <w:rPr>
          <w:rFonts w:eastAsia="Times New Roman"/>
          <w:szCs w:val="24"/>
          <w:lang w:val="es-ES"/>
        </w:rPr>
        <w:t>E</w:t>
      </w:r>
      <w:r>
        <w:rPr>
          <w:rFonts w:eastAsia="Times New Roman"/>
          <w:szCs w:val="24"/>
          <w:lang w:val="es-ES"/>
        </w:rPr>
        <w:t>jercicio 201</w:t>
      </w:r>
      <w:r w:rsidR="00E43062">
        <w:rPr>
          <w:rFonts w:eastAsia="Times New Roman"/>
          <w:szCs w:val="24"/>
          <w:lang w:val="es-ES"/>
        </w:rPr>
        <w:t>5</w:t>
      </w:r>
      <w:r>
        <w:rPr>
          <w:rFonts w:eastAsia="Times New Roman"/>
          <w:szCs w:val="24"/>
          <w:lang w:val="es-ES"/>
        </w:rPr>
        <w:t>;</w:t>
      </w:r>
    </w:p>
    <w:p w:rsidR="00BB4515" w:rsidRDefault="00EE3E2B" w:rsidP="00BB4515">
      <w:pPr>
        <w:spacing w:after="0" w:line="360" w:lineRule="auto"/>
        <w:ind w:firstLine="851"/>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BB4515" w:rsidRDefault="00EE3E2B" w:rsidP="00BB4515">
      <w:pPr>
        <w:spacing w:after="0" w:line="360" w:lineRule="auto"/>
        <w:ind w:firstLine="851"/>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EE3E2B" w:rsidRDefault="00EE3E2B" w:rsidP="00BB4515">
      <w:pPr>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 xml:space="preserve">a lo dispuesto por el Artículo 211 Literal C) de </w:t>
      </w:r>
      <w:r w:rsidR="00EA02D4">
        <w:rPr>
          <w:rFonts w:eastAsia="Times New Roman"/>
          <w:szCs w:val="24"/>
          <w:lang w:val="es-ES"/>
        </w:rPr>
        <w:t xml:space="preserve">la Constitución de la República </w:t>
      </w:r>
      <w:r w:rsidR="00BB4515">
        <w:rPr>
          <w:rFonts w:eastAsia="Times New Roman"/>
          <w:szCs w:val="24"/>
          <w:lang w:val="es-ES"/>
        </w:rPr>
        <w:t>y Ordenanza Nº 81 de este Tribunal</w:t>
      </w:r>
      <w:r w:rsidR="00EA02D4">
        <w:rPr>
          <w:rFonts w:eastAsia="Times New Roman"/>
          <w:szCs w:val="24"/>
          <w:lang w:val="es-ES"/>
        </w:rPr>
        <w:t>;</w:t>
      </w:r>
    </w:p>
    <w:p w:rsidR="00EE3E2B" w:rsidRDefault="00EE3E2B" w:rsidP="00EE3E2B">
      <w:pPr>
        <w:keepNext/>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Expedirse </w:t>
      </w:r>
      <w:r w:rsidR="006316C9">
        <w:rPr>
          <w:rFonts w:eastAsia="Times New Roman"/>
          <w:szCs w:val="24"/>
          <w:lang w:val="es-ES"/>
        </w:rPr>
        <w:t>e</w:t>
      </w:r>
      <w:r>
        <w:rPr>
          <w:rFonts w:eastAsia="Times New Roman"/>
          <w:szCs w:val="24"/>
          <w:lang w:val="es-ES"/>
        </w:rPr>
        <w:t>n los términos del Informe de Auditoría que se adjunta</w:t>
      </w:r>
      <w:r w:rsidR="00BB4515">
        <w:rPr>
          <w:rFonts w:eastAsia="Times New Roman"/>
          <w:szCs w:val="24"/>
          <w:lang w:val="es-ES"/>
        </w:rPr>
        <w:t>;</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Comunicar la presente Resolución a la Junta Departamental de </w:t>
      </w:r>
      <w:r w:rsidR="00D9422A">
        <w:rPr>
          <w:rFonts w:eastAsia="Times New Roman"/>
          <w:szCs w:val="24"/>
          <w:lang w:val="es-ES"/>
        </w:rPr>
        <w:t>Rio Negro</w:t>
      </w:r>
      <w:r w:rsidR="0012280B">
        <w:rPr>
          <w:rFonts w:eastAsia="Times New Roman"/>
          <w:szCs w:val="24"/>
          <w:lang w:val="es-ES"/>
        </w:rPr>
        <w:t xml:space="preserve"> y a</w:t>
      </w:r>
      <w:r>
        <w:rPr>
          <w:rFonts w:eastAsia="Times New Roman"/>
          <w:szCs w:val="24"/>
          <w:lang w:val="es-ES"/>
        </w:rPr>
        <w:t>l</w:t>
      </w:r>
      <w:r w:rsidR="0012280B">
        <w:rPr>
          <w:rFonts w:eastAsia="Times New Roman"/>
          <w:szCs w:val="24"/>
          <w:lang w:val="es-ES"/>
        </w:rPr>
        <w:t xml:space="preserve"> Contador Delegado</w:t>
      </w:r>
      <w:r w:rsidR="00BB4515">
        <w:rPr>
          <w:rFonts w:eastAsia="Times New Roman"/>
          <w:szCs w:val="24"/>
          <w:lang w:val="es-ES"/>
        </w:rPr>
        <w:t>;</w:t>
      </w:r>
    </w:p>
    <w:p w:rsidR="00EE3E2B" w:rsidRPr="00BB4515" w:rsidRDefault="00EE3E2B" w:rsidP="00BB4515">
      <w:pPr>
        <w:numPr>
          <w:ilvl w:val="0"/>
          <w:numId w:val="1"/>
        </w:numPr>
        <w:spacing w:after="0" w:line="360" w:lineRule="auto"/>
        <w:rPr>
          <w:rFonts w:eastAsia="Times New Roman"/>
          <w:sz w:val="20"/>
          <w:szCs w:val="20"/>
          <w:lang w:val="es-ES"/>
        </w:rPr>
      </w:pPr>
      <w:r>
        <w:rPr>
          <w:rFonts w:eastAsia="Times New Roman"/>
          <w:szCs w:val="24"/>
          <w:lang w:val="es-ES"/>
        </w:rPr>
        <w:t>Dar cuenta a la Asamblea General</w:t>
      </w:r>
      <w:r w:rsidR="0077153B">
        <w:rPr>
          <w:rFonts w:eastAsia="Times New Roman"/>
          <w:szCs w:val="24"/>
          <w:lang w:val="es-ES"/>
        </w:rPr>
        <w:t>.</w:t>
      </w:r>
    </w:p>
    <w:p w:rsidR="00BB4515" w:rsidRDefault="00BB4515" w:rsidP="00BB4515">
      <w:pPr>
        <w:spacing w:after="0" w:line="360" w:lineRule="auto"/>
        <w:rPr>
          <w:rFonts w:eastAsia="Times New Roman"/>
          <w:szCs w:val="24"/>
          <w:lang w:val="es-ES"/>
        </w:rPr>
      </w:pPr>
    </w:p>
    <w:p w:rsidR="00BB4515" w:rsidRDefault="00BB4515" w:rsidP="00BB4515">
      <w:pPr>
        <w:spacing w:after="0" w:line="360" w:lineRule="auto"/>
        <w:rPr>
          <w:rFonts w:eastAsia="Times New Roman"/>
          <w:szCs w:val="24"/>
          <w:lang w:val="es-ES"/>
        </w:rPr>
      </w:pPr>
    </w:p>
    <w:p w:rsidR="00BB4515" w:rsidRDefault="00BB4515" w:rsidP="00BB4515">
      <w:pPr>
        <w:spacing w:after="0" w:line="360" w:lineRule="auto"/>
        <w:ind w:hanging="284"/>
        <w:rPr>
          <w:rFonts w:eastAsia="Times New Roman"/>
          <w:szCs w:val="24"/>
          <w:lang w:val="es-ES"/>
        </w:rPr>
      </w:pPr>
      <w:proofErr w:type="gramStart"/>
      <w:r>
        <w:rPr>
          <w:rFonts w:eastAsia="Times New Roman"/>
          <w:szCs w:val="24"/>
          <w:lang w:val="es-ES"/>
        </w:rPr>
        <w:t>dc</w:t>
      </w:r>
      <w:proofErr w:type="gramEnd"/>
    </w:p>
    <w:p w:rsidR="0042639C" w:rsidRDefault="0042639C" w:rsidP="003B76AD">
      <w:pPr>
        <w:pStyle w:val="Ttulo1"/>
        <w:numPr>
          <w:ilvl w:val="0"/>
          <w:numId w:val="0"/>
        </w:numPr>
        <w:ind w:left="360" w:hanging="360"/>
        <w:jc w:val="center"/>
      </w:pPr>
      <w:bookmarkStart w:id="1" w:name="_Toc425860333"/>
      <w:r>
        <w:lastRenderedPageBreak/>
        <w:t>DICTAMEN</w:t>
      </w:r>
      <w:bookmarkEnd w:id="1"/>
    </w:p>
    <w:p w:rsidR="0042639C" w:rsidRDefault="0042639C">
      <w:pPr>
        <w:rPr>
          <w:lang w:val="es-ES"/>
        </w:rPr>
      </w:pPr>
    </w:p>
    <w:p w:rsidR="0042639C" w:rsidRDefault="0042639C" w:rsidP="003B76AD">
      <w:pPr>
        <w:pStyle w:val="Subttulo"/>
        <w:rPr>
          <w:rFonts w:ascii="Arial" w:hAnsi="Arial"/>
          <w:b w:val="0"/>
        </w:rPr>
      </w:pPr>
      <w:r>
        <w:rPr>
          <w:rFonts w:ascii="Arial" w:hAnsi="Arial"/>
          <w:b w:val="0"/>
        </w:rPr>
        <w:t>El Tribunal de Cuentas ha examinado los Estados Contables de la Junta Departamental de Rio Negro correspondientes al Ejercicio 2015 que comprenden el Estado de Situación Patrimonial y los correspondientes Estado de Resultados, Estado de Origen y Aplicación de Fondos, Estado de Evolución del Patrimonio, Cuadro de Bienes de Uso y</w:t>
      </w:r>
      <w:r w:rsidR="003B76AD">
        <w:rPr>
          <w:rFonts w:ascii="Arial" w:hAnsi="Arial"/>
          <w:b w:val="0"/>
        </w:rPr>
        <w:t xml:space="preserve"> Notas a los Estados Contables.</w:t>
      </w:r>
    </w:p>
    <w:p w:rsidR="0042639C" w:rsidRDefault="0042639C" w:rsidP="003B76AD">
      <w:pPr>
        <w:pStyle w:val="Subttulo"/>
        <w:rPr>
          <w:rFonts w:ascii="Arial" w:hAnsi="Arial"/>
          <w:b w:val="0"/>
        </w:rPr>
      </w:pPr>
      <w:r>
        <w:rPr>
          <w:rFonts w:ascii="Arial" w:hAnsi="Arial"/>
          <w:b w:val="0"/>
        </w:rPr>
        <w:t>El Tribunal de Cuentas también ha auditado el cumplimiento por parte de la Junta Departamental de la normativa vigente.</w:t>
      </w:r>
    </w:p>
    <w:p w:rsidR="0042639C" w:rsidRDefault="0042639C">
      <w:pPr>
        <w:pStyle w:val="Subttulo"/>
        <w:rPr>
          <w:rFonts w:ascii="Arial" w:hAnsi="Arial"/>
          <w:bCs/>
        </w:rPr>
      </w:pPr>
    </w:p>
    <w:p w:rsidR="0042639C" w:rsidRDefault="0042639C">
      <w:pPr>
        <w:pStyle w:val="Subttulo"/>
        <w:rPr>
          <w:rFonts w:ascii="Arial" w:hAnsi="Arial"/>
          <w:bCs/>
        </w:rPr>
      </w:pPr>
      <w:r>
        <w:rPr>
          <w:rFonts w:ascii="Arial" w:hAnsi="Arial"/>
          <w:bCs/>
        </w:rPr>
        <w:t>Responsabilidad de la Junta Departamental</w:t>
      </w:r>
    </w:p>
    <w:p w:rsidR="0042639C" w:rsidRDefault="0042639C" w:rsidP="003B76AD">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42639C" w:rsidRDefault="0042639C">
      <w:pPr>
        <w:pStyle w:val="Subttulo"/>
        <w:rPr>
          <w:rFonts w:ascii="Arial" w:hAnsi="Arial"/>
          <w:bCs/>
        </w:rPr>
      </w:pPr>
    </w:p>
    <w:p w:rsidR="0042639C" w:rsidRDefault="0042639C">
      <w:pPr>
        <w:pStyle w:val="Subttulo"/>
        <w:rPr>
          <w:rFonts w:ascii="Arial" w:hAnsi="Arial"/>
          <w:bCs/>
        </w:rPr>
      </w:pPr>
      <w:r>
        <w:rPr>
          <w:rFonts w:ascii="Arial" w:hAnsi="Arial"/>
          <w:bCs/>
        </w:rPr>
        <w:t>Responsabilidad del auditor</w:t>
      </w:r>
    </w:p>
    <w:p w:rsidR="0042639C" w:rsidRDefault="0042639C">
      <w:pPr>
        <w:spacing w:line="360" w:lineRule="auto"/>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 xml:space="preserve"> 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3B76AD">
        <w:rPr>
          <w:kern w:val="1"/>
          <w:szCs w:val="20"/>
        </w:rPr>
        <w:t>bres de errores significativos.</w:t>
      </w:r>
    </w:p>
    <w:p w:rsidR="0042639C" w:rsidRDefault="0042639C">
      <w:pPr>
        <w:pStyle w:val="Subttulo"/>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42639C" w:rsidRDefault="0042639C">
      <w:pPr>
        <w:pStyle w:val="Subttulo"/>
        <w:rPr>
          <w:rFonts w:ascii="Arial" w:hAnsi="Arial"/>
          <w:b w:val="0"/>
        </w:rPr>
      </w:pPr>
      <w:r>
        <w:rPr>
          <w:rFonts w:ascii="Arial" w:hAnsi="Arial"/>
          <w:b w:val="0"/>
        </w:rPr>
        <w:t>Se considera que la evidencia de auditoría obtenida brinda una base suficiente y apropiada para sustentar la opinión.</w:t>
      </w:r>
    </w:p>
    <w:p w:rsidR="0042639C" w:rsidRPr="00F50BD1" w:rsidRDefault="0042639C">
      <w:pPr>
        <w:pStyle w:val="Textoindependiente"/>
        <w:spacing w:after="0" w:line="360" w:lineRule="auto"/>
        <w:rPr>
          <w:bCs/>
          <w:szCs w:val="24"/>
          <w:lang w:val="es-ES"/>
        </w:rPr>
      </w:pPr>
      <w:r>
        <w:rPr>
          <w:bCs/>
          <w:szCs w:val="24"/>
          <w:lang w:val="es-ES"/>
        </w:rPr>
        <w:t xml:space="preserve">  </w:t>
      </w:r>
    </w:p>
    <w:p w:rsidR="0042639C" w:rsidRDefault="0042639C">
      <w:pPr>
        <w:pStyle w:val="Textoindependiente"/>
        <w:spacing w:after="0" w:line="360" w:lineRule="auto"/>
        <w:rPr>
          <w:b/>
          <w:bCs/>
          <w:szCs w:val="24"/>
          <w:lang w:val="es-ES"/>
        </w:rPr>
      </w:pPr>
      <w:r>
        <w:rPr>
          <w:b/>
          <w:bCs/>
          <w:szCs w:val="24"/>
          <w:lang w:val="es-ES"/>
        </w:rPr>
        <w:t>Bases para la opinión adversa</w:t>
      </w:r>
    </w:p>
    <w:p w:rsidR="0042639C" w:rsidRPr="00CC016E" w:rsidRDefault="0042639C" w:rsidP="0042639C">
      <w:pPr>
        <w:numPr>
          <w:ilvl w:val="1"/>
          <w:numId w:val="3"/>
        </w:numPr>
        <w:tabs>
          <w:tab w:val="left" w:pos="-720"/>
          <w:tab w:val="left" w:pos="0"/>
        </w:tabs>
        <w:spacing w:after="0" w:line="360" w:lineRule="auto"/>
        <w:ind w:left="0" w:firstLine="0"/>
        <w:rPr>
          <w:rFonts w:eastAsia="Times New Roman"/>
          <w:szCs w:val="24"/>
          <w:lang w:val="es-ES" w:eastAsia="zh-CN"/>
        </w:rPr>
      </w:pPr>
      <w:r w:rsidRPr="00CC016E">
        <w:rPr>
          <w:rFonts w:eastAsia="Times New Roman"/>
          <w:szCs w:val="24"/>
          <w:lang w:val="es-ES" w:eastAsia="zh-CN"/>
        </w:rPr>
        <w:t>El Estado de Situación Patrimonial expone un Resultado del Ejercicio negativo de $ 95.096, el Estado de Resultados expone un resultado neto de $ 0, el Estado de Origen y Aplicación de Fondos expone un Resu</w:t>
      </w:r>
      <w:r>
        <w:rPr>
          <w:rFonts w:eastAsia="Times New Roman"/>
          <w:szCs w:val="24"/>
          <w:lang w:val="es-ES" w:eastAsia="zh-CN"/>
        </w:rPr>
        <w:t>ltado del Ejercicio de $ 7:</w:t>
      </w:r>
      <w:r w:rsidRPr="00CC016E">
        <w:rPr>
          <w:rFonts w:eastAsia="Times New Roman"/>
          <w:szCs w:val="24"/>
          <w:lang w:val="es-ES" w:eastAsia="zh-CN"/>
        </w:rPr>
        <w:t xml:space="preserve">673.968 y el Estado de Evolución del Patrimonio expone un Resultado </w:t>
      </w:r>
      <w:r>
        <w:rPr>
          <w:rFonts w:eastAsia="Times New Roman"/>
          <w:szCs w:val="24"/>
          <w:lang w:val="es-ES" w:eastAsia="zh-CN"/>
        </w:rPr>
        <w:t>del Ejercicio</w:t>
      </w:r>
      <w:r w:rsidRPr="00CC016E">
        <w:rPr>
          <w:rFonts w:eastAsia="Times New Roman"/>
          <w:szCs w:val="24"/>
          <w:lang w:val="es-ES" w:eastAsia="zh-CN"/>
        </w:rPr>
        <w:t xml:space="preserve"> de $ </w:t>
      </w:r>
      <w:r>
        <w:rPr>
          <w:rFonts w:eastAsia="Times New Roman"/>
          <w:szCs w:val="24"/>
          <w:lang w:val="es-ES" w:eastAsia="zh-CN"/>
        </w:rPr>
        <w:t>7:214.333</w:t>
      </w:r>
      <w:r w:rsidRPr="00CC016E">
        <w:rPr>
          <w:rFonts w:eastAsia="Times New Roman"/>
          <w:szCs w:val="24"/>
          <w:lang w:val="es-ES" w:eastAsia="zh-CN"/>
        </w:rPr>
        <w:t>. Por lo expuesto el Resultado del Ejercicio es diferente en cada estado.</w:t>
      </w:r>
    </w:p>
    <w:p w:rsidR="0042639C" w:rsidRDefault="0042639C" w:rsidP="0042639C">
      <w:pPr>
        <w:numPr>
          <w:ilvl w:val="1"/>
          <w:numId w:val="3"/>
        </w:numPr>
        <w:tabs>
          <w:tab w:val="left" w:pos="-720"/>
          <w:tab w:val="left" w:pos="0"/>
        </w:tabs>
        <w:spacing w:after="0" w:line="360" w:lineRule="auto"/>
        <w:ind w:left="0" w:firstLine="0"/>
        <w:rPr>
          <w:rFonts w:eastAsia="Times New Roman"/>
          <w:szCs w:val="24"/>
          <w:lang w:val="es-ES" w:eastAsia="zh-CN"/>
        </w:rPr>
      </w:pPr>
      <w:r w:rsidRPr="00CC016E">
        <w:rPr>
          <w:rFonts w:eastAsia="Times New Roman"/>
          <w:szCs w:val="24"/>
          <w:lang w:val="es-ES" w:eastAsia="zh-CN"/>
        </w:rPr>
        <w:t>El Cuadro de Bienes de Uso expone un saldo de amortizacione</w:t>
      </w:r>
      <w:r>
        <w:rPr>
          <w:rFonts w:eastAsia="Times New Roman"/>
          <w:szCs w:val="24"/>
          <w:lang w:val="es-ES" w:eastAsia="zh-CN"/>
        </w:rPr>
        <w:t>s al inicio de $2:</w:t>
      </w:r>
      <w:r w:rsidRPr="00CC016E">
        <w:rPr>
          <w:rFonts w:eastAsia="Times New Roman"/>
          <w:szCs w:val="24"/>
          <w:lang w:val="es-ES" w:eastAsia="zh-CN"/>
        </w:rPr>
        <w:t>140.643, el Estado de Situación Patrimonial expone saldo cero en el rubro</w:t>
      </w:r>
      <w:r>
        <w:rPr>
          <w:rFonts w:eastAsia="Times New Roman"/>
          <w:szCs w:val="24"/>
          <w:lang w:val="es-ES" w:eastAsia="zh-CN"/>
        </w:rPr>
        <w:t xml:space="preserve"> B</w:t>
      </w:r>
      <w:r w:rsidRPr="00CC016E">
        <w:rPr>
          <w:rFonts w:eastAsia="Times New Roman"/>
          <w:szCs w:val="24"/>
          <w:lang w:val="es-ES" w:eastAsia="zh-CN"/>
        </w:rPr>
        <w:t>ienes de Uso y el Estado de Resultados expone en el rubro amortizaciones un saldo cero, no siendo consistentes los estados citados.</w:t>
      </w:r>
    </w:p>
    <w:p w:rsidR="0042639C" w:rsidRDefault="0042639C" w:rsidP="003B76AD">
      <w:pPr>
        <w:pStyle w:val="Subttulo"/>
        <w:rPr>
          <w:rFonts w:ascii="Arial" w:hAnsi="Arial"/>
        </w:rPr>
      </w:pPr>
    </w:p>
    <w:p w:rsidR="003B76AD" w:rsidRDefault="003B76AD" w:rsidP="003B76AD">
      <w:pPr>
        <w:pStyle w:val="Textoindependiente"/>
        <w:rPr>
          <w:lang w:val="es-ES"/>
        </w:rPr>
      </w:pPr>
    </w:p>
    <w:p w:rsidR="003B76AD" w:rsidRPr="003B76AD" w:rsidRDefault="003B76AD" w:rsidP="003B76AD">
      <w:pPr>
        <w:pStyle w:val="Textoindependiente"/>
        <w:rPr>
          <w:lang w:val="es-ES"/>
        </w:rPr>
      </w:pPr>
    </w:p>
    <w:p w:rsidR="0042639C" w:rsidRPr="007F4280" w:rsidRDefault="0042639C" w:rsidP="0042639C">
      <w:pPr>
        <w:pStyle w:val="Subttulo"/>
        <w:numPr>
          <w:ilvl w:val="0"/>
          <w:numId w:val="3"/>
        </w:numPr>
        <w:rPr>
          <w:rFonts w:ascii="Arial" w:hAnsi="Arial"/>
        </w:rPr>
      </w:pPr>
      <w:r w:rsidRPr="007F4280">
        <w:rPr>
          <w:rFonts w:ascii="Arial" w:hAnsi="Arial"/>
        </w:rPr>
        <w:t>Opinión Adversa</w:t>
      </w:r>
    </w:p>
    <w:p w:rsidR="0042639C" w:rsidRPr="00CC016E" w:rsidRDefault="0042639C" w:rsidP="0042639C">
      <w:pPr>
        <w:numPr>
          <w:ilvl w:val="1"/>
          <w:numId w:val="3"/>
        </w:numPr>
        <w:tabs>
          <w:tab w:val="left" w:pos="-720"/>
          <w:tab w:val="left" w:pos="0"/>
        </w:tabs>
        <w:spacing w:after="0" w:line="360" w:lineRule="auto"/>
        <w:ind w:left="0" w:firstLine="0"/>
        <w:rPr>
          <w:rFonts w:eastAsia="Times New Roman"/>
          <w:szCs w:val="24"/>
          <w:lang w:val="es-ES" w:eastAsia="zh-CN"/>
        </w:rPr>
      </w:pPr>
      <w:r w:rsidRPr="007F4280">
        <w:t>En opinión del Tribunal de Cuentas, debido a los efectos de lo descripto en el párrafo anterior, los estados contables mencionados no presentan razonablemente</w:t>
      </w:r>
      <w:r w:rsidRPr="00A66101">
        <w:rPr>
          <w:szCs w:val="24"/>
          <w:lang w:val="es-ES"/>
        </w:rPr>
        <w:t xml:space="preserve">, en todos sus aspectos importantes, la situación patrimonial de la Junta Departamental de </w:t>
      </w:r>
      <w:r>
        <w:rPr>
          <w:szCs w:val="24"/>
          <w:lang w:val="es-ES"/>
        </w:rPr>
        <w:t>Rio Negr</w:t>
      </w:r>
      <w:r w:rsidRPr="00A66101">
        <w:rPr>
          <w:szCs w:val="24"/>
          <w:lang w:val="es-ES"/>
        </w:rPr>
        <w:t>o al 31 de diciembre de 20</w:t>
      </w:r>
      <w:r>
        <w:rPr>
          <w:szCs w:val="24"/>
          <w:lang w:val="es-ES"/>
        </w:rPr>
        <w:t>15</w:t>
      </w:r>
      <w:r w:rsidRPr="00A66101">
        <w:rPr>
          <w:szCs w:val="24"/>
          <w:lang w:val="es-ES"/>
        </w:rPr>
        <w:t>, los resultados de sus operaciones y el origen</w:t>
      </w:r>
      <w:r>
        <w:rPr>
          <w:szCs w:val="24"/>
          <w:lang w:val="es-ES"/>
        </w:rPr>
        <w:t xml:space="preserve"> y aplicación de fondos por el E</w:t>
      </w:r>
      <w:r w:rsidRPr="00A66101">
        <w:rPr>
          <w:szCs w:val="24"/>
          <w:lang w:val="es-ES"/>
        </w:rPr>
        <w:t>jercicio anual finalizado en esa fecha, de acuerdo con los criterios y normas establecidas en la Ordenanza N° 81.</w:t>
      </w:r>
    </w:p>
    <w:p w:rsidR="0042639C" w:rsidRDefault="0042639C" w:rsidP="003B76AD">
      <w:pPr>
        <w:spacing w:line="360" w:lineRule="auto"/>
      </w:pPr>
      <w:r>
        <w:t>Con relación al cumplimiento de las disposiciones legales y reglamentarias que fueron objeto de examen, en opinión del Tribunal de Cuentas no se ha dado cumplimiento con las siguientes normas:</w:t>
      </w:r>
    </w:p>
    <w:p w:rsidR="0042639C" w:rsidRPr="000128A7" w:rsidRDefault="0042639C" w:rsidP="003B76AD">
      <w:pPr>
        <w:pStyle w:val="Textoindependiente"/>
        <w:widowControl w:val="0"/>
        <w:suppressAutoHyphens w:val="0"/>
        <w:spacing w:after="0" w:line="360" w:lineRule="auto"/>
        <w:rPr>
          <w:b/>
          <w:szCs w:val="24"/>
          <w:lang w:val="es-ES" w:eastAsia="zh-CN"/>
        </w:rPr>
      </w:pPr>
      <w:r>
        <w:rPr>
          <w:b/>
          <w:bCs/>
        </w:rPr>
        <w:t>Artículo 3 de la Ordenanza 81</w:t>
      </w:r>
    </w:p>
    <w:p w:rsidR="0042639C" w:rsidRPr="006768DF" w:rsidRDefault="0042639C" w:rsidP="0042639C">
      <w:pPr>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sidRPr="006768DF">
        <w:rPr>
          <w:rFonts w:eastAsia="Times New Roman"/>
          <w:szCs w:val="24"/>
          <w:lang w:val="es-ES" w:eastAsia="zh-CN"/>
        </w:rPr>
        <w:t xml:space="preserve">Los estados </w:t>
      </w:r>
      <w:r>
        <w:rPr>
          <w:rFonts w:eastAsia="Times New Roman"/>
          <w:szCs w:val="24"/>
          <w:lang w:val="es-ES" w:eastAsia="zh-CN"/>
        </w:rPr>
        <w:t xml:space="preserve">contables </w:t>
      </w:r>
      <w:r w:rsidRPr="006768DF">
        <w:rPr>
          <w:rFonts w:eastAsia="Times New Roman"/>
          <w:szCs w:val="24"/>
          <w:lang w:val="es-ES" w:eastAsia="zh-CN"/>
        </w:rPr>
        <w:t>deben e</w:t>
      </w:r>
      <w:r>
        <w:rPr>
          <w:rFonts w:eastAsia="Times New Roman"/>
          <w:szCs w:val="24"/>
          <w:lang w:val="es-ES" w:eastAsia="zh-CN"/>
        </w:rPr>
        <w:t>manar del sistema contable del O</w:t>
      </w:r>
      <w:r w:rsidRPr="006768DF">
        <w:rPr>
          <w:rFonts w:eastAsia="Times New Roman"/>
          <w:szCs w:val="24"/>
          <w:lang w:val="es-ES" w:eastAsia="zh-CN"/>
        </w:rPr>
        <w:t>rganismo</w:t>
      </w:r>
      <w:r w:rsidR="003B76AD">
        <w:rPr>
          <w:rFonts w:eastAsia="Times New Roman"/>
          <w:szCs w:val="24"/>
          <w:lang w:val="es-ES" w:eastAsia="zh-CN"/>
        </w:rPr>
        <w:t>.</w:t>
      </w:r>
    </w:p>
    <w:p w:rsidR="0042639C" w:rsidRPr="00B42FA1" w:rsidRDefault="0042639C" w:rsidP="0042639C">
      <w:pPr>
        <w:pStyle w:val="Prrafodelista"/>
        <w:numPr>
          <w:ilvl w:val="1"/>
          <w:numId w:val="3"/>
        </w:numPr>
        <w:tabs>
          <w:tab w:val="clear" w:pos="0"/>
          <w:tab w:val="num" w:pos="432"/>
        </w:tabs>
        <w:spacing w:after="0" w:line="360" w:lineRule="auto"/>
        <w:ind w:left="425" w:hanging="425"/>
        <w:jc w:val="both"/>
        <w:rPr>
          <w:rFonts w:ascii="Arial" w:hAnsi="Arial" w:cs="Arial"/>
          <w:sz w:val="24"/>
          <w:szCs w:val="24"/>
        </w:rPr>
      </w:pPr>
      <w:r w:rsidRPr="00B42FA1">
        <w:rPr>
          <w:rFonts w:ascii="Arial" w:hAnsi="Arial" w:cs="Arial"/>
          <w:b/>
          <w:bCs/>
          <w:sz w:val="24"/>
          <w:szCs w:val="24"/>
        </w:rPr>
        <w:t xml:space="preserve">Artículo </w:t>
      </w:r>
      <w:r>
        <w:rPr>
          <w:rFonts w:ascii="Arial" w:hAnsi="Arial" w:cs="Arial"/>
          <w:b/>
          <w:bCs/>
          <w:sz w:val="24"/>
          <w:szCs w:val="24"/>
        </w:rPr>
        <w:t>15</w:t>
      </w:r>
      <w:r w:rsidRPr="00B42FA1">
        <w:rPr>
          <w:rFonts w:ascii="Arial" w:hAnsi="Arial" w:cs="Arial"/>
          <w:b/>
          <w:bCs/>
          <w:sz w:val="24"/>
          <w:szCs w:val="24"/>
        </w:rPr>
        <w:t xml:space="preserve"> </w:t>
      </w:r>
      <w:r>
        <w:rPr>
          <w:rFonts w:ascii="Arial" w:hAnsi="Arial" w:cs="Arial"/>
          <w:b/>
          <w:bCs/>
          <w:sz w:val="24"/>
          <w:szCs w:val="24"/>
        </w:rPr>
        <w:t xml:space="preserve">de la </w:t>
      </w:r>
      <w:r w:rsidRPr="00B42FA1">
        <w:rPr>
          <w:rFonts w:ascii="Arial" w:hAnsi="Arial" w:cs="Arial"/>
          <w:b/>
          <w:bCs/>
          <w:sz w:val="24"/>
          <w:szCs w:val="24"/>
        </w:rPr>
        <w:t>Ordenanza 81</w:t>
      </w:r>
    </w:p>
    <w:p w:rsidR="0042639C" w:rsidRDefault="0042639C" w:rsidP="0042639C">
      <w:pPr>
        <w:pStyle w:val="Prrafodelista"/>
        <w:numPr>
          <w:ilvl w:val="1"/>
          <w:numId w:val="3"/>
        </w:numPr>
        <w:spacing w:after="0" w:line="360" w:lineRule="auto"/>
        <w:ind w:left="0" w:firstLine="0"/>
        <w:jc w:val="both"/>
        <w:rPr>
          <w:rFonts w:ascii="Arial" w:hAnsi="Arial" w:cs="Arial"/>
          <w:sz w:val="24"/>
          <w:szCs w:val="24"/>
        </w:rPr>
      </w:pPr>
      <w:r w:rsidRPr="00F821EB">
        <w:rPr>
          <w:rFonts w:ascii="Arial" w:hAnsi="Arial" w:cs="Arial"/>
          <w:sz w:val="24"/>
          <w:szCs w:val="24"/>
        </w:rPr>
        <w:t>No se presenta la Memoria explicativa de los Estados Contables</w:t>
      </w:r>
      <w:r>
        <w:rPr>
          <w:rFonts w:ascii="Arial" w:hAnsi="Arial" w:cs="Arial"/>
          <w:sz w:val="24"/>
          <w:szCs w:val="24"/>
        </w:rPr>
        <w:t>.</w:t>
      </w:r>
    </w:p>
    <w:p w:rsidR="0042639C" w:rsidRDefault="0042639C" w:rsidP="0042639C">
      <w:pPr>
        <w:pStyle w:val="Ttulo2"/>
        <w:widowControl w:val="0"/>
        <w:numPr>
          <w:ilvl w:val="1"/>
          <w:numId w:val="3"/>
        </w:numPr>
        <w:suppressAutoHyphens w:val="0"/>
        <w:spacing w:after="0"/>
      </w:pPr>
      <w:r w:rsidRPr="00B42FA1">
        <w:rPr>
          <w:bCs/>
        </w:rPr>
        <w:t>Artículo 2</w:t>
      </w:r>
      <w:r>
        <w:rPr>
          <w:bCs/>
        </w:rPr>
        <w:t>8</w:t>
      </w:r>
      <w:r w:rsidRPr="00B42FA1">
        <w:rPr>
          <w:bCs/>
        </w:rPr>
        <w:t xml:space="preserve"> </w:t>
      </w:r>
      <w:r>
        <w:rPr>
          <w:bCs/>
        </w:rPr>
        <w:t xml:space="preserve">de la </w:t>
      </w:r>
      <w:r w:rsidRPr="00B42FA1">
        <w:rPr>
          <w:bCs/>
        </w:rPr>
        <w:t>Ordenanza 81</w:t>
      </w:r>
    </w:p>
    <w:p w:rsidR="0042639C" w:rsidRPr="00B022AF" w:rsidRDefault="0042639C" w:rsidP="0042639C">
      <w:pPr>
        <w:pStyle w:val="Prrafodelista"/>
        <w:widowControl w:val="0"/>
        <w:numPr>
          <w:ilvl w:val="1"/>
          <w:numId w:val="3"/>
        </w:numPr>
        <w:spacing w:after="0" w:line="360" w:lineRule="auto"/>
        <w:ind w:left="0" w:firstLine="0"/>
        <w:jc w:val="both"/>
      </w:pPr>
      <w:r w:rsidRPr="00B022AF">
        <w:rPr>
          <w:rFonts w:ascii="Arial" w:hAnsi="Arial" w:cs="Arial"/>
          <w:sz w:val="24"/>
          <w:szCs w:val="24"/>
          <w:lang w:eastAsia="zh-CN"/>
        </w:rPr>
        <w:t>Los Estados Contables no se remitieron con copia autenticada de la Resolución por la que se aprobaron, dejando constancia del Resultado del Ejercicio y la correspondiente carta de represe</w:t>
      </w:r>
      <w:r w:rsidR="003B76AD">
        <w:rPr>
          <w:rFonts w:ascii="Arial" w:hAnsi="Arial" w:cs="Arial"/>
          <w:sz w:val="24"/>
          <w:szCs w:val="24"/>
          <w:lang w:eastAsia="zh-CN"/>
        </w:rPr>
        <w:t>ntaciones de la administración.</w:t>
      </w:r>
    </w:p>
    <w:p w:rsidR="0042639C" w:rsidRPr="00B022AF" w:rsidRDefault="0042639C" w:rsidP="0042639C">
      <w:pPr>
        <w:pStyle w:val="Prrafodelista"/>
        <w:widowControl w:val="0"/>
        <w:numPr>
          <w:ilvl w:val="1"/>
          <w:numId w:val="3"/>
        </w:numPr>
        <w:spacing w:after="0" w:line="360" w:lineRule="auto"/>
        <w:ind w:left="0" w:firstLine="0"/>
        <w:jc w:val="both"/>
        <w:rPr>
          <w:b/>
        </w:rPr>
      </w:pPr>
      <w:r w:rsidRPr="00B022AF">
        <w:rPr>
          <w:rFonts w:ascii="Arial" w:hAnsi="Arial" w:cs="Arial"/>
          <w:b/>
          <w:bCs/>
          <w:sz w:val="24"/>
          <w:szCs w:val="24"/>
        </w:rPr>
        <w:t xml:space="preserve">Artículo </w:t>
      </w:r>
      <w:r>
        <w:rPr>
          <w:rFonts w:ascii="Arial" w:hAnsi="Arial" w:cs="Arial"/>
          <w:b/>
          <w:bCs/>
          <w:sz w:val="24"/>
          <w:szCs w:val="24"/>
        </w:rPr>
        <w:t>3</w:t>
      </w:r>
      <w:r w:rsidRPr="00B022AF">
        <w:rPr>
          <w:rFonts w:ascii="Arial" w:hAnsi="Arial" w:cs="Arial"/>
          <w:b/>
          <w:bCs/>
          <w:sz w:val="24"/>
          <w:szCs w:val="24"/>
        </w:rPr>
        <w:t>2</w:t>
      </w:r>
      <w:r>
        <w:rPr>
          <w:rFonts w:ascii="Arial" w:hAnsi="Arial" w:cs="Arial"/>
          <w:b/>
          <w:bCs/>
          <w:sz w:val="24"/>
          <w:szCs w:val="24"/>
        </w:rPr>
        <w:t xml:space="preserve"> de la </w:t>
      </w:r>
      <w:r w:rsidRPr="00B022AF">
        <w:rPr>
          <w:rFonts w:ascii="Arial" w:hAnsi="Arial" w:cs="Arial"/>
          <w:b/>
          <w:bCs/>
          <w:sz w:val="24"/>
          <w:szCs w:val="24"/>
        </w:rPr>
        <w:t>Ordenanza 81</w:t>
      </w:r>
    </w:p>
    <w:p w:rsidR="0042639C" w:rsidRPr="00B42FA1" w:rsidRDefault="0042639C" w:rsidP="0042639C">
      <w:pPr>
        <w:pStyle w:val="Ttulo2"/>
        <w:widowControl w:val="0"/>
        <w:numPr>
          <w:ilvl w:val="1"/>
          <w:numId w:val="3"/>
        </w:numPr>
        <w:suppressAutoHyphens w:val="0"/>
        <w:spacing w:after="0"/>
        <w:ind w:left="0" w:firstLine="0"/>
        <w:rPr>
          <w:b w:val="0"/>
        </w:rPr>
      </w:pPr>
      <w:r w:rsidRPr="00B42FA1">
        <w:rPr>
          <w:b w:val="0"/>
        </w:rPr>
        <w:t>Los Estados Contables no fueron presentados dentro de los noventa días sig</w:t>
      </w:r>
      <w:r>
        <w:rPr>
          <w:b w:val="0"/>
        </w:rPr>
        <w:t>uientes al cierre del E</w:t>
      </w:r>
      <w:r w:rsidRPr="00B42FA1">
        <w:rPr>
          <w:b w:val="0"/>
        </w:rPr>
        <w:t>jercicio.</w:t>
      </w:r>
    </w:p>
    <w:p w:rsidR="0042639C" w:rsidRDefault="0042639C" w:rsidP="003B76AD">
      <w:pPr>
        <w:pStyle w:val="Prrafodelista"/>
        <w:spacing w:line="360" w:lineRule="auto"/>
        <w:ind w:left="0"/>
        <w:jc w:val="right"/>
        <w:rPr>
          <w:rFonts w:ascii="Arial" w:hAnsi="Arial" w:cs="Arial"/>
          <w:sz w:val="24"/>
          <w:szCs w:val="24"/>
          <w:lang w:val="es-ES_tradnl"/>
        </w:rPr>
      </w:pPr>
      <w:r w:rsidRPr="00B022AF">
        <w:rPr>
          <w:rFonts w:ascii="Arial" w:hAnsi="Arial" w:cs="Arial"/>
          <w:sz w:val="24"/>
          <w:szCs w:val="24"/>
          <w:lang w:val="es-ES_tradnl"/>
        </w:rPr>
        <w:t xml:space="preserve">Montevideo, </w:t>
      </w:r>
      <w:r>
        <w:rPr>
          <w:rFonts w:ascii="Arial" w:hAnsi="Arial" w:cs="Arial"/>
          <w:sz w:val="24"/>
          <w:szCs w:val="24"/>
          <w:lang w:val="es-ES_tradnl"/>
        </w:rPr>
        <w:t>6</w:t>
      </w:r>
      <w:r w:rsidRPr="00B022AF">
        <w:rPr>
          <w:rFonts w:ascii="Arial" w:hAnsi="Arial" w:cs="Arial"/>
          <w:sz w:val="24"/>
          <w:szCs w:val="24"/>
          <w:lang w:val="es-ES_tradnl"/>
        </w:rPr>
        <w:t xml:space="preserve"> de octubre de 2016</w:t>
      </w:r>
    </w:p>
    <w:p w:rsidR="0042639C" w:rsidRDefault="0042639C" w:rsidP="003B76AD">
      <w:pPr>
        <w:pStyle w:val="Prrafodelista"/>
        <w:spacing w:line="360" w:lineRule="auto"/>
        <w:ind w:left="0"/>
        <w:jc w:val="right"/>
        <w:rPr>
          <w:rFonts w:ascii="Arial" w:hAnsi="Arial" w:cs="Arial"/>
          <w:sz w:val="24"/>
          <w:szCs w:val="24"/>
          <w:lang w:val="es-ES_tradnl"/>
        </w:rPr>
      </w:pPr>
    </w:p>
    <w:p w:rsidR="0042639C" w:rsidRDefault="0042639C" w:rsidP="003B76AD">
      <w:pPr>
        <w:pStyle w:val="Prrafodelista"/>
        <w:spacing w:line="360" w:lineRule="auto"/>
        <w:ind w:left="0" w:hanging="426"/>
        <w:rPr>
          <w:rFonts w:ascii="Arial" w:hAnsi="Arial" w:cs="Arial"/>
          <w:sz w:val="24"/>
          <w:szCs w:val="24"/>
          <w:lang w:val="es-ES_tradnl"/>
        </w:rPr>
      </w:pPr>
      <w:proofErr w:type="gramStart"/>
      <w:r>
        <w:rPr>
          <w:rFonts w:ascii="Arial" w:hAnsi="Arial" w:cs="Arial"/>
          <w:sz w:val="24"/>
          <w:szCs w:val="24"/>
          <w:lang w:val="es-ES_tradnl"/>
        </w:rPr>
        <w:t>dc</w:t>
      </w:r>
      <w:proofErr w:type="gramEnd"/>
    </w:p>
    <w:p w:rsidR="003B76AD" w:rsidRDefault="003B76AD" w:rsidP="003B76AD">
      <w:pPr>
        <w:pStyle w:val="Prrafodelista"/>
        <w:spacing w:line="360" w:lineRule="auto"/>
        <w:ind w:left="0" w:hanging="426"/>
        <w:rPr>
          <w:spacing w:val="-3"/>
        </w:rPr>
      </w:pPr>
    </w:p>
    <w:p w:rsidR="0042639C" w:rsidRDefault="0042639C" w:rsidP="003B76AD">
      <w:pPr>
        <w:pStyle w:val="Ttulo1"/>
        <w:keepNext w:val="0"/>
        <w:widowControl w:val="0"/>
        <w:numPr>
          <w:ilvl w:val="0"/>
          <w:numId w:val="0"/>
        </w:numPr>
        <w:suppressAutoHyphens w:val="0"/>
        <w:spacing w:before="0" w:after="0"/>
        <w:jc w:val="center"/>
      </w:pPr>
      <w:bookmarkStart w:id="2" w:name="_Toc425860335"/>
      <w:r>
        <w:t>INFORME A LA ADMINISTRACIÓN</w:t>
      </w:r>
      <w:bookmarkEnd w:id="2"/>
    </w:p>
    <w:p w:rsidR="0042639C" w:rsidRDefault="0042639C" w:rsidP="003B76AD"/>
    <w:p w:rsidR="0042639C" w:rsidRDefault="0042639C" w:rsidP="003B76AD">
      <w:pPr>
        <w:pStyle w:val="Subttulo"/>
        <w:widowControl w:val="0"/>
        <w:suppressAutoHyphens w:val="0"/>
        <w:rPr>
          <w:rFonts w:ascii="Arial" w:hAnsi="Arial"/>
          <w:b w:val="0"/>
        </w:rPr>
      </w:pPr>
      <w:r>
        <w:rPr>
          <w:rFonts w:ascii="Arial" w:hAnsi="Arial"/>
          <w:b w:val="0"/>
        </w:rPr>
        <w:t>El Tribunal de Cuentas ha examinado los Estados Contables correspondientes al Ejercicio 2015 y ha emitido su correspondiente dictamen.</w:t>
      </w:r>
    </w:p>
    <w:p w:rsidR="0042639C" w:rsidRDefault="0042639C" w:rsidP="003B76AD">
      <w:pPr>
        <w:pStyle w:val="Textoindependiente"/>
        <w:widowControl w:val="0"/>
        <w:suppressAutoHyphens w:val="0"/>
        <w:spacing w:after="0" w:line="360" w:lineRule="auto"/>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w:t>
      </w:r>
      <w:r w:rsidR="0059392C">
        <w:rPr>
          <w:szCs w:val="24"/>
          <w:lang w:val="es-ES"/>
        </w:rPr>
        <w:t>l Organismo.</w:t>
      </w:r>
    </w:p>
    <w:p w:rsidR="0042639C" w:rsidRPr="000E480F" w:rsidRDefault="0042639C" w:rsidP="0042639C">
      <w:pPr>
        <w:numPr>
          <w:ilvl w:val="1"/>
          <w:numId w:val="3"/>
        </w:numPr>
        <w:tabs>
          <w:tab w:val="left" w:pos="-720"/>
          <w:tab w:val="left" w:pos="0"/>
        </w:tabs>
        <w:spacing w:after="0" w:line="360" w:lineRule="auto"/>
        <w:ind w:left="0" w:firstLine="0"/>
        <w:rPr>
          <w:rFonts w:eastAsia="Times New Roman"/>
          <w:szCs w:val="24"/>
          <w:lang w:val="es-ES" w:eastAsia="zh-CN"/>
        </w:rPr>
      </w:pPr>
    </w:p>
    <w:p w:rsidR="0042639C" w:rsidRPr="007079E3" w:rsidRDefault="0042639C" w:rsidP="0042639C">
      <w:pPr>
        <w:numPr>
          <w:ilvl w:val="1"/>
          <w:numId w:val="3"/>
        </w:numPr>
        <w:tabs>
          <w:tab w:val="left" w:pos="-720"/>
          <w:tab w:val="left" w:pos="0"/>
        </w:tabs>
        <w:spacing w:after="0" w:line="360" w:lineRule="auto"/>
        <w:ind w:left="0" w:firstLine="0"/>
        <w:rPr>
          <w:rFonts w:eastAsia="Times New Roman"/>
          <w:b/>
          <w:szCs w:val="24"/>
          <w:lang w:val="es-ES" w:eastAsia="zh-CN"/>
        </w:rPr>
      </w:pPr>
      <w:r w:rsidRPr="007079E3">
        <w:rPr>
          <w:rFonts w:eastAsia="Times New Roman"/>
          <w:b/>
          <w:szCs w:val="24"/>
          <w:lang w:val="es-ES" w:eastAsia="zh-CN"/>
        </w:rPr>
        <w:t>1) Hechos que motivan la opinión adversa</w:t>
      </w:r>
    </w:p>
    <w:p w:rsidR="0042639C" w:rsidRDefault="0042639C" w:rsidP="003B76AD">
      <w:pPr>
        <w:tabs>
          <w:tab w:val="left" w:pos="-720"/>
        </w:tabs>
        <w:spacing w:after="0" w:line="360" w:lineRule="auto"/>
        <w:rPr>
          <w:rFonts w:eastAsia="Times New Roman"/>
          <w:szCs w:val="24"/>
          <w:lang w:val="es-ES" w:eastAsia="zh-CN"/>
        </w:rPr>
      </w:pPr>
    </w:p>
    <w:p w:rsidR="0042639C" w:rsidRPr="00CC016E" w:rsidRDefault="0042639C" w:rsidP="0042639C">
      <w:pPr>
        <w:numPr>
          <w:ilvl w:val="1"/>
          <w:numId w:val="3"/>
        </w:numPr>
        <w:tabs>
          <w:tab w:val="clear" w:pos="0"/>
          <w:tab w:val="left" w:pos="-720"/>
          <w:tab w:val="left" w:pos="567"/>
        </w:tabs>
        <w:spacing w:after="0" w:line="360" w:lineRule="auto"/>
        <w:ind w:left="567" w:hanging="567"/>
        <w:rPr>
          <w:rFonts w:eastAsia="Times New Roman"/>
          <w:szCs w:val="24"/>
          <w:lang w:val="es-ES" w:eastAsia="zh-CN"/>
        </w:rPr>
      </w:pPr>
      <w:r w:rsidRPr="007079E3">
        <w:rPr>
          <w:rFonts w:eastAsia="Times New Roman"/>
          <w:b/>
          <w:szCs w:val="24"/>
          <w:lang w:val="es-ES" w:eastAsia="zh-CN"/>
        </w:rPr>
        <w:t>1.1)</w:t>
      </w:r>
      <w:r>
        <w:rPr>
          <w:rFonts w:eastAsia="Times New Roman"/>
          <w:szCs w:val="24"/>
          <w:lang w:val="es-ES" w:eastAsia="zh-CN"/>
        </w:rPr>
        <w:t xml:space="preserve"> </w:t>
      </w:r>
      <w:r w:rsidRPr="00CC016E">
        <w:rPr>
          <w:rFonts w:eastAsia="Times New Roman"/>
          <w:szCs w:val="24"/>
          <w:lang w:val="es-ES" w:eastAsia="zh-CN"/>
        </w:rPr>
        <w:t>El Estado de Situación Patrimonial expone un Resultado del Ejercicio negativo de $ 95.096, el Estado de Resultados expone un resultado neto de $ 0, el Estado de Origen y Aplicación de Fondos expone un Resultado d</w:t>
      </w:r>
      <w:r>
        <w:rPr>
          <w:rFonts w:eastAsia="Times New Roman"/>
          <w:szCs w:val="24"/>
          <w:lang w:val="es-ES" w:eastAsia="zh-CN"/>
        </w:rPr>
        <w:t>el Ejercicio de $ 7:</w:t>
      </w:r>
      <w:r w:rsidRPr="00CC016E">
        <w:rPr>
          <w:rFonts w:eastAsia="Times New Roman"/>
          <w:szCs w:val="24"/>
          <w:lang w:val="es-ES" w:eastAsia="zh-CN"/>
        </w:rPr>
        <w:t xml:space="preserve">673.968 y el Estado de Evolución del Patrimonio expone un Resultado </w:t>
      </w:r>
      <w:r>
        <w:rPr>
          <w:rFonts w:eastAsia="Times New Roman"/>
          <w:szCs w:val="24"/>
          <w:lang w:val="es-ES" w:eastAsia="zh-CN"/>
        </w:rPr>
        <w:t>del Ejercicio</w:t>
      </w:r>
      <w:r w:rsidRPr="00CC016E">
        <w:rPr>
          <w:rFonts w:eastAsia="Times New Roman"/>
          <w:szCs w:val="24"/>
          <w:lang w:val="es-ES" w:eastAsia="zh-CN"/>
        </w:rPr>
        <w:t xml:space="preserve"> de $ </w:t>
      </w:r>
      <w:r>
        <w:rPr>
          <w:rFonts w:eastAsia="Times New Roman"/>
          <w:szCs w:val="24"/>
          <w:lang w:val="es-ES" w:eastAsia="zh-CN"/>
        </w:rPr>
        <w:t>7:214.333</w:t>
      </w:r>
      <w:r w:rsidRPr="00CC016E">
        <w:rPr>
          <w:rFonts w:eastAsia="Times New Roman"/>
          <w:szCs w:val="24"/>
          <w:lang w:val="es-ES" w:eastAsia="zh-CN"/>
        </w:rPr>
        <w:t>. Por lo expuesto el Resultado del Ejercicio es diferente en cada estado.</w:t>
      </w:r>
    </w:p>
    <w:p w:rsidR="0042639C" w:rsidRDefault="0042639C" w:rsidP="003B76AD">
      <w:pPr>
        <w:pStyle w:val="Prrafodelista"/>
        <w:rPr>
          <w:szCs w:val="24"/>
          <w:lang w:eastAsia="zh-CN"/>
        </w:rPr>
      </w:pPr>
    </w:p>
    <w:p w:rsidR="0042639C" w:rsidRPr="00B022AF" w:rsidRDefault="0042639C" w:rsidP="0042639C">
      <w:pPr>
        <w:numPr>
          <w:ilvl w:val="1"/>
          <w:numId w:val="3"/>
        </w:numPr>
        <w:tabs>
          <w:tab w:val="clear" w:pos="0"/>
          <w:tab w:val="left" w:pos="-720"/>
          <w:tab w:val="left" w:pos="567"/>
        </w:tabs>
        <w:spacing w:after="0" w:line="360" w:lineRule="auto"/>
        <w:ind w:left="567" w:hanging="567"/>
        <w:rPr>
          <w:rFonts w:eastAsia="Times New Roman"/>
          <w:szCs w:val="24"/>
          <w:lang w:val="es-ES" w:eastAsia="zh-CN"/>
        </w:rPr>
      </w:pPr>
      <w:r w:rsidRPr="007079E3">
        <w:rPr>
          <w:rFonts w:eastAsia="Times New Roman"/>
          <w:b/>
          <w:szCs w:val="24"/>
          <w:lang w:val="es-ES" w:eastAsia="zh-CN"/>
        </w:rPr>
        <w:t>1.2)</w:t>
      </w:r>
      <w:r>
        <w:rPr>
          <w:rFonts w:eastAsia="Times New Roman"/>
          <w:szCs w:val="24"/>
          <w:lang w:val="es-ES" w:eastAsia="zh-CN"/>
        </w:rPr>
        <w:t xml:space="preserve"> </w:t>
      </w:r>
      <w:r w:rsidRPr="00B022AF">
        <w:rPr>
          <w:rFonts w:eastAsia="Times New Roman"/>
          <w:szCs w:val="24"/>
          <w:lang w:val="es-ES" w:eastAsia="zh-CN"/>
        </w:rPr>
        <w:t>El Cuadro de Bienes de Uso expone un saldo de amortizaciones</w:t>
      </w:r>
      <w:r>
        <w:rPr>
          <w:rFonts w:eastAsia="Times New Roman"/>
          <w:szCs w:val="24"/>
          <w:lang w:val="es-ES" w:eastAsia="zh-CN"/>
        </w:rPr>
        <w:t xml:space="preserve"> al inicio de $ 2:</w:t>
      </w:r>
      <w:r w:rsidRPr="00B022AF">
        <w:rPr>
          <w:rFonts w:eastAsia="Times New Roman"/>
          <w:szCs w:val="24"/>
          <w:lang w:val="es-ES" w:eastAsia="zh-CN"/>
        </w:rPr>
        <w:t>140.643, el Estado de Situación Patrimonial expone saldo cero en el rubro Bienes de Uso y el Estado de Resultados expone en el rubro amortizaciones un saldo cero, no siendo consistentes los estados citados.</w:t>
      </w:r>
    </w:p>
    <w:p w:rsidR="0042639C" w:rsidRDefault="0042639C" w:rsidP="003B76AD">
      <w:pPr>
        <w:pStyle w:val="Textoindependiente"/>
        <w:widowControl w:val="0"/>
        <w:suppressAutoHyphens w:val="0"/>
        <w:spacing w:after="0" w:line="360" w:lineRule="auto"/>
        <w:rPr>
          <w:szCs w:val="24"/>
          <w:lang w:val="es-ES"/>
        </w:rPr>
      </w:pPr>
    </w:p>
    <w:p w:rsidR="0042639C" w:rsidRDefault="0042639C" w:rsidP="0042639C">
      <w:pPr>
        <w:pStyle w:val="Ttulo2"/>
        <w:numPr>
          <w:ilvl w:val="1"/>
          <w:numId w:val="3"/>
        </w:numPr>
        <w:spacing w:after="0"/>
      </w:pPr>
      <w:bookmarkStart w:id="3" w:name="_Toc425860338"/>
      <w:r>
        <w:t>2</w:t>
      </w:r>
      <w:r w:rsidRPr="00BE370F">
        <w:t xml:space="preserve"> Recomendaciones</w:t>
      </w:r>
      <w:bookmarkEnd w:id="3"/>
      <w:r>
        <w:t xml:space="preserve"> </w:t>
      </w:r>
      <w:bookmarkStart w:id="4" w:name="_Toc425860341"/>
      <w:r w:rsidRPr="00BE370F">
        <w:t>del ejercicio</w:t>
      </w:r>
      <w:bookmarkEnd w:id="4"/>
    </w:p>
    <w:p w:rsidR="0042639C" w:rsidRPr="000128A7" w:rsidRDefault="0042639C" w:rsidP="003B76AD">
      <w:pPr>
        <w:pStyle w:val="Textoindependiente"/>
        <w:widowControl w:val="0"/>
        <w:suppressAutoHyphens w:val="0"/>
        <w:spacing w:after="0" w:line="360" w:lineRule="auto"/>
        <w:rPr>
          <w:b/>
          <w:szCs w:val="24"/>
          <w:lang w:val="es-ES" w:eastAsia="zh-CN"/>
        </w:rPr>
      </w:pPr>
      <w:bookmarkStart w:id="5" w:name="_Toc425339355"/>
      <w:bookmarkStart w:id="6" w:name="_Toc425860342"/>
      <w:r>
        <w:rPr>
          <w:b/>
          <w:szCs w:val="24"/>
          <w:lang w:val="es-ES" w:eastAsia="zh-CN"/>
        </w:rPr>
        <w:t xml:space="preserve">2.1) </w:t>
      </w:r>
      <w:r w:rsidRPr="006768DF">
        <w:rPr>
          <w:b/>
          <w:szCs w:val="24"/>
          <w:lang w:val="es-ES" w:eastAsia="zh-CN"/>
        </w:rPr>
        <w:t>Sis</w:t>
      </w:r>
      <w:r>
        <w:rPr>
          <w:b/>
          <w:szCs w:val="24"/>
          <w:lang w:val="es-ES" w:eastAsia="zh-CN"/>
        </w:rPr>
        <w:t xml:space="preserve">tema </w:t>
      </w:r>
      <w:r w:rsidRPr="006768DF">
        <w:rPr>
          <w:b/>
          <w:szCs w:val="24"/>
          <w:lang w:val="es-ES" w:eastAsia="zh-CN"/>
        </w:rPr>
        <w:t>cont</w:t>
      </w:r>
      <w:r>
        <w:rPr>
          <w:b/>
          <w:szCs w:val="24"/>
          <w:lang w:val="es-ES" w:eastAsia="zh-CN"/>
        </w:rPr>
        <w:t>a</w:t>
      </w:r>
      <w:r w:rsidRPr="006768DF">
        <w:rPr>
          <w:b/>
          <w:szCs w:val="24"/>
          <w:lang w:val="es-ES" w:eastAsia="zh-CN"/>
        </w:rPr>
        <w:t>ble</w:t>
      </w:r>
    </w:p>
    <w:p w:rsidR="0042639C" w:rsidRDefault="0042639C" w:rsidP="0042639C">
      <w:pPr>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sidRPr="006768DF">
        <w:rPr>
          <w:rFonts w:eastAsia="Times New Roman"/>
          <w:szCs w:val="24"/>
          <w:lang w:val="es-ES" w:eastAsia="zh-CN"/>
        </w:rPr>
        <w:t xml:space="preserve">Los estados </w:t>
      </w:r>
      <w:r w:rsidRPr="0072615E">
        <w:rPr>
          <w:rFonts w:eastAsia="Times New Roman"/>
          <w:szCs w:val="24"/>
          <w:lang w:val="es-ES" w:eastAsia="zh-CN"/>
        </w:rPr>
        <w:t xml:space="preserve">contables </w:t>
      </w:r>
      <w:r w:rsidRPr="006768DF">
        <w:rPr>
          <w:rFonts w:eastAsia="Times New Roman"/>
          <w:szCs w:val="24"/>
          <w:lang w:val="es-ES" w:eastAsia="zh-CN"/>
        </w:rPr>
        <w:t>deben e</w:t>
      </w:r>
      <w:r>
        <w:rPr>
          <w:rFonts w:eastAsia="Times New Roman"/>
          <w:szCs w:val="24"/>
          <w:lang w:val="es-ES" w:eastAsia="zh-CN"/>
        </w:rPr>
        <w:t>manar del sistema contable del O</w:t>
      </w:r>
      <w:r w:rsidRPr="006768DF">
        <w:rPr>
          <w:rFonts w:eastAsia="Times New Roman"/>
          <w:szCs w:val="24"/>
          <w:lang w:val="es-ES" w:eastAsia="zh-CN"/>
        </w:rPr>
        <w:t>rganismo</w:t>
      </w:r>
      <w:r w:rsidRPr="0072615E">
        <w:rPr>
          <w:rFonts w:eastAsia="Times New Roman"/>
          <w:szCs w:val="24"/>
          <w:lang w:val="es-ES" w:eastAsia="zh-CN"/>
        </w:rPr>
        <w:t xml:space="preserve"> (</w:t>
      </w:r>
      <w:r>
        <w:rPr>
          <w:rFonts w:eastAsia="Times New Roman"/>
          <w:szCs w:val="24"/>
          <w:lang w:val="es-ES" w:eastAsia="zh-CN"/>
        </w:rPr>
        <w:t>Artículo</w:t>
      </w:r>
      <w:r w:rsidRPr="006768DF">
        <w:rPr>
          <w:rFonts w:eastAsia="Times New Roman"/>
          <w:szCs w:val="24"/>
          <w:lang w:val="es-ES" w:eastAsia="zh-CN"/>
        </w:rPr>
        <w:t xml:space="preserve"> 3 de la Ordenanza </w:t>
      </w:r>
      <w:r w:rsidRPr="0072615E">
        <w:rPr>
          <w:rFonts w:eastAsia="Times New Roman"/>
          <w:szCs w:val="24"/>
          <w:lang w:val="es-ES" w:eastAsia="zh-CN"/>
        </w:rPr>
        <w:t xml:space="preserve">Nº </w:t>
      </w:r>
      <w:r w:rsidRPr="006768DF">
        <w:rPr>
          <w:rFonts w:eastAsia="Times New Roman"/>
          <w:szCs w:val="24"/>
          <w:lang w:val="es-ES" w:eastAsia="zh-CN"/>
        </w:rPr>
        <w:t>81</w:t>
      </w:r>
      <w:r w:rsidRPr="0072615E">
        <w:rPr>
          <w:rFonts w:eastAsia="Times New Roman"/>
          <w:szCs w:val="24"/>
          <w:lang w:val="es-ES" w:eastAsia="zh-CN"/>
        </w:rPr>
        <w:t>)</w:t>
      </w:r>
      <w:r w:rsidRPr="006768DF">
        <w:rPr>
          <w:rFonts w:eastAsia="Times New Roman"/>
          <w:szCs w:val="24"/>
          <w:lang w:val="es-ES" w:eastAsia="zh-CN"/>
        </w:rPr>
        <w:t>. Se deberá implementar un sistema contable adecuado a la operativa del mismo y que proporcione información confiable</w:t>
      </w:r>
      <w:r w:rsidRPr="0072615E">
        <w:rPr>
          <w:rFonts w:eastAsia="Times New Roman"/>
          <w:szCs w:val="24"/>
          <w:lang w:val="es-ES" w:eastAsia="zh-CN"/>
        </w:rPr>
        <w:t>, íntegra y oportuna</w:t>
      </w:r>
      <w:r w:rsidR="0059392C">
        <w:rPr>
          <w:rFonts w:eastAsia="Times New Roman"/>
          <w:szCs w:val="24"/>
          <w:lang w:val="es-ES" w:eastAsia="zh-CN"/>
        </w:rPr>
        <w:t>.</w:t>
      </w:r>
    </w:p>
    <w:p w:rsidR="0042639C" w:rsidRDefault="0042639C" w:rsidP="003B76AD">
      <w:pPr>
        <w:pStyle w:val="Textoindependiente"/>
        <w:spacing w:after="0" w:line="360" w:lineRule="auto"/>
        <w:rPr>
          <w:b/>
          <w:lang w:val="es-ES"/>
        </w:rPr>
      </w:pPr>
      <w:r>
        <w:rPr>
          <w:b/>
          <w:lang w:val="es-ES"/>
        </w:rPr>
        <w:t>2.2) Memoria Explicativa</w:t>
      </w:r>
    </w:p>
    <w:p w:rsidR="0042639C" w:rsidRDefault="0042639C" w:rsidP="003B76AD">
      <w:pPr>
        <w:pStyle w:val="Prrafodelista"/>
        <w:spacing w:after="0" w:line="360" w:lineRule="auto"/>
        <w:ind w:left="0"/>
        <w:jc w:val="both"/>
        <w:rPr>
          <w:rFonts w:ascii="Arial" w:hAnsi="Arial" w:cs="Arial"/>
          <w:sz w:val="24"/>
          <w:szCs w:val="24"/>
        </w:rPr>
      </w:pPr>
      <w:r>
        <w:rPr>
          <w:rFonts w:ascii="Arial" w:hAnsi="Arial" w:cs="Arial"/>
          <w:sz w:val="24"/>
          <w:szCs w:val="24"/>
        </w:rPr>
        <w:t>Se debe presentar la Memoria explicativa de los Estados Contables informando sobre todos los puntos de interés (Artículo 15 de la Ordenanza 81).</w:t>
      </w:r>
    </w:p>
    <w:p w:rsidR="0042639C" w:rsidRDefault="0042639C" w:rsidP="0042639C">
      <w:pPr>
        <w:pStyle w:val="Textoindependiente"/>
        <w:widowControl w:val="0"/>
        <w:numPr>
          <w:ilvl w:val="0"/>
          <w:numId w:val="3"/>
        </w:numPr>
        <w:suppressAutoHyphens w:val="0"/>
        <w:spacing w:after="0" w:line="360" w:lineRule="auto"/>
        <w:rPr>
          <w:b/>
          <w:szCs w:val="24"/>
          <w:lang w:val="es-ES" w:eastAsia="zh-CN"/>
        </w:rPr>
      </w:pPr>
    </w:p>
    <w:p w:rsidR="0042639C" w:rsidRPr="006768DF" w:rsidRDefault="0042639C" w:rsidP="0042639C">
      <w:pPr>
        <w:pStyle w:val="Textoindependiente"/>
        <w:widowControl w:val="0"/>
        <w:numPr>
          <w:ilvl w:val="0"/>
          <w:numId w:val="3"/>
        </w:numPr>
        <w:suppressAutoHyphens w:val="0"/>
        <w:spacing w:after="0" w:line="360" w:lineRule="auto"/>
        <w:rPr>
          <w:b/>
          <w:szCs w:val="24"/>
          <w:lang w:val="es-ES" w:eastAsia="zh-CN"/>
        </w:rPr>
      </w:pPr>
      <w:r>
        <w:rPr>
          <w:b/>
          <w:szCs w:val="24"/>
          <w:lang w:val="es-ES" w:eastAsia="zh-CN"/>
        </w:rPr>
        <w:t xml:space="preserve">2.3) </w:t>
      </w:r>
      <w:r w:rsidRPr="006768DF">
        <w:rPr>
          <w:b/>
          <w:szCs w:val="24"/>
          <w:lang w:val="es-ES" w:eastAsia="zh-CN"/>
        </w:rPr>
        <w:t>Remisión de Esta</w:t>
      </w:r>
      <w:r>
        <w:rPr>
          <w:b/>
          <w:szCs w:val="24"/>
          <w:lang w:val="es-ES" w:eastAsia="zh-CN"/>
        </w:rPr>
        <w:t xml:space="preserve">dos </w:t>
      </w:r>
      <w:r w:rsidRPr="006768DF">
        <w:rPr>
          <w:b/>
          <w:szCs w:val="24"/>
          <w:lang w:val="es-ES" w:eastAsia="zh-CN"/>
        </w:rPr>
        <w:t>Cont</w:t>
      </w:r>
      <w:r>
        <w:rPr>
          <w:b/>
          <w:szCs w:val="24"/>
          <w:lang w:val="es-ES" w:eastAsia="zh-CN"/>
        </w:rPr>
        <w:t>a</w:t>
      </w:r>
      <w:r w:rsidRPr="006768DF">
        <w:rPr>
          <w:b/>
          <w:szCs w:val="24"/>
          <w:lang w:val="es-ES" w:eastAsia="zh-CN"/>
        </w:rPr>
        <w:t>bles</w:t>
      </w:r>
    </w:p>
    <w:p w:rsidR="0042639C" w:rsidRDefault="0042639C" w:rsidP="0042639C">
      <w:pPr>
        <w:pStyle w:val="Prrafodelista"/>
        <w:numPr>
          <w:ilvl w:val="0"/>
          <w:numId w:val="3"/>
        </w:numPr>
        <w:spacing w:line="360" w:lineRule="auto"/>
        <w:ind w:left="0" w:firstLine="0"/>
        <w:jc w:val="both"/>
        <w:rPr>
          <w:rFonts w:ascii="Arial" w:hAnsi="Arial" w:cs="Arial"/>
          <w:sz w:val="24"/>
          <w:szCs w:val="24"/>
        </w:rPr>
      </w:pPr>
      <w:r w:rsidRPr="000128A7">
        <w:rPr>
          <w:rFonts w:ascii="Arial" w:hAnsi="Arial" w:cs="Arial"/>
          <w:sz w:val="24"/>
          <w:szCs w:val="24"/>
          <w:lang w:eastAsia="zh-CN"/>
        </w:rPr>
        <w:t xml:space="preserve">Los Estados Contables </w:t>
      </w:r>
      <w:r w:rsidRPr="003A06F5">
        <w:rPr>
          <w:rFonts w:ascii="Arial" w:hAnsi="Arial" w:cs="Arial"/>
          <w:sz w:val="24"/>
          <w:szCs w:val="24"/>
          <w:lang w:eastAsia="zh-CN"/>
        </w:rPr>
        <w:t xml:space="preserve">deben remitirse en dos vías adjuntando </w:t>
      </w:r>
      <w:r w:rsidRPr="000128A7">
        <w:rPr>
          <w:rFonts w:ascii="Arial" w:hAnsi="Arial" w:cs="Arial"/>
          <w:sz w:val="24"/>
          <w:szCs w:val="24"/>
          <w:lang w:eastAsia="zh-CN"/>
        </w:rPr>
        <w:t>copia autenticada de la Resolución por la que se aprobaron los Estados Contables dejando constancia del Resultado del Ejercicio que se aprueba y la correspondiente carta de representaciones de la administración</w:t>
      </w:r>
      <w:r w:rsidRPr="003A06F5">
        <w:rPr>
          <w:rFonts w:ascii="Arial" w:hAnsi="Arial" w:cs="Arial"/>
          <w:sz w:val="24"/>
          <w:szCs w:val="24"/>
          <w:lang w:eastAsia="zh-CN"/>
        </w:rPr>
        <w:t xml:space="preserve"> (</w:t>
      </w:r>
      <w:r>
        <w:rPr>
          <w:rFonts w:ascii="Arial" w:hAnsi="Arial" w:cs="Arial"/>
          <w:sz w:val="24"/>
          <w:szCs w:val="24"/>
          <w:lang w:eastAsia="zh-CN"/>
        </w:rPr>
        <w:t>A</w:t>
      </w:r>
      <w:r w:rsidRPr="003A06F5">
        <w:rPr>
          <w:rFonts w:ascii="Arial" w:hAnsi="Arial" w:cs="Arial"/>
          <w:sz w:val="24"/>
          <w:szCs w:val="24"/>
          <w:lang w:eastAsia="zh-CN"/>
        </w:rPr>
        <w:t>rt</w:t>
      </w:r>
      <w:r>
        <w:rPr>
          <w:rFonts w:ascii="Arial" w:hAnsi="Arial" w:cs="Arial"/>
          <w:sz w:val="24"/>
          <w:szCs w:val="24"/>
          <w:lang w:eastAsia="zh-CN"/>
        </w:rPr>
        <w:t>ículo</w:t>
      </w:r>
      <w:r w:rsidRPr="003A06F5">
        <w:rPr>
          <w:rFonts w:ascii="Arial" w:hAnsi="Arial" w:cs="Arial"/>
          <w:sz w:val="24"/>
          <w:szCs w:val="24"/>
          <w:lang w:eastAsia="zh-CN"/>
        </w:rPr>
        <w:t xml:space="preserve"> 28 </w:t>
      </w:r>
      <w:r w:rsidR="0059392C">
        <w:rPr>
          <w:rFonts w:ascii="Arial" w:hAnsi="Arial" w:cs="Arial"/>
          <w:sz w:val="24"/>
          <w:szCs w:val="24"/>
        </w:rPr>
        <w:t>de la Ordenanza N° 81).</w:t>
      </w:r>
    </w:p>
    <w:p w:rsidR="0042639C" w:rsidRDefault="0042639C" w:rsidP="0042639C">
      <w:pPr>
        <w:pStyle w:val="Ttulo2"/>
        <w:numPr>
          <w:ilvl w:val="1"/>
          <w:numId w:val="3"/>
        </w:numPr>
        <w:spacing w:after="0"/>
      </w:pPr>
      <w:r>
        <w:t>2.4) Plazo de presentación de los Estados Contables</w:t>
      </w:r>
      <w:bookmarkEnd w:id="5"/>
      <w:bookmarkEnd w:id="6"/>
    </w:p>
    <w:p w:rsidR="0042639C" w:rsidRDefault="0042639C" w:rsidP="003B76AD">
      <w:pPr>
        <w:pStyle w:val="Textoindependiente"/>
        <w:spacing w:line="360" w:lineRule="auto"/>
        <w:rPr>
          <w:lang w:val="es-ES"/>
        </w:rPr>
      </w:pPr>
      <w:r w:rsidRPr="005003D6">
        <w:rPr>
          <w:lang w:val="es-ES"/>
        </w:rPr>
        <w:t xml:space="preserve">La Junta Departamental debe presentar los Estados Contables dentro de los noventa días siguientes al cierre del </w:t>
      </w:r>
      <w:r>
        <w:rPr>
          <w:lang w:val="es-ES"/>
        </w:rPr>
        <w:t>E</w:t>
      </w:r>
      <w:r w:rsidRPr="005003D6">
        <w:rPr>
          <w:lang w:val="es-ES"/>
        </w:rPr>
        <w:t>jercicio ante el Tribunal de Cuentas, salvo que por disposición l</w:t>
      </w:r>
      <w:r>
        <w:rPr>
          <w:lang w:val="es-ES"/>
        </w:rPr>
        <w:t>egal se establezca otro plazo (A</w:t>
      </w:r>
      <w:r w:rsidRPr="005003D6">
        <w:rPr>
          <w:lang w:val="es-ES"/>
        </w:rPr>
        <w:t>rtículo 32 de la Ordenanza N° 81).</w:t>
      </w:r>
    </w:p>
    <w:p w:rsidR="0042639C" w:rsidRDefault="0042639C" w:rsidP="003B76AD">
      <w:pPr>
        <w:pStyle w:val="Textoindependiente"/>
        <w:widowControl w:val="0"/>
        <w:suppressAutoHyphens w:val="0"/>
        <w:spacing w:after="0" w:line="360" w:lineRule="auto"/>
        <w:jc w:val="right"/>
        <w:rPr>
          <w:spacing w:val="-3"/>
        </w:rPr>
      </w:pPr>
      <w:r w:rsidRPr="00920233">
        <w:rPr>
          <w:spacing w:val="-3"/>
        </w:rPr>
        <w:t xml:space="preserve">Montevideo, </w:t>
      </w:r>
      <w:r>
        <w:rPr>
          <w:spacing w:val="-3"/>
        </w:rPr>
        <w:t>6 de octubre de 2016</w:t>
      </w:r>
    </w:p>
    <w:p w:rsidR="0042639C" w:rsidRDefault="0042639C" w:rsidP="003B76AD">
      <w:pPr>
        <w:pStyle w:val="Textoindependiente"/>
        <w:widowControl w:val="0"/>
        <w:suppressAutoHyphens w:val="0"/>
        <w:spacing w:after="0" w:line="360" w:lineRule="auto"/>
        <w:jc w:val="right"/>
        <w:rPr>
          <w:spacing w:val="-3"/>
        </w:rPr>
      </w:pPr>
    </w:p>
    <w:p w:rsidR="0042639C" w:rsidRDefault="0042639C" w:rsidP="003B76AD">
      <w:pPr>
        <w:pStyle w:val="Textoindependiente"/>
        <w:widowControl w:val="0"/>
        <w:suppressAutoHyphens w:val="0"/>
        <w:spacing w:after="0" w:line="360" w:lineRule="auto"/>
        <w:jc w:val="right"/>
        <w:rPr>
          <w:spacing w:val="-3"/>
        </w:rPr>
      </w:pPr>
    </w:p>
    <w:p w:rsidR="0042639C" w:rsidRDefault="0042639C" w:rsidP="003B76AD">
      <w:pPr>
        <w:pStyle w:val="Textoindependiente"/>
        <w:widowControl w:val="0"/>
        <w:suppressAutoHyphens w:val="0"/>
        <w:spacing w:after="0" w:line="360" w:lineRule="auto"/>
        <w:jc w:val="right"/>
        <w:rPr>
          <w:spacing w:val="-3"/>
        </w:rPr>
      </w:pPr>
    </w:p>
    <w:p w:rsidR="0042639C" w:rsidRDefault="0042639C" w:rsidP="003B76AD">
      <w:pPr>
        <w:pStyle w:val="Textoindependiente"/>
        <w:widowControl w:val="0"/>
        <w:suppressAutoHyphens w:val="0"/>
        <w:spacing w:after="0" w:line="360" w:lineRule="auto"/>
        <w:jc w:val="right"/>
        <w:rPr>
          <w:spacing w:val="-3"/>
        </w:rPr>
      </w:pPr>
    </w:p>
    <w:p w:rsidR="0042639C" w:rsidRPr="0042639C" w:rsidRDefault="0042639C" w:rsidP="0042639C">
      <w:pPr>
        <w:pStyle w:val="Textoindependiente"/>
        <w:widowControl w:val="0"/>
        <w:suppressAutoHyphens w:val="0"/>
        <w:spacing w:after="0" w:line="360" w:lineRule="auto"/>
        <w:ind w:hanging="426"/>
        <w:jc w:val="left"/>
      </w:pPr>
      <w:proofErr w:type="gramStart"/>
      <w:r>
        <w:rPr>
          <w:spacing w:val="-3"/>
        </w:rPr>
        <w:t>dc</w:t>
      </w:r>
      <w:proofErr w:type="gramEnd"/>
    </w:p>
    <w:sectPr w:rsidR="0042639C" w:rsidRPr="0042639C" w:rsidSect="0012280B">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A93E4BD8"/>
    <w:name w:val="WW8Num3"/>
    <w:lvl w:ilvl="0">
      <w:start w:val="1"/>
      <w:numFmt w:val="decimal"/>
      <w:pStyle w:val="Ttulo1"/>
      <w:lvlText w:val="%1)"/>
      <w:lvlJc w:val="left"/>
      <w:pPr>
        <w:tabs>
          <w:tab w:val="num" w:pos="360"/>
        </w:tabs>
        <w:ind w:left="36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319AB"/>
    <w:rsid w:val="000A7EDA"/>
    <w:rsid w:val="0012280B"/>
    <w:rsid w:val="001C6A59"/>
    <w:rsid w:val="00234045"/>
    <w:rsid w:val="00335540"/>
    <w:rsid w:val="003B76AD"/>
    <w:rsid w:val="0042639C"/>
    <w:rsid w:val="0051488E"/>
    <w:rsid w:val="0059392C"/>
    <w:rsid w:val="006316C9"/>
    <w:rsid w:val="00743D89"/>
    <w:rsid w:val="0074652D"/>
    <w:rsid w:val="0077153B"/>
    <w:rsid w:val="009C0F1D"/>
    <w:rsid w:val="00BA5105"/>
    <w:rsid w:val="00BB4515"/>
    <w:rsid w:val="00C530F1"/>
    <w:rsid w:val="00D3031A"/>
    <w:rsid w:val="00D77A4C"/>
    <w:rsid w:val="00D9422A"/>
    <w:rsid w:val="00DA55AA"/>
    <w:rsid w:val="00DD35BB"/>
    <w:rsid w:val="00E43062"/>
    <w:rsid w:val="00EA02D4"/>
    <w:rsid w:val="00EE3E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42639C"/>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42639C"/>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639C"/>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42639C"/>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42639C"/>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42639C"/>
    <w:rPr>
      <w:rFonts w:ascii="Arial" w:eastAsia="Times New Roman" w:hAnsi="Arial" w:cs="Arial"/>
      <w:kern w:val="1"/>
      <w:sz w:val="24"/>
      <w:szCs w:val="20"/>
      <w:lang w:val="es-ES_tradnl" w:eastAsia="ar-SA"/>
    </w:rPr>
  </w:style>
  <w:style w:type="paragraph" w:styleId="Subttulo">
    <w:name w:val="Subtitle"/>
    <w:basedOn w:val="Normal"/>
    <w:next w:val="Textoindependiente"/>
    <w:link w:val="SubttuloCar"/>
    <w:qFormat/>
    <w:rsid w:val="0042639C"/>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42639C"/>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2639C"/>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42639C"/>
    <w:pPr>
      <w:suppressAutoHyphens w:val="0"/>
      <w:ind w:left="720"/>
      <w:jc w:val="left"/>
    </w:pPr>
    <w:rPr>
      <w:rFonts w:ascii="Calibri" w:eastAsia="Times New Roman" w:hAnsi="Calibri" w:cs="Calibri"/>
      <w:sz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42639C"/>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42639C"/>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639C"/>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42639C"/>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42639C"/>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42639C"/>
    <w:rPr>
      <w:rFonts w:ascii="Arial" w:eastAsia="Times New Roman" w:hAnsi="Arial" w:cs="Arial"/>
      <w:kern w:val="1"/>
      <w:sz w:val="24"/>
      <w:szCs w:val="20"/>
      <w:lang w:val="es-ES_tradnl" w:eastAsia="ar-SA"/>
    </w:rPr>
  </w:style>
  <w:style w:type="paragraph" w:styleId="Subttulo">
    <w:name w:val="Subtitle"/>
    <w:basedOn w:val="Normal"/>
    <w:next w:val="Textoindependiente"/>
    <w:link w:val="SubttuloCar"/>
    <w:qFormat/>
    <w:rsid w:val="0042639C"/>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42639C"/>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2639C"/>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42639C"/>
    <w:pPr>
      <w:suppressAutoHyphens w:val="0"/>
      <w:ind w:left="720"/>
      <w:jc w:val="left"/>
    </w:pPr>
    <w:rPr>
      <w:rFonts w:ascii="Calibri" w:eastAsia="Times New Roman" w:hAnsi="Calibri" w:cs="Calibri"/>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F65D-5706-4157-9354-04345B6D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1238</Words>
  <Characters>6810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 </cp:lastModifiedBy>
  <cp:revision>5</cp:revision>
  <cp:lastPrinted>2016-11-29T17:49:00Z</cp:lastPrinted>
  <dcterms:created xsi:type="dcterms:W3CDTF">2016-11-28T20:36:00Z</dcterms:created>
  <dcterms:modified xsi:type="dcterms:W3CDTF">2017-05-17T19:43:00Z</dcterms:modified>
</cp:coreProperties>
</file>